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230505</wp:posOffset>
            </wp:positionH>
            <wp:positionV relativeFrom="page">
              <wp:posOffset>643890</wp:posOffset>
            </wp:positionV>
            <wp:extent cx="70999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6350"/>
                    </a:xfrm>
                    <a:prstGeom prst="rect">
                      <a:avLst/>
                    </a:prstGeom>
                    <a:noFill/>
                  </pic:spPr>
                </pic:pic>
              </a:graphicData>
            </a:graphic>
          </wp:anchor>
        </w:drawing>
        <w:drawing>
          <wp:anchor simplePos="0" relativeHeight="251657728" behindDoc="1" locked="0" layoutInCell="0" allowOverlap="1">
            <wp:simplePos x="0" y="0"/>
            <wp:positionH relativeFrom="page">
              <wp:posOffset>230505</wp:posOffset>
            </wp:positionH>
            <wp:positionV relativeFrom="page">
              <wp:posOffset>570230</wp:posOffset>
            </wp:positionV>
            <wp:extent cx="709993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841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Washington, D.C. 20549</w:t>
      </w:r>
    </w:p>
    <w:p>
      <w:pPr>
        <w:jc w:val="center"/>
        <w:ind w:right="-179"/>
        <w:spacing w:after="0"/>
        <w:rPr>
          <w:sz w:val="20"/>
          <w:szCs w:val="20"/>
          <w:color w:val="auto"/>
        </w:rPr>
      </w:pPr>
      <w:r>
        <w:rPr>
          <w:rFonts w:ascii="Arial" w:cs="Arial" w:eastAsia="Arial" w:hAnsi="Arial"/>
          <w:sz w:val="21"/>
          <w:szCs w:val="21"/>
          <w:b w:val="1"/>
          <w:bCs w:val="1"/>
          <w:color w:val="auto"/>
        </w:rPr>
        <w:t>Form 10-K</w:t>
      </w:r>
    </w:p>
    <w:p>
      <w:pPr>
        <w:spacing w:after="0" w:line="105" w:lineRule="exact"/>
        <w:rPr>
          <w:sz w:val="24"/>
          <w:szCs w:val="24"/>
          <w:color w:val="auto"/>
        </w:rPr>
      </w:pPr>
    </w:p>
    <w:p>
      <w:pPr>
        <w:ind w:left="480" w:right="4660" w:hanging="340"/>
        <w:spacing w:after="0" w:line="278" w:lineRule="auto"/>
        <w:tabs>
          <w:tab w:leader="none" w:pos="48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2017.</w:t>
      </w:r>
    </w:p>
    <w:p>
      <w:pPr>
        <w:spacing w:after="0" w:line="91" w:lineRule="exact"/>
        <w:rPr>
          <w:sz w:val="24"/>
          <w:szCs w:val="24"/>
          <w:color w:val="auto"/>
        </w:rPr>
      </w:pPr>
    </w:p>
    <w:p>
      <w:pPr>
        <w:ind w:left="480" w:hanging="340"/>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1460"/>
          </w:cols>
          <w:pgMar w:left="220" w:top="1090" w:right="219" w:bottom="1440" w:gutter="0" w:footer="0" w:header="0"/>
        </w:sectPr>
      </w:pPr>
    </w:p>
    <w:p>
      <w:pPr>
        <w:spacing w:after="0" w:line="18" w:lineRule="exact"/>
        <w:rPr>
          <w:sz w:val="24"/>
          <w:szCs w:val="24"/>
          <w:color w:val="auto"/>
        </w:rPr>
      </w:pPr>
    </w:p>
    <w:p>
      <w:pPr>
        <w:ind w:left="480"/>
        <w:spacing w:after="0"/>
        <w:tabs>
          <w:tab w:leader="none" w:pos="2880" w:val="left"/>
          <w:tab w:leader="none" w:pos="37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6"/>
          <w:szCs w:val="6"/>
          <w:b w:val="1"/>
          <w:bCs w:val="1"/>
          <w:color w:val="auto"/>
        </w:rPr>
        <w:t>.</w:t>
      </w:r>
    </w:p>
    <w:p>
      <w:pPr>
        <w:sectPr>
          <w:pgSz w:w="11900" w:h="16838" w:orient="portrait"/>
          <w:cols w:equalWidth="0" w:num="1">
            <w:col w:w="11460"/>
          </w:cols>
          <w:pgMar w:left="220" w:top="1090" w:right="219" w:bottom="1440" w:gutter="0" w:footer="0" w:header="0"/>
          <w:type w:val="continuous"/>
        </w:sectPr>
      </w:pP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Commission File Number: 333-203369</w:t>
      </w:r>
    </w:p>
    <w:p>
      <w:pPr>
        <w:spacing w:after="0" w:line="44" w:lineRule="exact"/>
        <w:rPr>
          <w:sz w:val="24"/>
          <w:szCs w:val="24"/>
          <w:color w:val="auto"/>
        </w:rPr>
      </w:pPr>
    </w:p>
    <w:p>
      <w:pPr>
        <w:jc w:val="center"/>
        <w:ind w:right="-179"/>
        <w:spacing w:after="0"/>
        <w:rPr>
          <w:sz w:val="20"/>
          <w:szCs w:val="20"/>
          <w:color w:val="auto"/>
        </w:rPr>
      </w:pPr>
      <w:r>
        <w:rPr>
          <w:rFonts w:ascii="Arial" w:cs="Arial" w:eastAsia="Arial" w:hAnsi="Arial"/>
          <w:sz w:val="28"/>
          <w:szCs w:val="28"/>
          <w:b w:val="1"/>
          <w:bCs w:val="1"/>
          <w:color w:val="auto"/>
        </w:rPr>
        <w:t>NRG Yield LLC</w:t>
      </w:r>
    </w:p>
    <w:p>
      <w:pPr>
        <w:spacing w:after="0" w:line="83" w:lineRule="exact"/>
        <w:rPr>
          <w:sz w:val="24"/>
          <w:szCs w:val="24"/>
          <w:color w:val="auto"/>
        </w:rPr>
      </w:pPr>
    </w:p>
    <w:p>
      <w:pPr>
        <w:jc w:val="center"/>
        <w:ind w:right="-17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460"/>
          </w:cols>
          <w:pgMar w:left="220" w:top="1090" w:right="219" w:bottom="1440" w:gutter="0" w:footer="0" w:header="0"/>
          <w:type w:val="continuous"/>
        </w:sectPr>
      </w:pPr>
    </w:p>
    <w:p>
      <w:pPr>
        <w:spacing w:after="0" w:line="145" w:lineRule="exact"/>
        <w:rPr>
          <w:sz w:val="24"/>
          <w:szCs w:val="24"/>
          <w:color w:val="auto"/>
        </w:rPr>
      </w:pPr>
    </w:p>
    <w:p>
      <w:pPr>
        <w:ind w:left="262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32-0407370</w:t>
      </w:r>
    </w:p>
    <w:p>
      <w:pPr>
        <w:spacing w:after="0" w:line="35" w:lineRule="exact"/>
        <w:rPr>
          <w:sz w:val="24"/>
          <w:szCs w:val="24"/>
          <w:color w:val="auto"/>
        </w:rPr>
      </w:pPr>
    </w:p>
    <w:p>
      <w:pPr>
        <w:sectPr>
          <w:pgSz w:w="11900" w:h="16838" w:orient="portrait"/>
          <w:cols w:equalWidth="0" w:num="2">
            <w:col w:w="7540" w:space="720"/>
            <w:col w:w="3200"/>
          </w:cols>
          <w:pgMar w:left="220" w:top="1090" w:right="219" w:bottom="1440" w:gutter="0" w:footer="0" w:header="0"/>
          <w:type w:val="continuous"/>
        </w:sectPr>
      </w:pPr>
    </w:p>
    <w:p>
      <w:pPr>
        <w:ind w:left="1440"/>
        <w:spacing w:after="0"/>
        <w:rPr>
          <w:sz w:val="20"/>
          <w:szCs w:val="20"/>
          <w:color w:val="auto"/>
        </w:rPr>
      </w:pPr>
      <w:r>
        <w:rPr>
          <w:rFonts w:ascii="Arial" w:cs="Arial" w:eastAsia="Arial" w:hAnsi="Arial"/>
          <w:sz w:val="10"/>
          <w:szCs w:val="10"/>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(I.R.S. Employer Identification No.)</w:t>
      </w:r>
    </w:p>
    <w:p>
      <w:pPr>
        <w:spacing w:after="0" w:line="163" w:lineRule="exact"/>
        <w:rPr>
          <w:sz w:val="24"/>
          <w:szCs w:val="24"/>
          <w:color w:val="auto"/>
        </w:rPr>
      </w:pPr>
    </w:p>
    <w:p>
      <w:pPr>
        <w:sectPr>
          <w:pgSz w:w="11900" w:h="16838" w:orient="portrait"/>
          <w:cols w:equalWidth="0" w:num="2">
            <w:col w:w="7000" w:space="720"/>
            <w:col w:w="3740"/>
          </w:cols>
          <w:pgMar w:left="220" w:top="1090" w:right="219" w:bottom="1440" w:gutter="0" w:footer="0" w:header="0"/>
          <w:type w:val="continuous"/>
        </w:sectPr>
      </w:pPr>
    </w:p>
    <w:p>
      <w:pPr>
        <w:ind w:left="1760"/>
        <w:spacing w:after="0"/>
        <w:rPr>
          <w:sz w:val="20"/>
          <w:szCs w:val="20"/>
          <w:color w:val="auto"/>
        </w:rPr>
      </w:pPr>
      <w:r>
        <w:rPr>
          <w:rFonts w:ascii="Arial" w:cs="Arial" w:eastAsia="Arial" w:hAnsi="Arial"/>
          <w:sz w:val="10"/>
          <w:szCs w:val="10"/>
          <w:b w:val="1"/>
          <w:bCs w:val="1"/>
          <w:color w:val="auto"/>
        </w:rPr>
        <w:t>804 Carnegie Center, Princeton, 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08540</w:t>
      </w:r>
    </w:p>
    <w:p>
      <w:pPr>
        <w:spacing w:after="0" w:line="35" w:lineRule="exact"/>
        <w:rPr>
          <w:sz w:val="24"/>
          <w:szCs w:val="24"/>
          <w:color w:val="auto"/>
        </w:rPr>
      </w:pPr>
    </w:p>
    <w:p>
      <w:pPr>
        <w:sectPr>
          <w:pgSz w:w="11900" w:h="16838" w:orient="portrait"/>
          <w:cols w:equalWidth="0" w:num="2">
            <w:col w:w="7680" w:space="720"/>
            <w:col w:w="3060"/>
          </w:cols>
          <w:pgMar w:left="220" w:top="1090" w:right="219" w:bottom="1440" w:gutter="0" w:footer="0" w:header="0"/>
          <w:type w:val="continuous"/>
        </w:sectPr>
      </w:pPr>
    </w:p>
    <w:p>
      <w:pPr>
        <w:ind w:left="1960"/>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(Zip Code)</w:t>
      </w:r>
    </w:p>
    <w:p>
      <w:pPr>
        <w:spacing w:after="0" w:line="46" w:lineRule="exact"/>
        <w:rPr>
          <w:sz w:val="24"/>
          <w:szCs w:val="24"/>
          <w:color w:val="auto"/>
        </w:rPr>
      </w:pPr>
    </w:p>
    <w:p>
      <w:pPr>
        <w:sectPr>
          <w:pgSz w:w="11900" w:h="16838" w:orient="portrait"/>
          <w:cols w:equalWidth="0" w:num="2">
            <w:col w:w="7580" w:space="720"/>
            <w:col w:w="3160"/>
          </w:cols>
          <w:pgMar w:left="220" w:top="1090" w:right="219" w:bottom="1440" w:gutter="0" w:footer="0" w:header="0"/>
          <w:type w:val="continuous"/>
        </w:sectPr>
      </w:pPr>
    </w:p>
    <w:p>
      <w:pPr>
        <w:ind w:left="5460"/>
        <w:spacing w:after="0"/>
        <w:rPr>
          <w:sz w:val="20"/>
          <w:szCs w:val="20"/>
          <w:color w:val="auto"/>
        </w:rPr>
      </w:pPr>
      <w:r>
        <w:rPr>
          <w:rFonts w:ascii="Arial" w:cs="Arial" w:eastAsia="Arial" w:hAnsi="Arial"/>
          <w:sz w:val="12"/>
          <w:szCs w:val="12"/>
          <w:b w:val="1"/>
          <w:bCs w:val="1"/>
          <w:color w:val="auto"/>
        </w:rPr>
        <w:t>(609) 524-4500</w:t>
      </w:r>
    </w:p>
    <w:p>
      <w:pPr>
        <w:spacing w:after="0" w:line="10" w:lineRule="exact"/>
        <w:rPr>
          <w:sz w:val="24"/>
          <w:szCs w:val="24"/>
          <w:color w:val="auto"/>
        </w:rPr>
      </w:pPr>
    </w:p>
    <w:p>
      <w:pPr>
        <w:ind w:left="4580"/>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21" w:lineRule="exact"/>
        <w:rPr>
          <w:sz w:val="24"/>
          <w:szCs w:val="24"/>
          <w:color w:val="auto"/>
        </w:rPr>
      </w:pPr>
    </w:p>
    <w:p>
      <w:pPr>
        <w:ind w:left="430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19" w:lineRule="exact"/>
        <w:rPr>
          <w:sz w:val="24"/>
          <w:szCs w:val="24"/>
          <w:color w:val="auto"/>
        </w:rPr>
      </w:pPr>
    </w:p>
    <w:p>
      <w:pPr>
        <w:ind w:left="5600"/>
        <w:spacing w:after="0"/>
        <w:rPr>
          <w:sz w:val="20"/>
          <w:szCs w:val="20"/>
          <w:color w:val="auto"/>
        </w:rPr>
      </w:pPr>
      <w:r>
        <w:rPr>
          <w:rFonts w:ascii="Arial" w:cs="Arial" w:eastAsia="Arial" w:hAnsi="Arial"/>
          <w:sz w:val="12"/>
          <w:szCs w:val="12"/>
          <w:b w:val="1"/>
          <w:bCs w:val="1"/>
          <w:color w:val="auto"/>
        </w:rPr>
        <w:t>None</w:t>
      </w:r>
    </w:p>
    <w:p>
      <w:pPr>
        <w:ind w:left="4320"/>
        <w:spacing w:after="0"/>
        <w:rPr>
          <w:sz w:val="20"/>
          <w:szCs w:val="20"/>
          <w:color w:val="auto"/>
        </w:rPr>
      </w:pPr>
      <w:r>
        <w:rPr>
          <w:rFonts w:ascii="Arial" w:cs="Arial" w:eastAsia="Arial" w:hAnsi="Arial"/>
          <w:sz w:val="10"/>
          <w:szCs w:val="10"/>
          <w:b w:val="1"/>
          <w:bCs w:val="1"/>
          <w:color w:val="auto"/>
        </w:rPr>
        <w:t>Securities registered pursuant to Section 12(g) of the Act:</w:t>
      </w:r>
    </w:p>
    <w:p>
      <w:pPr>
        <w:spacing w:after="0" w:line="21" w:lineRule="exact"/>
        <w:rPr>
          <w:sz w:val="24"/>
          <w:szCs w:val="24"/>
          <w:color w:val="auto"/>
        </w:rPr>
      </w:pPr>
    </w:p>
    <w:p>
      <w:pPr>
        <w:ind w:left="5600"/>
        <w:spacing w:after="0"/>
        <w:rPr>
          <w:sz w:val="20"/>
          <w:szCs w:val="20"/>
          <w:color w:val="auto"/>
        </w:rPr>
      </w:pPr>
      <w:r>
        <w:rPr>
          <w:rFonts w:ascii="Arial" w:cs="Arial" w:eastAsia="Arial" w:hAnsi="Arial"/>
          <w:sz w:val="12"/>
          <w:szCs w:val="12"/>
          <w:b w:val="1"/>
          <w:bCs w:val="1"/>
          <w:color w:val="auto"/>
        </w:rPr>
        <w:t>None</w:t>
      </w:r>
    </w:p>
    <w:p>
      <w:pPr>
        <w:sectPr>
          <w:pgSz w:w="11900" w:h="16838" w:orient="portrait"/>
          <w:cols w:equalWidth="0" w:num="1">
            <w:col w:w="11460"/>
          </w:cols>
          <w:pgMar w:left="220" w:top="1090" w:right="219" w:bottom="1440" w:gutter="0" w:footer="0" w:header="0"/>
          <w:type w:val="continuous"/>
        </w:sectPr>
      </w:pPr>
    </w:p>
    <w:p>
      <w:pPr>
        <w:ind w:left="180"/>
        <w:spacing w:after="0"/>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8"/>
          <w:szCs w:val="8"/>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No x</w:t>
      </w:r>
    </w:p>
    <w:p>
      <w:pPr>
        <w:spacing w:after="0" w:line="73" w:lineRule="exact"/>
        <w:rPr>
          <w:sz w:val="24"/>
          <w:szCs w:val="24"/>
          <w:color w:val="auto"/>
        </w:rPr>
      </w:pPr>
    </w:p>
    <w:p>
      <w:pPr>
        <w:sectPr>
          <w:pgSz w:w="11900" w:h="16838" w:orient="portrait"/>
          <w:cols w:equalWidth="0" w:num="3">
            <w:col w:w="5040" w:space="100"/>
            <w:col w:w="220" w:space="100"/>
            <w:col w:w="6000"/>
          </w:cols>
          <w:pgMar w:left="220" w:top="1090" w:right="219" w:bottom="1440" w:gutter="0" w:footer="0" w:header="0"/>
          <w:type w:val="continuous"/>
        </w:sectPr>
      </w:pPr>
    </w:p>
    <w:p>
      <w:pPr>
        <w:ind w:left="180"/>
        <w:spacing w:after="0"/>
        <w:tabs>
          <w:tab w:leader="none" w:pos="5940" w:val="left"/>
        </w:tabs>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Exchange Act.  Yes x</w:t>
      </w:r>
      <w:r>
        <w:rPr>
          <w:sz w:val="20"/>
          <w:szCs w:val="20"/>
          <w:color w:val="auto"/>
        </w:rPr>
        <w:tab/>
      </w:r>
      <w:r>
        <w:rPr>
          <w:rFonts w:ascii="Arial" w:cs="Arial" w:eastAsia="Arial" w:hAnsi="Arial"/>
          <w:sz w:val="10"/>
          <w:szCs w:val="10"/>
          <w:color w:val="auto"/>
        </w:rPr>
        <w:t>No o</w:t>
      </w:r>
    </w:p>
    <w:p>
      <w:pPr>
        <w:spacing w:after="0" w:line="79" w:lineRule="exact"/>
        <w:rPr>
          <w:sz w:val="24"/>
          <w:szCs w:val="24"/>
          <w:color w:val="auto"/>
        </w:rPr>
      </w:pPr>
    </w:p>
    <w:p>
      <w:pPr>
        <w:jc w:val="both"/>
        <w:ind w:firstLine="175"/>
        <w:spacing w:after="0" w:line="259" w:lineRule="auto"/>
        <w:rPr>
          <w:sz w:val="20"/>
          <w:szCs w:val="20"/>
          <w:color w:val="auto"/>
        </w:rPr>
      </w:pPr>
      <w:r>
        <w:rPr>
          <w:rFonts w:ascii="Arial" w:cs="Arial" w:eastAsia="Arial" w:hAnsi="Arial"/>
          <w:sz w:val="10"/>
          <w:szCs w:val="10"/>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94" w:lineRule="exact"/>
        <w:rPr>
          <w:sz w:val="24"/>
          <w:szCs w:val="24"/>
          <w:color w:val="auto"/>
        </w:rPr>
      </w:pPr>
    </w:p>
    <w:p>
      <w:pPr>
        <w:jc w:val="both"/>
        <w:ind w:firstLine="175"/>
        <w:spacing w:after="0" w:line="251" w:lineRule="auto"/>
        <w:rPr>
          <w:sz w:val="20"/>
          <w:szCs w:val="20"/>
          <w:color w:val="auto"/>
        </w:rPr>
      </w:pPr>
      <w:r>
        <w:rPr>
          <w:rFonts w:ascii="Arial" w:cs="Arial" w:eastAsia="Arial" w:hAnsi="Arial"/>
          <w:sz w:val="10"/>
          <w:szCs w:val="1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firstLine="175"/>
        <w:spacing w:after="0" w:line="249" w:lineRule="auto"/>
        <w:rPr>
          <w:sz w:val="20"/>
          <w:szCs w:val="20"/>
          <w:color w:val="auto"/>
        </w:rPr>
      </w:pPr>
      <w:r>
        <w:rPr>
          <w:rFonts w:ascii="Arial" w:cs="Arial" w:eastAsia="Arial" w:hAnsi="Arial"/>
          <w:sz w:val="10"/>
          <w:szCs w:val="10"/>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jc w:val="both"/>
        <w:ind w:firstLine="175"/>
        <w:spacing w:after="0" w:line="26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Arial" w:cs="Arial" w:eastAsia="Arial" w:hAnsi="Arial"/>
          <w:sz w:val="11"/>
          <w:szCs w:val="11"/>
          <w:color w:val="auto"/>
        </w:rPr>
        <w:t>.</w:t>
      </w:r>
    </w:p>
    <w:p>
      <w:pPr>
        <w:sectPr>
          <w:pgSz w:w="11900" w:h="16838" w:orient="portrait"/>
          <w:cols w:equalWidth="0" w:num="1">
            <w:col w:w="11460"/>
          </w:cols>
          <w:pgMar w:left="220" w:top="1090" w:right="219" w:bottom="1440" w:gutter="0" w:footer="0" w:header="0"/>
          <w:type w:val="continuous"/>
        </w:sectPr>
      </w:pPr>
    </w:p>
    <w:p>
      <w:pPr>
        <w:spacing w:after="0" w:line="138" w:lineRule="exact"/>
        <w:rPr>
          <w:sz w:val="24"/>
          <w:szCs w:val="24"/>
          <w:color w:val="auto"/>
        </w:rPr>
      </w:pPr>
    </w:p>
    <w:p>
      <w:pPr>
        <w:ind w:left="720"/>
        <w:spacing w:after="0"/>
        <w:rPr>
          <w:sz w:val="20"/>
          <w:szCs w:val="20"/>
          <w:color w:val="auto"/>
        </w:rPr>
      </w:pPr>
      <w:r>
        <w:rPr>
          <w:rFonts w:ascii="Arial" w:cs="Arial" w:eastAsia="Arial" w:hAnsi="Arial"/>
          <w:sz w:val="9"/>
          <w:szCs w:val="9"/>
          <w:color w:val="auto"/>
        </w:rPr>
        <w:t>Large accelerated filer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520"/>
        <w:spacing w:after="0"/>
        <w:rPr>
          <w:sz w:val="20"/>
          <w:szCs w:val="20"/>
          <w:color w:val="auto"/>
        </w:rPr>
      </w:pPr>
      <w:r>
        <w:rPr>
          <w:rFonts w:ascii="Arial" w:cs="Arial" w:eastAsia="Arial" w:hAnsi="Arial"/>
          <w:sz w:val="9"/>
          <w:szCs w:val="9"/>
          <w:color w:val="auto"/>
        </w:rPr>
        <w:t>Accelerated filer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480"/>
        <w:spacing w:after="0"/>
        <w:rPr>
          <w:sz w:val="20"/>
          <w:szCs w:val="20"/>
          <w:color w:val="auto"/>
        </w:rPr>
      </w:pPr>
      <w:r>
        <w:rPr>
          <w:rFonts w:ascii="Arial" w:cs="Arial" w:eastAsia="Arial" w:hAnsi="Arial"/>
          <w:sz w:val="9"/>
          <w:szCs w:val="9"/>
          <w:color w:val="auto"/>
        </w:rPr>
        <w:t>Non-accelerated filer x</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400"/>
        <w:spacing w:after="0"/>
        <w:rPr>
          <w:sz w:val="20"/>
          <w:szCs w:val="20"/>
          <w:color w:val="auto"/>
        </w:rPr>
      </w:pPr>
      <w:r>
        <w:rPr>
          <w:rFonts w:ascii="Arial" w:cs="Arial" w:eastAsia="Arial" w:hAnsi="Arial"/>
          <w:sz w:val="9"/>
          <w:szCs w:val="9"/>
          <w:color w:val="auto"/>
        </w:rPr>
        <w:t>Smaller reporting company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9"/>
          <w:szCs w:val="9"/>
          <w:color w:val="auto"/>
        </w:rPr>
        <w:t>Emerging Growth Company o</w:t>
      </w:r>
    </w:p>
    <w:p>
      <w:pPr>
        <w:spacing w:after="0" w:line="91" w:lineRule="exact"/>
        <w:rPr>
          <w:sz w:val="24"/>
          <w:szCs w:val="24"/>
          <w:color w:val="auto"/>
        </w:rPr>
      </w:pPr>
    </w:p>
    <w:p>
      <w:pPr>
        <w:sectPr>
          <w:pgSz w:w="11900" w:h="16838" w:orient="portrait"/>
          <w:cols w:equalWidth="0" w:num="5">
            <w:col w:w="2300" w:space="720"/>
            <w:col w:w="1300" w:space="720"/>
            <w:col w:w="1440" w:space="720"/>
            <w:col w:w="1600" w:space="720"/>
            <w:col w:w="1940"/>
          </w:cols>
          <w:pgMar w:left="220" w:top="1090" w:right="219" w:bottom="1440" w:gutter="0" w:footer="0" w:header="0"/>
          <w:type w:val="continuous"/>
        </w:sectPr>
      </w:pPr>
    </w:p>
    <w:p>
      <w:pPr>
        <w:jc w:val="center"/>
        <w:ind w:right="420"/>
        <w:spacing w:after="0"/>
        <w:rPr>
          <w:sz w:val="20"/>
          <w:szCs w:val="20"/>
          <w:color w:val="auto"/>
        </w:rPr>
      </w:pPr>
      <w:r>
        <w:rPr>
          <w:rFonts w:ascii="Arial" w:cs="Arial" w:eastAsia="Arial" w:hAnsi="Arial"/>
          <w:sz w:val="9"/>
          <w:szCs w:val="9"/>
          <w:color w:val="auto"/>
        </w:rPr>
        <w:t>(Do not check if a smaller reporting company)</w:t>
      </w:r>
    </w:p>
    <w:p>
      <w:pPr>
        <w:sectPr>
          <w:pgSz w:w="11900" w:h="16838" w:orient="portrait"/>
          <w:cols w:equalWidth="0" w:num="1">
            <w:col w:w="11460"/>
          </w:cols>
          <w:pgMar w:left="220" w:top="1090" w:right="219" w:bottom="1440" w:gutter="0" w:footer="0" w:header="0"/>
          <w:type w:val="continuous"/>
        </w:sectPr>
      </w:pPr>
    </w:p>
    <w:p>
      <w:pPr>
        <w:spacing w:after="0" w:line="27" w:lineRule="exact"/>
        <w:rPr>
          <w:sz w:val="24"/>
          <w:szCs w:val="24"/>
          <w:color w:val="auto"/>
        </w:rPr>
      </w:pPr>
    </w:p>
    <w:p>
      <w:pPr>
        <w:ind w:left="180" w:right="760"/>
        <w:spacing w:after="0" w:line="247" w:lineRule="auto"/>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 Indicate by check mark whether the registrant is a shell company (as defined in Rule 12b-2 of the Act). Yes o No x</w:t>
      </w:r>
    </w:p>
    <w:p>
      <w:pPr>
        <w:ind w:left="180"/>
        <w:spacing w:after="0"/>
        <w:rPr>
          <w:sz w:val="20"/>
          <w:szCs w:val="20"/>
          <w:color w:val="auto"/>
        </w:rPr>
      </w:pPr>
      <w:r>
        <w:rPr>
          <w:rFonts w:ascii="Arial" w:cs="Arial" w:eastAsia="Arial" w:hAnsi="Arial"/>
          <w:sz w:val="10"/>
          <w:szCs w:val="10"/>
          <w:color w:val="auto"/>
        </w:rPr>
        <w:t>NRG Yield LLC's outstanding equity interests are held by NRG Yield, Inc. and NRG Energy, Inc. and there are no equity interests held by non-affiliates.</w:t>
      </w:r>
    </w:p>
    <w:p>
      <w:pPr>
        <w:spacing w:after="0" w:line="2" w:lineRule="exact"/>
        <w:rPr>
          <w:sz w:val="24"/>
          <w:szCs w:val="24"/>
          <w:color w:val="auto"/>
        </w:rPr>
      </w:pPr>
    </w:p>
    <w:p>
      <w:pPr>
        <w:ind w:left="180"/>
        <w:spacing w:after="0"/>
        <w:rPr>
          <w:sz w:val="20"/>
          <w:szCs w:val="20"/>
          <w:color w:val="auto"/>
        </w:rPr>
      </w:pPr>
      <w:r>
        <w:rPr>
          <w:rFonts w:ascii="Arial" w:cs="Arial" w:eastAsia="Arial" w:hAnsi="Arial"/>
          <w:sz w:val="10"/>
          <w:szCs w:val="10"/>
          <w:color w:val="auto"/>
        </w:rPr>
        <w:t>Indicate the number of shares outstanding of each of the registrant's classes of common stock as of the latest practicable date. There is no public market for the registrant's outstanding units.</w:t>
      </w:r>
    </w:p>
    <w:p>
      <w:pPr>
        <w:spacing w:after="0" w:line="168" w:lineRule="exact"/>
        <w:rPr>
          <w:sz w:val="24"/>
          <w:szCs w:val="24"/>
          <w:color w:val="auto"/>
        </w:rPr>
      </w:pPr>
    </w:p>
    <w:tbl>
      <w:tblPr>
        <w:tblLayout w:type="fixed"/>
        <w:tblInd w:w="4200" w:type="dxa"/>
        <w:tblCellMar>
          <w:top w:w="0" w:type="dxa"/>
          <w:left w:w="0" w:type="dxa"/>
          <w:bottom w:w="0" w:type="dxa"/>
          <w:right w:w="0" w:type="dxa"/>
        </w:tblCellMar>
      </w:tblPr>
      <w:tr>
        <w:trPr>
          <w:trHeight w:val="117"/>
        </w:trPr>
        <w:tc>
          <w:tcPr>
            <w:tcW w:w="1420" w:type="dxa"/>
            <w:vAlign w:val="bottom"/>
          </w:tcPr>
          <w:p>
            <w:pPr>
              <w:jc w:val="center"/>
              <w:ind w:right="895"/>
              <w:spacing w:after="0"/>
              <w:rPr>
                <w:sz w:val="20"/>
                <w:szCs w:val="20"/>
                <w:color w:val="auto"/>
              </w:rPr>
            </w:pPr>
            <w:r>
              <w:rPr>
                <w:rFonts w:ascii="Arial" w:cs="Arial" w:eastAsia="Arial" w:hAnsi="Arial"/>
                <w:sz w:val="9"/>
                <w:szCs w:val="9"/>
                <w:b w:val="1"/>
                <w:bCs w:val="1"/>
                <w:color w:val="auto"/>
                <w:w w:val="83"/>
              </w:rPr>
              <w:t>Class</w:t>
            </w:r>
          </w:p>
        </w:tc>
        <w:tc>
          <w:tcPr>
            <w:tcW w:w="2180" w:type="dxa"/>
            <w:vAlign w:val="bottom"/>
          </w:tcPr>
          <w:p>
            <w:pPr>
              <w:jc w:val="center"/>
              <w:ind w:left="855"/>
              <w:spacing w:after="0"/>
              <w:rPr>
                <w:sz w:val="20"/>
                <w:szCs w:val="20"/>
                <w:color w:val="auto"/>
              </w:rPr>
            </w:pPr>
            <w:r>
              <w:rPr>
                <w:rFonts w:ascii="Arial" w:cs="Arial" w:eastAsia="Arial" w:hAnsi="Arial"/>
                <w:sz w:val="9"/>
                <w:szCs w:val="9"/>
                <w:b w:val="1"/>
                <w:bCs w:val="1"/>
                <w:color w:val="auto"/>
                <w:w w:val="92"/>
              </w:rPr>
              <w:t>Outstanding at January 31, 2018</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2"/>
              </w:rPr>
              <w:t>Class A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34,586,250</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2"/>
              </w:rPr>
              <w:t>Class B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42,738,750</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1"/>
              </w:rPr>
              <w:t>Class C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64,730,519</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1"/>
              </w:rPr>
              <w:t>Class D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42,738,750</w:t>
            </w:r>
          </w:p>
        </w:tc>
      </w:tr>
    </w:tbl>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1"/>
          <w:szCs w:val="11"/>
          <w:b w:val="1"/>
          <w:bCs w:val="1"/>
          <w:color w:val="auto"/>
        </w:rPr>
        <w:t>None.</w:t>
      </w:r>
    </w:p>
    <w:p>
      <w:pPr>
        <w:ind w:right="240"/>
        <w:spacing w:after="0" w:line="258" w:lineRule="auto"/>
        <w:rPr>
          <w:sz w:val="20"/>
          <w:szCs w:val="20"/>
          <w:color w:val="auto"/>
        </w:rPr>
      </w:pPr>
      <w:r>
        <w:rPr>
          <w:rFonts w:ascii="Arial" w:cs="Arial" w:eastAsia="Arial" w:hAnsi="Arial"/>
          <w:sz w:val="10"/>
          <w:szCs w:val="10"/>
          <w:color w:val="auto"/>
        </w:rPr>
        <w:t>NOTE: WHEREAS NRG YIELD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117475</wp:posOffset>
            </wp:positionV>
            <wp:extent cx="709993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9935" cy="1841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55880</wp:posOffset>
            </wp:positionV>
            <wp:extent cx="70999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9935" cy="6350"/>
                    </a:xfrm>
                    <a:prstGeom prst="rect">
                      <a:avLst/>
                    </a:prstGeom>
                    <a:noFill/>
                  </pic:spPr>
                </pic:pic>
              </a:graphicData>
            </a:graphic>
          </wp:anchor>
        </w:drawing>
      </w:r>
    </w:p>
    <w:p>
      <w:pPr>
        <w:sectPr>
          <w:pgSz w:w="11900" w:h="16838" w:orient="portrait"/>
          <w:cols w:equalWidth="0" w:num="1">
            <w:col w:w="11460"/>
          </w:cols>
          <w:pgMar w:left="220" w:top="1090"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11240" w:type="dxa"/>
            <w:vAlign w:val="bottom"/>
          </w:tcPr>
          <w:p>
            <w:pPr>
              <w:jc w:val="center"/>
              <w:ind w:left="115"/>
              <w:spacing w:after="0"/>
              <w:rPr>
                <w:sz w:val="20"/>
                <w:szCs w:val="20"/>
                <w:color w:val="auto"/>
              </w:rPr>
            </w:pPr>
            <w:r>
              <w:rPr>
                <w:rFonts w:ascii="Arial" w:cs="Arial" w:eastAsia="Arial" w:hAnsi="Arial"/>
                <w:sz w:val="13"/>
                <w:szCs w:val="13"/>
                <w:b w:val="1"/>
                <w:bCs w:val="1"/>
                <w:color w:val="auto"/>
                <w:w w:val="98"/>
              </w:rPr>
              <w:t>TABLE OF CONTENTS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11240" w:type="dxa"/>
            <w:vAlign w:val="bottom"/>
          </w:tcPr>
          <w:p>
            <w:pPr>
              <w:jc w:val="center"/>
              <w:ind w:left="135"/>
              <w:spacing w:after="0"/>
              <w:rPr>
                <w:sz w:val="20"/>
                <w:szCs w:val="20"/>
                <w:color w:val="auto"/>
              </w:rPr>
            </w:pPr>
            <w:r>
              <w:rPr>
                <w:rFonts w:ascii="Arial" w:cs="Arial" w:eastAsia="Arial" w:hAnsi="Arial"/>
                <w:sz w:val="13"/>
                <w:szCs w:val="13"/>
                <w:b w:val="1"/>
                <w:bCs w:val="1"/>
                <w:color w:val="auto"/>
                <w:w w:val="94"/>
              </w:rPr>
              <w:t>Index</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4"/>
        </w:trPr>
        <w:tc>
          <w:tcPr>
            <w:tcW w:w="11240" w:type="dxa"/>
            <w:vAlign w:val="bottom"/>
          </w:tcPr>
          <w:p>
            <w:pPr>
              <w:spacing w:after="0"/>
              <w:rPr>
                <w:sz w:val="20"/>
                <w:szCs w:val="20"/>
                <w:color w:val="auto"/>
              </w:rPr>
            </w:pPr>
            <w:r>
              <w:rPr>
                <w:rFonts w:ascii="Arial" w:cs="Arial" w:eastAsia="Arial" w:hAnsi="Arial"/>
                <w:sz w:val="13"/>
                <w:szCs w:val="13"/>
                <w:color w:val="auto"/>
              </w:rPr>
              <w:t>GLOSSARY OF TERMS</w:t>
            </w:r>
          </w:p>
        </w:tc>
        <w:tc>
          <w:tcPr>
            <w:tcW w:w="120" w:type="dxa"/>
            <w:vAlign w:val="bottom"/>
            <w:gridSpan w:val="2"/>
          </w:tcPr>
          <w:p>
            <w:pPr>
              <w:spacing w:after="0"/>
              <w:rPr>
                <w:sz w:val="21"/>
                <w:szCs w:val="21"/>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3">
              <w:r>
                <w:rPr>
                  <w:rFonts w:ascii="Arial" w:cs="Arial" w:eastAsia="Arial" w:hAnsi="Arial"/>
                  <w:sz w:val="13"/>
                  <w:szCs w:val="13"/>
                  <w:b w:val="1"/>
                  <w:bCs w:val="1"/>
                  <w:color w:val="0000EE"/>
                  <w:w w:val="82"/>
                </w:rPr>
                <w:t>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1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7">
              <w:r>
                <w:rPr>
                  <w:rFonts w:ascii="Arial" w:cs="Arial" w:eastAsia="Arial" w:hAnsi="Arial"/>
                  <w:sz w:val="13"/>
                  <w:szCs w:val="13"/>
                  <w:b w:val="1"/>
                  <w:bCs w:val="1"/>
                  <w:color w:val="0000EE"/>
                  <w:w w:val="82"/>
                </w:rPr>
                <w:t>7</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 — Business</w:t>
            </w:r>
          </w:p>
        </w:tc>
        <w:tc>
          <w:tcPr>
            <w:tcW w:w="1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7">
              <w:r>
                <w:rPr>
                  <w:rFonts w:ascii="Arial" w:cs="Arial" w:eastAsia="Arial" w:hAnsi="Arial"/>
                  <w:sz w:val="13"/>
                  <w:szCs w:val="13"/>
                  <w:b w:val="1"/>
                  <w:bCs w:val="1"/>
                  <w:color w:val="0000EE"/>
                  <w:w w:val="82"/>
                </w:rPr>
                <w:t>7</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1A — Risk Factors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13">
              <w:r>
                <w:rPr>
                  <w:rFonts w:ascii="Arial" w:cs="Arial" w:eastAsia="Arial" w:hAnsi="Arial"/>
                  <w:sz w:val="13"/>
                  <w:szCs w:val="13"/>
                  <w:b w:val="1"/>
                  <w:bCs w:val="1"/>
                  <w:color w:val="0000EE"/>
                  <w:w w:val="82"/>
                </w:rPr>
                <w:t>13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1B — Unresolved Staff Comments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29">
              <w:r>
                <w:rPr>
                  <w:rFonts w:ascii="Arial" w:cs="Arial" w:eastAsia="Arial" w:hAnsi="Arial"/>
                  <w:sz w:val="13"/>
                  <w:szCs w:val="13"/>
                  <w:b w:val="1"/>
                  <w:bCs w:val="1"/>
                  <w:color w:val="0000EE"/>
                  <w:w w:val="82"/>
                </w:rPr>
                <w:t>29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2 — Properties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0">
              <w:r>
                <w:rPr>
                  <w:rFonts w:ascii="Arial" w:cs="Arial" w:eastAsia="Arial" w:hAnsi="Arial"/>
                  <w:sz w:val="13"/>
                  <w:szCs w:val="13"/>
                  <w:b w:val="1"/>
                  <w:bCs w:val="1"/>
                  <w:color w:val="0000EE"/>
                  <w:w w:val="82"/>
                </w:rPr>
                <w:t>30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3 — Legal Proceedings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3">
              <w:r>
                <w:rPr>
                  <w:rFonts w:ascii="Arial" w:cs="Arial" w:eastAsia="Arial" w:hAnsi="Arial"/>
                  <w:sz w:val="13"/>
                  <w:szCs w:val="13"/>
                  <w:b w:val="1"/>
                  <w:bCs w:val="1"/>
                  <w:color w:val="0000EE"/>
                  <w:w w:val="82"/>
                </w:rPr>
                <w:t>33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4 — Mine Safety Disclosures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3">
              <w:r>
                <w:rPr>
                  <w:rFonts w:ascii="Arial" w:cs="Arial" w:eastAsia="Arial" w:hAnsi="Arial"/>
                  <w:sz w:val="13"/>
                  <w:szCs w:val="13"/>
                  <w:b w:val="1"/>
                  <w:bCs w:val="1"/>
                  <w:color w:val="0000EE"/>
                  <w:w w:val="82"/>
                </w:rPr>
                <w:t>33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4">
              <w:r>
                <w:rPr>
                  <w:rFonts w:ascii="Arial" w:cs="Arial" w:eastAsia="Arial" w:hAnsi="Arial"/>
                  <w:sz w:val="13"/>
                  <w:szCs w:val="13"/>
                  <w:b w:val="1"/>
                  <w:bCs w:val="1"/>
                  <w:color w:val="0000EE"/>
                  <w:w w:val="82"/>
                </w:rPr>
                <w:t>34</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5 — Market for Registrant's Common Equity, Related Stockholder Matters and Issuer Purchases of Equity Securities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4">
              <w:r>
                <w:rPr>
                  <w:rFonts w:ascii="Arial" w:cs="Arial" w:eastAsia="Arial" w:hAnsi="Arial"/>
                  <w:sz w:val="13"/>
                  <w:szCs w:val="13"/>
                  <w:b w:val="1"/>
                  <w:bCs w:val="1"/>
                  <w:color w:val="0000EE"/>
                  <w:w w:val="82"/>
                </w:rPr>
                <w:t>34</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6 — Selected Financial Data</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5">
              <w:r>
                <w:rPr>
                  <w:rFonts w:ascii="Arial" w:cs="Arial" w:eastAsia="Arial" w:hAnsi="Arial"/>
                  <w:sz w:val="13"/>
                  <w:szCs w:val="13"/>
                  <w:b w:val="1"/>
                  <w:bCs w:val="1"/>
                  <w:color w:val="0000EE"/>
                  <w:w w:val="82"/>
                </w:rPr>
                <w:t>35</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7 — Management's Discussion and Analysis of Financial Condition and Results of Operations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6">
              <w:r>
                <w:rPr>
                  <w:rFonts w:ascii="Arial" w:cs="Arial" w:eastAsia="Arial" w:hAnsi="Arial"/>
                  <w:sz w:val="13"/>
                  <w:szCs w:val="13"/>
                  <w:b w:val="1"/>
                  <w:bCs w:val="1"/>
                  <w:color w:val="0000EE"/>
                  <w:w w:val="82"/>
                </w:rPr>
                <w:t>36</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7A — Quantitative and Qualitative Disclosures About Market Risk</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59">
              <w:r>
                <w:rPr>
                  <w:rFonts w:ascii="Arial" w:cs="Arial" w:eastAsia="Arial" w:hAnsi="Arial"/>
                  <w:sz w:val="13"/>
                  <w:szCs w:val="13"/>
                  <w:b w:val="1"/>
                  <w:bCs w:val="1"/>
                  <w:color w:val="0000EE"/>
                  <w:w w:val="82"/>
                </w:rPr>
                <w:t>59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8 — Financial Statements and Supplementary Data</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59">
              <w:r>
                <w:rPr>
                  <w:rFonts w:ascii="Arial" w:cs="Arial" w:eastAsia="Arial" w:hAnsi="Arial"/>
                  <w:sz w:val="13"/>
                  <w:szCs w:val="13"/>
                  <w:b w:val="1"/>
                  <w:bCs w:val="1"/>
                  <w:color w:val="0000EE"/>
                  <w:w w:val="82"/>
                </w:rPr>
                <w:t>59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 — Changes in Disagreements With Accountants on Accounting and Financial Disclosure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0">
              <w:r>
                <w:rPr>
                  <w:rFonts w:ascii="Arial" w:cs="Arial" w:eastAsia="Arial" w:hAnsi="Arial"/>
                  <w:sz w:val="13"/>
                  <w:szCs w:val="13"/>
                  <w:b w:val="1"/>
                  <w:bCs w:val="1"/>
                  <w:color w:val="0000EE"/>
                  <w:w w:val="82"/>
                </w:rPr>
                <w:t>60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9A — Controls and Procedures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0">
              <w:r>
                <w:rPr>
                  <w:rFonts w:ascii="Arial" w:cs="Arial" w:eastAsia="Arial" w:hAnsi="Arial"/>
                  <w:sz w:val="13"/>
                  <w:szCs w:val="13"/>
                  <w:b w:val="1"/>
                  <w:bCs w:val="1"/>
                  <w:color w:val="0000EE"/>
                  <w:w w:val="82"/>
                </w:rPr>
                <w:t>60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9B — Other Information</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0">
              <w:r>
                <w:rPr>
                  <w:rFonts w:ascii="Arial" w:cs="Arial" w:eastAsia="Arial" w:hAnsi="Arial"/>
                  <w:sz w:val="13"/>
                  <w:szCs w:val="13"/>
                  <w:b w:val="1"/>
                  <w:bCs w:val="1"/>
                  <w:color w:val="0000EE"/>
                  <w:w w:val="82"/>
                </w:rPr>
                <w:t>60</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10 — Directors, Executive Officers and Corporate Governance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11 — Executive Compensation</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12 — Security Ownership of Certain Beneficial Owners and Management and Related Stockholder Matters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13 — Certain Relationships and Related Transactions, and Director Independence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14 — Principal Accounting Fees and Services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61</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3">
              <w:r>
                <w:rPr>
                  <w:rFonts w:ascii="Arial" w:cs="Arial" w:eastAsia="Arial" w:hAnsi="Arial"/>
                  <w:sz w:val="13"/>
                  <w:szCs w:val="13"/>
                  <w:b w:val="1"/>
                  <w:bCs w:val="1"/>
                  <w:color w:val="0000EE"/>
                  <w:w w:val="82"/>
                </w:rPr>
                <w:t>63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15 — Exhibits, Financial Statement Schedules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3">
              <w:r>
                <w:rPr>
                  <w:rFonts w:ascii="Arial" w:cs="Arial" w:eastAsia="Arial" w:hAnsi="Arial"/>
                  <w:sz w:val="13"/>
                  <w:szCs w:val="13"/>
                  <w:b w:val="1"/>
                  <w:bCs w:val="1"/>
                  <w:color w:val="0000EE"/>
                  <w:w w:val="82"/>
                </w:rPr>
                <w:t>63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EXHIBIT INDEX</w:t>
            </w:r>
          </w:p>
        </w:tc>
        <w:tc>
          <w:tcPr>
            <w:tcW w:w="200" w:type="dxa"/>
            <w:vAlign w:val="bottom"/>
            <w:tcBorders>
              <w:bottom w:val="single" w:sz="8" w:color="0000EE"/>
            </w:tcBorders>
            <w:gridSpan w:val="3"/>
          </w:tcPr>
          <w:p>
            <w:pPr>
              <w:jc w:val="right"/>
              <w:spacing w:after="0"/>
              <w:rPr>
                <w:rFonts w:ascii="Arial" w:cs="Arial" w:eastAsia="Arial" w:hAnsi="Arial"/>
                <w:sz w:val="13"/>
                <w:szCs w:val="13"/>
                <w:b w:val="1"/>
                <w:bCs w:val="1"/>
                <w:color w:val="0000EE"/>
                <w:w w:val="82"/>
              </w:rPr>
            </w:pPr>
            <w:hyperlink w:anchor="page119">
              <w:r>
                <w:rPr>
                  <w:rFonts w:ascii="Arial" w:cs="Arial" w:eastAsia="Arial" w:hAnsi="Arial"/>
                  <w:sz w:val="13"/>
                  <w:szCs w:val="13"/>
                  <w:b w:val="1"/>
                  <w:bCs w:val="1"/>
                  <w:color w:val="0000EE"/>
                  <w:w w:val="82"/>
                </w:rPr>
                <w:t>119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16 — Form 10-K Summary</w:t>
            </w:r>
          </w:p>
        </w:tc>
        <w:tc>
          <w:tcPr>
            <w:tcW w:w="200" w:type="dxa"/>
            <w:vAlign w:val="bottom"/>
            <w:tcBorders>
              <w:bottom w:val="single" w:sz="8" w:color="0000EE"/>
            </w:tcBorders>
            <w:gridSpan w:val="3"/>
          </w:tcPr>
          <w:p>
            <w:pPr>
              <w:jc w:val="right"/>
              <w:spacing w:after="0"/>
              <w:rPr>
                <w:rFonts w:ascii="Arial" w:cs="Arial" w:eastAsia="Arial" w:hAnsi="Arial"/>
                <w:sz w:val="13"/>
                <w:szCs w:val="13"/>
                <w:b w:val="1"/>
                <w:bCs w:val="1"/>
                <w:color w:val="0000EE"/>
                <w:w w:val="82"/>
              </w:rPr>
            </w:pPr>
            <w:hyperlink w:anchor="page124">
              <w:r>
                <w:rPr>
                  <w:rFonts w:ascii="Arial" w:cs="Arial" w:eastAsia="Arial" w:hAnsi="Arial"/>
                  <w:sz w:val="13"/>
                  <w:szCs w:val="13"/>
                  <w:b w:val="1"/>
                  <w:bCs w:val="1"/>
                  <w:color w:val="0000EE"/>
                  <w:w w:val="82"/>
                </w:rPr>
                <w:t>124</w:t>
              </w:r>
            </w:hyperlink>
          </w:p>
        </w:tc>
      </w:tr>
      <w:tr>
        <w:trPr>
          <w:trHeight w:val="358"/>
        </w:trPr>
        <w:tc>
          <w:tcPr>
            <w:tcW w:w="11240" w:type="dxa"/>
            <w:vAlign w:val="bottom"/>
          </w:tcPr>
          <w:p>
            <w:pPr>
              <w:jc w:val="center"/>
              <w:ind w:left="115"/>
              <w:spacing w:after="0"/>
              <w:rPr>
                <w:sz w:val="20"/>
                <w:szCs w:val="20"/>
                <w:color w:val="auto"/>
              </w:rPr>
            </w:pPr>
            <w:r>
              <w:rPr>
                <w:rFonts w:ascii="Arial" w:cs="Arial" w:eastAsia="Arial" w:hAnsi="Arial"/>
                <w:sz w:val="13"/>
                <w:szCs w:val="13"/>
                <w:color w:val="auto"/>
                <w:w w:val="82"/>
              </w:rPr>
              <w:t>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40"/>
          </w:cols>
          <w:pgMar w:left="240" w:top="943" w:right="219" w:bottom="1440" w:gutter="0" w:footer="0" w:header="0"/>
        </w:sectPr>
      </w:pPr>
    </w:p>
    <w:bookmarkStart w:id="2" w:name="page3"/>
    <w:bookmarkEnd w:id="2"/>
    <w:p>
      <w:pPr>
        <w:ind w:left="5000"/>
        <w:spacing w:after="0"/>
        <w:rPr>
          <w:sz w:val="20"/>
          <w:szCs w:val="20"/>
          <w:color w:val="auto"/>
        </w:rPr>
      </w:pPr>
      <w:r>
        <w:rPr>
          <w:rFonts w:ascii="Arial" w:cs="Arial" w:eastAsia="Arial" w:hAnsi="Arial"/>
          <w:sz w:val="12"/>
          <w:szCs w:val="12"/>
          <w:b w:val="1"/>
          <w:bCs w:val="1"/>
          <w:color w:val="auto"/>
        </w:rPr>
        <w:t>GLOSSARY OF TERMS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When the following terms and abbreviations appear in the text of this report, they have the meanings indicated below:</w:t>
      </w:r>
    </w:p>
    <w:p>
      <w:pPr>
        <w:sectPr>
          <w:pgSz w:w="11900" w:h="16838" w:orient="portrait"/>
          <w:cols w:equalWidth="0" w:num="1">
            <w:col w:w="11420"/>
          </w:cols>
          <w:pgMar w:left="240" w:top="710"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2019 Convertible Notes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Yield, Inc.'s $345 million aggregate principal amount of 3.50% Convertible Notes due 2019</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Yield, Inc.'s $287.5 million aggregate principal amount of 3.25% Convertible Notes due 2020</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2024 Senior Notes</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Arial" w:cs="Arial" w:eastAsia="Arial" w:hAnsi="Arial"/>
          <w:sz w:val="11"/>
          <w:szCs w:val="11"/>
          <w:color w:val="auto"/>
        </w:rPr>
        <w:t>$500 million aggregate principal amount of 5.375% unsecured senior notes due 2024, issued by NRG Yield Operating LLC</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2026 Senior Notes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1"/>
          <w:szCs w:val="11"/>
          <w:color w:val="auto"/>
        </w:rPr>
        <w:t>$350 million aggregate principal amount of 5.00% unsecured senior notes due 2026, issued by NRG Yield Operating LLC</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Alta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Alta Wind X-XI TE Holdco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Alta Wind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Seven wind facilities that total 947 MW located in Tehachapi, California and a portfolio of associated land leases</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Accumulated Other Comprehensive Loss</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Asset Retirement Obligation</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American Recovery and Reinvestment Act of 2009</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FASB Accounting Standards Codification, which the FASB established as the source of</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authoritative GAAP</w:t>
      </w:r>
    </w:p>
    <w:p>
      <w:pPr>
        <w:spacing w:after="0" w:line="3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Accounting Standards Updates – updates to the ASC</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ATM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At-The-Market Equity Offering Program</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remaining 25% interest in NRG Wind TE Holdco, an 814 net MW portfolio of twelve wind projects, acquired from NRG on August 1, 2017</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Buckthorn Solar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154 MW Buckthorn Solar project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Buffalo Bear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Buffalo Bear, LLC, the operating subsidiary of Tapestry Wind LLC, which owns the Buffalo Bear project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Clean Air Act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CAFD</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3"/>
          <w:szCs w:val="13"/>
          <w:color w:val="auto"/>
        </w:rPr>
        <w:t>Cash Available For Distribution, which the Company defines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w:t>
      </w:r>
    </w:p>
    <w:p>
      <w:pPr>
        <w:spacing w:after="0" w:line="23"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Carlsbad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Carlsbad Energy Center, a 527 MW natural gas fired project located in Carlsbad, CA</w:t>
      </w:r>
    </w:p>
    <w:p>
      <w:pPr>
        <w:spacing w:after="0" w:line="200"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CfD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Contract for Differences</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CFTC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Commodity Future Trading Commission</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Commercial Operation Date</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Internal Revenue Code of 1986, as amended</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NRG Yield LLC, together with its consolidated subsidiaries</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CVSR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California Valley Solar Ranch</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CVSR Drop Down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Company's acquisition from NRG of the remaining 51.05% interest of CVSR Holdco</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CVSR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CVSR Holdco LLC, the indirect owner of CVSR</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1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2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3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Distributed Solar</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Solar power projects, typically less than 20 MW in size, that primarily sell power produced to customers for usage on site, or are interconnected to sell power into the local distribution grid</w:t>
      </w:r>
    </w:p>
    <w:p>
      <w:pPr>
        <w:spacing w:after="0" w:line="12"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Drop Down Assets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Collectively, the June 2014 Drop Down Assets, January 2015 Drop Down Assets, November 2015 Drop Down Assets, CVSR Drop Down, March 2017 Drop Down Assets, August 2017 Drop Down Assets and November 2017 Drop Down Assets</w:t>
      </w:r>
    </w:p>
    <w:p>
      <w:pPr>
        <w:spacing w:after="0" w:line="12"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Energy and capacity revenue, less cost of fuels</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EDA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Equity Distribution Agreement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EGU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Electric Utility Generating Unit</w:t>
      </w:r>
    </w:p>
    <w:p>
      <w:pPr>
        <w:spacing w:after="0" w:line="200"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420"/>
          </w:cols>
          <w:pgMar w:left="240" w:top="71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3"/>
        </w:trPr>
        <w:tc>
          <w:tcPr>
            <w:tcW w:w="2420" w:type="dxa"/>
            <w:vAlign w:val="bottom"/>
          </w:tcPr>
          <w:p>
            <w:pPr>
              <w:spacing w:after="0"/>
              <w:rPr>
                <w:sz w:val="20"/>
                <w:szCs w:val="20"/>
                <w:color w:val="auto"/>
              </w:rPr>
            </w:pPr>
            <w:r>
              <w:rPr>
                <w:rFonts w:ascii="Arial" w:cs="Arial" w:eastAsia="Arial" w:hAnsi="Arial"/>
                <w:sz w:val="13"/>
                <w:szCs w:val="13"/>
                <w:color w:val="auto"/>
              </w:rPr>
              <w:t>El Segundo</w:t>
            </w:r>
          </w:p>
        </w:tc>
        <w:tc>
          <w:tcPr>
            <w:tcW w:w="9020" w:type="dxa"/>
            <w:vAlign w:val="bottom"/>
          </w:tcPr>
          <w:p>
            <w:pPr>
              <w:ind w:left="560"/>
              <w:spacing w:after="0"/>
              <w:rPr>
                <w:sz w:val="20"/>
                <w:szCs w:val="20"/>
                <w:color w:val="auto"/>
              </w:rPr>
            </w:pPr>
            <w:r>
              <w:rPr>
                <w:rFonts w:ascii="Arial" w:cs="Arial" w:eastAsia="Arial" w:hAnsi="Arial"/>
                <w:sz w:val="13"/>
                <w:szCs w:val="13"/>
                <w:color w:val="auto"/>
              </w:rPr>
              <w:t>NRG West Holdings LLC, the subsidiary of Natural Gas Repowering LLC, which owns the El Segundo Energy Center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EPC</w:t>
            </w:r>
          </w:p>
        </w:tc>
        <w:tc>
          <w:tcPr>
            <w:tcW w:w="9020" w:type="dxa"/>
            <w:vAlign w:val="bottom"/>
          </w:tcPr>
          <w:p>
            <w:pPr>
              <w:ind w:left="560"/>
              <w:spacing w:after="0"/>
              <w:rPr>
                <w:sz w:val="20"/>
                <w:szCs w:val="20"/>
                <w:color w:val="auto"/>
              </w:rPr>
            </w:pPr>
            <w:r>
              <w:rPr>
                <w:rFonts w:ascii="Arial" w:cs="Arial" w:eastAsia="Arial" w:hAnsi="Arial"/>
                <w:sz w:val="13"/>
                <w:szCs w:val="13"/>
                <w:color w:val="auto"/>
              </w:rPr>
              <w:t>Engineering, Procurement and Construction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ERCOT</w:t>
            </w:r>
          </w:p>
        </w:tc>
        <w:tc>
          <w:tcPr>
            <w:tcW w:w="9020" w:type="dxa"/>
            <w:vAlign w:val="bottom"/>
          </w:tcPr>
          <w:p>
            <w:pPr>
              <w:ind w:left="560"/>
              <w:spacing w:after="0"/>
              <w:rPr>
                <w:sz w:val="20"/>
                <w:szCs w:val="20"/>
                <w:color w:val="auto"/>
              </w:rPr>
            </w:pPr>
            <w:r>
              <w:rPr>
                <w:rFonts w:ascii="Arial" w:cs="Arial" w:eastAsia="Arial" w:hAnsi="Arial"/>
                <w:sz w:val="13"/>
                <w:szCs w:val="13"/>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350"/>
        </w:trPr>
        <w:tc>
          <w:tcPr>
            <w:tcW w:w="2420" w:type="dxa"/>
            <w:vAlign w:val="bottom"/>
          </w:tcPr>
          <w:p>
            <w:pPr>
              <w:spacing w:after="0"/>
              <w:rPr>
                <w:sz w:val="20"/>
                <w:szCs w:val="20"/>
                <w:color w:val="auto"/>
              </w:rPr>
            </w:pPr>
            <w:r>
              <w:rPr>
                <w:rFonts w:ascii="Arial" w:cs="Arial" w:eastAsia="Arial" w:hAnsi="Arial"/>
                <w:sz w:val="13"/>
                <w:szCs w:val="13"/>
                <w:color w:val="auto"/>
              </w:rPr>
              <w:t>EWG</w:t>
            </w:r>
          </w:p>
        </w:tc>
        <w:tc>
          <w:tcPr>
            <w:tcW w:w="9020" w:type="dxa"/>
            <w:vAlign w:val="bottom"/>
          </w:tcPr>
          <w:p>
            <w:pPr>
              <w:ind w:left="560"/>
              <w:spacing w:after="0"/>
              <w:rPr>
                <w:sz w:val="20"/>
                <w:szCs w:val="20"/>
                <w:color w:val="auto"/>
              </w:rPr>
            </w:pPr>
            <w:r>
              <w:rPr>
                <w:rFonts w:ascii="Arial" w:cs="Arial" w:eastAsia="Arial" w:hAnsi="Arial"/>
                <w:sz w:val="13"/>
                <w:szCs w:val="13"/>
                <w:color w:val="auto"/>
              </w:rPr>
              <w:t>Exempt Wholesale Generator</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Exchange Act</w:t>
            </w:r>
          </w:p>
        </w:tc>
        <w:tc>
          <w:tcPr>
            <w:tcW w:w="9020" w:type="dxa"/>
            <w:vAlign w:val="bottom"/>
          </w:tcPr>
          <w:p>
            <w:pPr>
              <w:ind w:left="560"/>
              <w:spacing w:after="0"/>
              <w:rPr>
                <w:sz w:val="20"/>
                <w:szCs w:val="20"/>
                <w:color w:val="auto"/>
              </w:rPr>
            </w:pPr>
            <w:r>
              <w:rPr>
                <w:rFonts w:ascii="Arial" w:cs="Arial" w:eastAsia="Arial" w:hAnsi="Arial"/>
                <w:sz w:val="13"/>
                <w:szCs w:val="13"/>
                <w:color w:val="auto"/>
              </w:rPr>
              <w:t>The Securities Exchange Act of 1934, as amended</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FASB</w:t>
            </w:r>
          </w:p>
        </w:tc>
        <w:tc>
          <w:tcPr>
            <w:tcW w:w="9020" w:type="dxa"/>
            <w:vAlign w:val="bottom"/>
          </w:tcPr>
          <w:p>
            <w:pPr>
              <w:ind w:left="560"/>
              <w:spacing w:after="0"/>
              <w:rPr>
                <w:sz w:val="20"/>
                <w:szCs w:val="20"/>
                <w:color w:val="auto"/>
              </w:rPr>
            </w:pPr>
            <w:r>
              <w:rPr>
                <w:rFonts w:ascii="Arial" w:cs="Arial" w:eastAsia="Arial" w:hAnsi="Arial"/>
                <w:sz w:val="13"/>
                <w:szCs w:val="13"/>
                <w:color w:val="auto"/>
              </w:rPr>
              <w:t>Financial Accounting Standards Board</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FERC</w:t>
            </w:r>
          </w:p>
        </w:tc>
        <w:tc>
          <w:tcPr>
            <w:tcW w:w="9020" w:type="dxa"/>
            <w:vAlign w:val="bottom"/>
          </w:tcPr>
          <w:p>
            <w:pPr>
              <w:ind w:left="560"/>
              <w:spacing w:after="0"/>
              <w:rPr>
                <w:sz w:val="20"/>
                <w:szCs w:val="20"/>
                <w:color w:val="auto"/>
              </w:rPr>
            </w:pPr>
            <w:r>
              <w:rPr>
                <w:rFonts w:ascii="Arial" w:cs="Arial" w:eastAsia="Arial" w:hAnsi="Arial"/>
                <w:sz w:val="13"/>
                <w:szCs w:val="13"/>
                <w:color w:val="auto"/>
              </w:rPr>
              <w:t>Federal Energy Regulatory Commission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FPA</w:t>
            </w:r>
          </w:p>
        </w:tc>
        <w:tc>
          <w:tcPr>
            <w:tcW w:w="9020" w:type="dxa"/>
            <w:vAlign w:val="bottom"/>
          </w:tcPr>
          <w:p>
            <w:pPr>
              <w:ind w:left="560"/>
              <w:spacing w:after="0"/>
              <w:rPr>
                <w:sz w:val="20"/>
                <w:szCs w:val="20"/>
                <w:color w:val="auto"/>
              </w:rPr>
            </w:pPr>
            <w:r>
              <w:rPr>
                <w:rFonts w:ascii="Arial" w:cs="Arial" w:eastAsia="Arial" w:hAnsi="Arial"/>
                <w:sz w:val="13"/>
                <w:szCs w:val="13"/>
                <w:color w:val="auto"/>
              </w:rPr>
              <w:t>Federal Power Act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GAAP</w:t>
            </w:r>
          </w:p>
        </w:tc>
        <w:tc>
          <w:tcPr>
            <w:tcW w:w="9020" w:type="dxa"/>
            <w:vAlign w:val="bottom"/>
          </w:tcPr>
          <w:p>
            <w:pPr>
              <w:ind w:left="560"/>
              <w:spacing w:after="0"/>
              <w:rPr>
                <w:sz w:val="20"/>
                <w:szCs w:val="20"/>
                <w:color w:val="auto"/>
              </w:rPr>
            </w:pPr>
            <w:r>
              <w:rPr>
                <w:rFonts w:ascii="Arial" w:cs="Arial" w:eastAsia="Arial" w:hAnsi="Arial"/>
                <w:sz w:val="13"/>
                <w:szCs w:val="13"/>
                <w:color w:val="auto"/>
              </w:rPr>
              <w:t>Accounting principles generally accepted in the U.S.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GenConn</w:t>
            </w:r>
          </w:p>
        </w:tc>
        <w:tc>
          <w:tcPr>
            <w:tcW w:w="9020" w:type="dxa"/>
            <w:vAlign w:val="bottom"/>
          </w:tcPr>
          <w:p>
            <w:pPr>
              <w:ind w:left="560"/>
              <w:spacing w:after="0"/>
              <w:rPr>
                <w:sz w:val="20"/>
                <w:szCs w:val="20"/>
                <w:color w:val="auto"/>
              </w:rPr>
            </w:pPr>
            <w:r>
              <w:rPr>
                <w:rFonts w:ascii="Arial" w:cs="Arial" w:eastAsia="Arial" w:hAnsi="Arial"/>
                <w:sz w:val="13"/>
                <w:szCs w:val="13"/>
                <w:color w:val="auto"/>
              </w:rPr>
              <w:t>GenConn Energy LLC</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GHG</w:t>
            </w:r>
          </w:p>
        </w:tc>
        <w:tc>
          <w:tcPr>
            <w:tcW w:w="9020" w:type="dxa"/>
            <w:vAlign w:val="bottom"/>
          </w:tcPr>
          <w:p>
            <w:pPr>
              <w:ind w:left="560"/>
              <w:spacing w:after="0"/>
              <w:rPr>
                <w:sz w:val="20"/>
                <w:szCs w:val="20"/>
                <w:color w:val="auto"/>
              </w:rPr>
            </w:pPr>
            <w:r>
              <w:rPr>
                <w:rFonts w:ascii="Arial" w:cs="Arial" w:eastAsia="Arial" w:hAnsi="Arial"/>
                <w:sz w:val="13"/>
                <w:szCs w:val="13"/>
                <w:color w:val="auto"/>
              </w:rPr>
              <w:t>Greenhouse gas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GIP</w:t>
            </w:r>
          </w:p>
        </w:tc>
        <w:tc>
          <w:tcPr>
            <w:tcW w:w="9020" w:type="dxa"/>
            <w:vAlign w:val="bottom"/>
          </w:tcPr>
          <w:p>
            <w:pPr>
              <w:ind w:left="560"/>
              <w:spacing w:after="0"/>
              <w:rPr>
                <w:sz w:val="20"/>
                <w:szCs w:val="20"/>
                <w:color w:val="auto"/>
              </w:rPr>
            </w:pPr>
            <w:r>
              <w:rPr>
                <w:rFonts w:ascii="Arial" w:cs="Arial" w:eastAsia="Arial" w:hAnsi="Arial"/>
                <w:sz w:val="13"/>
                <w:szCs w:val="13"/>
                <w:color w:val="auto"/>
              </w:rPr>
              <w:t>Global Infrastructure Partners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GW</w:t>
            </w:r>
          </w:p>
        </w:tc>
        <w:tc>
          <w:tcPr>
            <w:tcW w:w="9020" w:type="dxa"/>
            <w:vAlign w:val="bottom"/>
          </w:tcPr>
          <w:p>
            <w:pPr>
              <w:ind w:left="560"/>
              <w:spacing w:after="0"/>
              <w:rPr>
                <w:sz w:val="20"/>
                <w:szCs w:val="20"/>
                <w:color w:val="auto"/>
              </w:rPr>
            </w:pPr>
            <w:r>
              <w:rPr>
                <w:rFonts w:ascii="Arial" w:cs="Arial" w:eastAsia="Arial" w:hAnsi="Arial"/>
                <w:sz w:val="13"/>
                <w:szCs w:val="13"/>
                <w:color w:val="auto"/>
              </w:rPr>
              <w:t>Gigawatt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HLBV</w:t>
            </w:r>
          </w:p>
        </w:tc>
        <w:tc>
          <w:tcPr>
            <w:tcW w:w="9020" w:type="dxa"/>
            <w:vAlign w:val="bottom"/>
          </w:tcPr>
          <w:p>
            <w:pPr>
              <w:ind w:left="560"/>
              <w:spacing w:after="0"/>
              <w:rPr>
                <w:sz w:val="20"/>
                <w:szCs w:val="20"/>
                <w:color w:val="auto"/>
              </w:rPr>
            </w:pPr>
            <w:r>
              <w:rPr>
                <w:rFonts w:ascii="Arial" w:cs="Arial" w:eastAsia="Arial" w:hAnsi="Arial"/>
                <w:sz w:val="13"/>
                <w:szCs w:val="13"/>
                <w:color w:val="auto"/>
              </w:rPr>
              <w:t>Hypothetical Liquidation at Book Value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IASB</w:t>
            </w:r>
          </w:p>
        </w:tc>
        <w:tc>
          <w:tcPr>
            <w:tcW w:w="9020" w:type="dxa"/>
            <w:vAlign w:val="bottom"/>
          </w:tcPr>
          <w:p>
            <w:pPr>
              <w:ind w:left="560"/>
              <w:spacing w:after="0"/>
              <w:rPr>
                <w:sz w:val="20"/>
                <w:szCs w:val="20"/>
                <w:color w:val="auto"/>
              </w:rPr>
            </w:pPr>
            <w:r>
              <w:rPr>
                <w:rFonts w:ascii="Arial" w:cs="Arial" w:eastAsia="Arial" w:hAnsi="Arial"/>
                <w:sz w:val="13"/>
                <w:szCs w:val="13"/>
                <w:color w:val="auto"/>
              </w:rPr>
              <w:t>International Accounting Standards Board</w:t>
            </w:r>
          </w:p>
        </w:tc>
        <w:tc>
          <w:tcPr>
            <w:tcW w:w="0" w:type="dxa"/>
            <w:vAlign w:val="bottom"/>
          </w:tcPr>
          <w:p>
            <w:pPr>
              <w:spacing w:after="0"/>
              <w:rPr>
                <w:sz w:val="1"/>
                <w:szCs w:val="1"/>
                <w:color w:val="auto"/>
              </w:rPr>
            </w:pPr>
          </w:p>
        </w:tc>
      </w:tr>
      <w:tr>
        <w:trPr>
          <w:trHeight w:val="233"/>
        </w:trPr>
        <w:tc>
          <w:tcPr>
            <w:tcW w:w="2420" w:type="dxa"/>
            <w:vAlign w:val="bottom"/>
          </w:tcPr>
          <w:p>
            <w:pPr>
              <w:spacing w:after="0"/>
              <w:rPr>
                <w:sz w:val="20"/>
                <w:szCs w:val="20"/>
                <w:color w:val="auto"/>
              </w:rPr>
            </w:pPr>
            <w:r>
              <w:rPr>
                <w:rFonts w:ascii="Arial" w:cs="Arial" w:eastAsia="Arial" w:hAnsi="Arial"/>
                <w:sz w:val="13"/>
                <w:szCs w:val="13"/>
                <w:color w:val="auto"/>
              </w:rPr>
              <w:t>IRS</w:t>
            </w:r>
          </w:p>
        </w:tc>
        <w:tc>
          <w:tcPr>
            <w:tcW w:w="9020" w:type="dxa"/>
            <w:vAlign w:val="bottom"/>
          </w:tcPr>
          <w:p>
            <w:pPr>
              <w:ind w:left="560"/>
              <w:spacing w:after="0"/>
              <w:rPr>
                <w:sz w:val="20"/>
                <w:szCs w:val="20"/>
                <w:color w:val="auto"/>
              </w:rPr>
            </w:pPr>
            <w:r>
              <w:rPr>
                <w:rFonts w:ascii="Arial" w:cs="Arial" w:eastAsia="Arial" w:hAnsi="Arial"/>
                <w:sz w:val="13"/>
                <w:szCs w:val="13"/>
                <w:color w:val="auto"/>
              </w:rPr>
              <w:t>Internal Revenue Service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ISO</w:t>
            </w:r>
          </w:p>
        </w:tc>
        <w:tc>
          <w:tcPr>
            <w:tcW w:w="9020" w:type="dxa"/>
            <w:vAlign w:val="bottom"/>
          </w:tcPr>
          <w:p>
            <w:pPr>
              <w:ind w:left="560"/>
              <w:spacing w:after="0"/>
              <w:rPr>
                <w:sz w:val="20"/>
                <w:szCs w:val="20"/>
                <w:color w:val="auto"/>
              </w:rPr>
            </w:pPr>
            <w:r>
              <w:rPr>
                <w:rFonts w:ascii="Arial" w:cs="Arial" w:eastAsia="Arial" w:hAnsi="Arial"/>
                <w:sz w:val="13"/>
                <w:szCs w:val="13"/>
                <w:color w:val="auto"/>
              </w:rPr>
              <w:t>Independent System Operator, also referred to as Regional Transmission Organization, or RTO</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ITC</w:t>
            </w:r>
          </w:p>
        </w:tc>
        <w:tc>
          <w:tcPr>
            <w:tcW w:w="9020" w:type="dxa"/>
            <w:vAlign w:val="bottom"/>
          </w:tcPr>
          <w:p>
            <w:pPr>
              <w:ind w:left="560"/>
              <w:spacing w:after="0"/>
              <w:rPr>
                <w:sz w:val="20"/>
                <w:szCs w:val="20"/>
                <w:color w:val="auto"/>
              </w:rPr>
            </w:pPr>
            <w:r>
              <w:rPr>
                <w:rFonts w:ascii="Arial" w:cs="Arial" w:eastAsia="Arial" w:hAnsi="Arial"/>
                <w:sz w:val="13"/>
                <w:szCs w:val="13"/>
                <w:color w:val="auto"/>
              </w:rPr>
              <w:t>Investment Tax Credit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January 2015 Drop Down Assets</w:t>
            </w:r>
          </w:p>
        </w:tc>
        <w:tc>
          <w:tcPr>
            <w:tcW w:w="9020" w:type="dxa"/>
            <w:vAlign w:val="bottom"/>
            <w:vMerge w:val="restart"/>
          </w:tcPr>
          <w:p>
            <w:pPr>
              <w:ind w:left="560"/>
              <w:spacing w:after="0"/>
              <w:rPr>
                <w:sz w:val="20"/>
                <w:szCs w:val="20"/>
                <w:color w:val="auto"/>
              </w:rPr>
            </w:pPr>
            <w:r>
              <w:rPr>
                <w:rFonts w:ascii="Arial" w:cs="Arial" w:eastAsia="Arial" w:hAnsi="Arial"/>
                <w:sz w:val="13"/>
                <w:szCs w:val="13"/>
                <w:color w:val="auto"/>
              </w:rPr>
              <w:t>The Laredo Ridge, Tapestry and Walnut Creek projects, which were acquired by Yield Operating LLC from NRG on January 2, 2015</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420" w:type="dxa"/>
            <w:vAlign w:val="bottom"/>
          </w:tcPr>
          <w:p>
            <w:pPr>
              <w:spacing w:after="0"/>
              <w:rPr>
                <w:sz w:val="20"/>
                <w:szCs w:val="20"/>
                <w:color w:val="auto"/>
              </w:rPr>
            </w:pPr>
            <w:r>
              <w:rPr>
                <w:rFonts w:ascii="Arial" w:cs="Arial" w:eastAsia="Arial" w:hAnsi="Arial"/>
                <w:sz w:val="13"/>
                <w:szCs w:val="13"/>
                <w:color w:val="auto"/>
              </w:rPr>
              <w:t>June 2014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rPr>
              <w:t>The TA High Desert, Kansas South and El Segundo projects, which were acquired by Yield Operating LLC from NRG on June 30, 2014</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Kansas South</w:t>
            </w:r>
          </w:p>
        </w:tc>
        <w:tc>
          <w:tcPr>
            <w:tcW w:w="9020" w:type="dxa"/>
            <w:vAlign w:val="bottom"/>
          </w:tcPr>
          <w:p>
            <w:pPr>
              <w:ind w:left="560"/>
              <w:spacing w:after="0"/>
              <w:rPr>
                <w:sz w:val="20"/>
                <w:szCs w:val="20"/>
                <w:color w:val="auto"/>
              </w:rPr>
            </w:pPr>
            <w:r>
              <w:rPr>
                <w:rFonts w:ascii="Arial" w:cs="Arial" w:eastAsia="Arial" w:hAnsi="Arial"/>
                <w:sz w:val="13"/>
                <w:szCs w:val="13"/>
                <w:color w:val="auto"/>
              </w:rPr>
              <w:t>NRG Solar Kansas South LLC, the operating subsidiary of NRG Solar Kansas South Holdings LLC, which owns the Kansas South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KPPH</w:t>
            </w:r>
          </w:p>
        </w:tc>
        <w:tc>
          <w:tcPr>
            <w:tcW w:w="9020" w:type="dxa"/>
            <w:vAlign w:val="bottom"/>
          </w:tcPr>
          <w:p>
            <w:pPr>
              <w:ind w:left="560"/>
              <w:spacing w:after="0"/>
              <w:rPr>
                <w:sz w:val="20"/>
                <w:szCs w:val="20"/>
                <w:color w:val="auto"/>
              </w:rPr>
            </w:pPr>
            <w:r>
              <w:rPr>
                <w:rFonts w:ascii="Arial" w:cs="Arial" w:eastAsia="Arial" w:hAnsi="Arial"/>
                <w:sz w:val="13"/>
                <w:szCs w:val="13"/>
                <w:color w:val="auto"/>
              </w:rPr>
              <w:t>1,000 Pounds Per Hour</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Laredo Ridge</w:t>
            </w:r>
          </w:p>
        </w:tc>
        <w:tc>
          <w:tcPr>
            <w:tcW w:w="9020" w:type="dxa"/>
            <w:vAlign w:val="bottom"/>
          </w:tcPr>
          <w:p>
            <w:pPr>
              <w:ind w:left="560"/>
              <w:spacing w:after="0"/>
              <w:rPr>
                <w:sz w:val="20"/>
                <w:szCs w:val="20"/>
                <w:color w:val="auto"/>
              </w:rPr>
            </w:pPr>
            <w:r>
              <w:rPr>
                <w:rFonts w:ascii="Arial" w:cs="Arial" w:eastAsia="Arial" w:hAnsi="Arial"/>
                <w:sz w:val="13"/>
                <w:szCs w:val="13"/>
                <w:color w:val="auto"/>
              </w:rPr>
              <w:t>Laredo Ridge Wind, LLC, the operating subsidiary of Mission Wind Laredo, LLC, which owns the Laredo Ridge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LIBOR</w:t>
            </w:r>
          </w:p>
        </w:tc>
        <w:tc>
          <w:tcPr>
            <w:tcW w:w="9020" w:type="dxa"/>
            <w:vAlign w:val="bottom"/>
          </w:tcPr>
          <w:p>
            <w:pPr>
              <w:ind w:left="560"/>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Management Services Agreement</w:t>
            </w:r>
          </w:p>
        </w:tc>
        <w:tc>
          <w:tcPr>
            <w:tcW w:w="9020" w:type="dxa"/>
            <w:vAlign w:val="bottom"/>
          </w:tcPr>
          <w:p>
            <w:pPr>
              <w:ind w:left="560"/>
              <w:spacing w:after="0"/>
              <w:rPr>
                <w:sz w:val="20"/>
                <w:szCs w:val="20"/>
                <w:color w:val="auto"/>
              </w:rPr>
            </w:pPr>
            <w:r>
              <w:rPr>
                <w:rFonts w:ascii="Arial" w:cs="Arial" w:eastAsia="Arial" w:hAnsi="Arial"/>
                <w:sz w:val="13"/>
                <w:szCs w:val="13"/>
                <w:color w:val="auto"/>
              </w:rPr>
              <w:t>Agreement between NRG and the Company for various operational, management and administrative services</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March 2017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w w:val="92"/>
              </w:rPr>
              <w:t>(i) Agua Caliente Borrower 2 LLC, which owns a 16% interest (approximately 31% of NRG's 51% interest) in the Agua Caliente solar farm and (ii) NRG's 100%</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ownership in the Class A equity interests in the Utah Solar Portfolio (defined below), both acquired by the Company on March 27, 2017</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Marsh Landing</w:t>
            </w:r>
          </w:p>
        </w:tc>
        <w:tc>
          <w:tcPr>
            <w:tcW w:w="9020" w:type="dxa"/>
            <w:vAlign w:val="bottom"/>
          </w:tcPr>
          <w:p>
            <w:pPr>
              <w:ind w:left="560"/>
              <w:spacing w:after="0"/>
              <w:rPr>
                <w:sz w:val="20"/>
                <w:szCs w:val="20"/>
                <w:color w:val="auto"/>
              </w:rPr>
            </w:pPr>
            <w:r>
              <w:rPr>
                <w:rFonts w:ascii="Arial" w:cs="Arial" w:eastAsia="Arial" w:hAnsi="Arial"/>
                <w:sz w:val="13"/>
                <w:szCs w:val="13"/>
                <w:color w:val="auto"/>
              </w:rPr>
              <w:t>NRG Marsh Landing LLC, formerly GenOn Marsh Landing LLC</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May 9, 2017 Form 8-K</w:t>
            </w:r>
          </w:p>
        </w:tc>
        <w:tc>
          <w:tcPr>
            <w:tcW w:w="9020" w:type="dxa"/>
            <w:vAlign w:val="bottom"/>
          </w:tcPr>
          <w:p>
            <w:pPr>
              <w:ind w:left="560"/>
              <w:spacing w:after="0"/>
              <w:rPr>
                <w:sz w:val="20"/>
                <w:szCs w:val="20"/>
                <w:color w:val="auto"/>
              </w:rPr>
            </w:pPr>
            <w:r>
              <w:rPr>
                <w:rFonts w:ascii="Arial" w:cs="Arial" w:eastAsia="Arial" w:hAnsi="Arial"/>
                <w:sz w:val="13"/>
                <w:szCs w:val="13"/>
                <w:color w:val="auto"/>
                <w:w w:val="93"/>
              </w:rPr>
              <w:t>NRG Yield, Inc.'s Current Report on Form 8-K filed with the SEC on May 9, 2017 in connection with NRG Yield Operating LLC's acquisition of the March 2017</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Drop Down Assets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MMBtu</w:t>
            </w:r>
          </w:p>
        </w:tc>
        <w:tc>
          <w:tcPr>
            <w:tcW w:w="9020" w:type="dxa"/>
            <w:vAlign w:val="bottom"/>
          </w:tcPr>
          <w:p>
            <w:pPr>
              <w:ind w:left="560"/>
              <w:spacing w:after="0"/>
              <w:rPr>
                <w:sz w:val="20"/>
                <w:szCs w:val="20"/>
                <w:color w:val="auto"/>
              </w:rPr>
            </w:pPr>
            <w:r>
              <w:rPr>
                <w:rFonts w:ascii="Arial" w:cs="Arial" w:eastAsia="Arial" w:hAnsi="Arial"/>
                <w:sz w:val="13"/>
                <w:szCs w:val="13"/>
                <w:color w:val="auto"/>
              </w:rPr>
              <w:t>Million British Thermal Units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w:t>
            </w:r>
          </w:p>
        </w:tc>
        <w:tc>
          <w:tcPr>
            <w:tcW w:w="9020" w:type="dxa"/>
            <w:vAlign w:val="bottom"/>
          </w:tcPr>
          <w:p>
            <w:pPr>
              <w:ind w:left="560"/>
              <w:spacing w:after="0"/>
              <w:rPr>
                <w:sz w:val="20"/>
                <w:szCs w:val="20"/>
                <w:color w:val="auto"/>
              </w:rPr>
            </w:pPr>
            <w:r>
              <w:rPr>
                <w:rFonts w:ascii="Arial" w:cs="Arial" w:eastAsia="Arial" w:hAnsi="Arial"/>
                <w:sz w:val="13"/>
                <w:szCs w:val="13"/>
                <w:color w:val="auto"/>
              </w:rPr>
              <w:t>Megawatt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MWh</w:t>
            </w:r>
          </w:p>
        </w:tc>
        <w:tc>
          <w:tcPr>
            <w:tcW w:w="9020" w:type="dxa"/>
            <w:vAlign w:val="bottom"/>
          </w:tcPr>
          <w:p>
            <w:pPr>
              <w:ind w:left="560"/>
              <w:spacing w:after="0"/>
              <w:rPr>
                <w:sz w:val="20"/>
                <w:szCs w:val="20"/>
                <w:color w:val="auto"/>
              </w:rPr>
            </w:pPr>
            <w:r>
              <w:rPr>
                <w:rFonts w:ascii="Arial" w:cs="Arial" w:eastAsia="Arial" w:hAnsi="Arial"/>
                <w:sz w:val="13"/>
                <w:szCs w:val="13"/>
                <w:color w:val="auto"/>
              </w:rPr>
              <w:t>Saleable megawatt hours, net of internal/parasitic load megawatt-hours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MWt</w:t>
            </w:r>
          </w:p>
        </w:tc>
        <w:tc>
          <w:tcPr>
            <w:tcW w:w="9020" w:type="dxa"/>
            <w:vAlign w:val="bottom"/>
          </w:tcPr>
          <w:p>
            <w:pPr>
              <w:ind w:left="560"/>
              <w:spacing w:after="0"/>
              <w:rPr>
                <w:sz w:val="20"/>
                <w:szCs w:val="20"/>
                <w:color w:val="auto"/>
              </w:rPr>
            </w:pPr>
            <w:r>
              <w:rPr>
                <w:rFonts w:ascii="Arial" w:cs="Arial" w:eastAsia="Arial" w:hAnsi="Arial"/>
                <w:sz w:val="13"/>
                <w:szCs w:val="13"/>
                <w:color w:val="auto"/>
              </w:rPr>
              <w:t>Megawatts Thermal Equivalent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NECP</w:t>
            </w:r>
          </w:p>
        </w:tc>
        <w:tc>
          <w:tcPr>
            <w:tcW w:w="9020" w:type="dxa"/>
            <w:vAlign w:val="bottom"/>
          </w:tcPr>
          <w:p>
            <w:pPr>
              <w:ind w:left="560"/>
              <w:spacing w:after="0"/>
              <w:rPr>
                <w:sz w:val="20"/>
                <w:szCs w:val="20"/>
                <w:color w:val="auto"/>
              </w:rPr>
            </w:pPr>
            <w:r>
              <w:rPr>
                <w:rFonts w:ascii="Arial" w:cs="Arial" w:eastAsia="Arial" w:hAnsi="Arial"/>
                <w:sz w:val="13"/>
                <w:szCs w:val="13"/>
                <w:color w:val="auto"/>
              </w:rPr>
              <w:t>NRG Energy Center Pittsburgh LLC</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NERC</w:t>
            </w:r>
          </w:p>
        </w:tc>
        <w:tc>
          <w:tcPr>
            <w:tcW w:w="9020" w:type="dxa"/>
            <w:vAlign w:val="bottom"/>
          </w:tcPr>
          <w:p>
            <w:pPr>
              <w:ind w:left="560"/>
              <w:spacing w:after="0"/>
              <w:rPr>
                <w:sz w:val="20"/>
                <w:szCs w:val="20"/>
                <w:color w:val="auto"/>
              </w:rPr>
            </w:pPr>
            <w:r>
              <w:rPr>
                <w:rFonts w:ascii="Arial" w:cs="Arial" w:eastAsia="Arial" w:hAnsi="Arial"/>
                <w:sz w:val="13"/>
                <w:szCs w:val="13"/>
                <w:color w:val="auto"/>
              </w:rPr>
              <w:t>North American Electric Reliability Corporation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Net Exposure</w:t>
            </w:r>
          </w:p>
        </w:tc>
        <w:tc>
          <w:tcPr>
            <w:tcW w:w="9020" w:type="dxa"/>
            <w:vAlign w:val="bottom"/>
          </w:tcPr>
          <w:p>
            <w:pPr>
              <w:ind w:left="560"/>
              <w:spacing w:after="0"/>
              <w:rPr>
                <w:sz w:val="20"/>
                <w:szCs w:val="20"/>
                <w:color w:val="auto"/>
              </w:rPr>
            </w:pPr>
            <w:r>
              <w:rPr>
                <w:rFonts w:ascii="Arial" w:cs="Arial" w:eastAsia="Arial" w:hAnsi="Arial"/>
                <w:sz w:val="13"/>
                <w:szCs w:val="13"/>
                <w:color w:val="auto"/>
              </w:rPr>
              <w:t>Counterparty credit exposure to NRG Yield, Inc. net of collateral</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November 2015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w w:val="93"/>
              </w:rPr>
              <w:t>75% of the Class B interests of NRG Wind TE Holdco, which owns a portfolio of 12 wind facilities totaling 814 net MW, which was acquired by Yield Operating</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LLC from NRG on November 3, 2015</w:t>
            </w:r>
          </w:p>
        </w:tc>
        <w:tc>
          <w:tcPr>
            <w:tcW w:w="0" w:type="dxa"/>
            <w:vAlign w:val="bottom"/>
          </w:tcPr>
          <w:p>
            <w:pPr>
              <w:spacing w:after="0"/>
              <w:rPr>
                <w:sz w:val="1"/>
                <w:szCs w:val="1"/>
                <w:color w:val="auto"/>
              </w:rPr>
            </w:pPr>
          </w:p>
        </w:tc>
      </w:tr>
      <w:tr>
        <w:trPr>
          <w:trHeight w:val="350"/>
        </w:trPr>
        <w:tc>
          <w:tcPr>
            <w:tcW w:w="242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830" w:right="219"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auto"/>
        </w:rPr>
        <w:t>November 2017 Drop Down Assets</w:t>
      </w:r>
    </w:p>
    <w:p>
      <w:pPr>
        <w:spacing w:after="0" w:line="20" w:lineRule="exact"/>
        <w:rPr>
          <w:sz w:val="20"/>
          <w:szCs w:val="20"/>
          <w:color w:val="auto"/>
        </w:rPr>
      </w:pPr>
      <w:r>
        <w:rPr>
          <w:sz w:val="20"/>
          <w:szCs w:val="20"/>
          <w:color w:val="auto"/>
        </w:rPr>
        <w:br w:type="column"/>
      </w:r>
    </w:p>
    <w:p>
      <w:pPr>
        <w:ind w:right="20"/>
        <w:spacing w:after="0" w:line="304" w:lineRule="auto"/>
        <w:rPr>
          <w:sz w:val="20"/>
          <w:szCs w:val="20"/>
          <w:color w:val="auto"/>
        </w:rPr>
      </w:pPr>
      <w:r>
        <w:rPr>
          <w:rFonts w:ascii="Arial" w:cs="Arial" w:eastAsia="Arial" w:hAnsi="Arial"/>
          <w:sz w:val="12"/>
          <w:szCs w:val="12"/>
          <w:color w:val="auto"/>
        </w:rPr>
        <w:t>38 MW portfolio of distributed and small utility-scale solar assets, primarily comprised of assets from NRG's Solar Power Partners (SPP) funds, in addition to other projects developed since the acquisition of SPP by NRG, which was acquired by NRG Yield Operating LLC from NRG on November 1, 2017</w:t>
      </w:r>
    </w:p>
    <w:p>
      <w:pPr>
        <w:spacing w:after="0" w:line="1" w:lineRule="exact"/>
        <w:rPr>
          <w:sz w:val="20"/>
          <w:szCs w:val="20"/>
          <w:color w:val="auto"/>
        </w:rPr>
      </w:pPr>
    </w:p>
    <w:p>
      <w:pPr>
        <w:sectPr>
          <w:pgSz w:w="11900" w:h="16838" w:orient="portrait"/>
          <w:cols w:equalWidth="0" w:num="2">
            <w:col w:w="2260" w:space="720"/>
            <w:col w:w="8460"/>
          </w:cols>
          <w:pgMar w:left="240" w:top="830" w:right="219" w:bottom="1440" w:gutter="0" w:footer="0" w:header="0"/>
        </w:sectPr>
      </w:pPr>
    </w:p>
    <w:p>
      <w:pPr>
        <w:spacing w:after="0"/>
        <w:rPr>
          <w:sz w:val="20"/>
          <w:szCs w:val="20"/>
          <w:color w:val="auto"/>
        </w:rPr>
      </w:pPr>
      <w:r>
        <w:rPr>
          <w:rFonts w:ascii="Arial" w:cs="Arial" w:eastAsia="Arial" w:hAnsi="Arial"/>
          <w:sz w:val="11"/>
          <w:szCs w:val="11"/>
          <w:color w:val="auto"/>
        </w:rPr>
        <w:t>NO</w:t>
      </w:r>
      <w:r>
        <w:rPr>
          <w:rFonts w:ascii="Arial" w:cs="Arial" w:eastAsia="Arial" w:hAnsi="Arial"/>
          <w:sz w:val="8"/>
          <w:szCs w:val="8"/>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Nitrogen Oxides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NPNS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Normal Purchases and Normal Sales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NRG Energy, Inc.</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Power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Power Marketing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ROFO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Second Amended and Restated Right of First Offer Agreement between the Company and NRG</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Transaction</w:t>
      </w:r>
    </w:p>
    <w:p>
      <w:pPr>
        <w:spacing w:after="0" w:line="20" w:lineRule="exact"/>
        <w:rPr>
          <w:sz w:val="20"/>
          <w:szCs w:val="20"/>
          <w:color w:val="auto"/>
        </w:rPr>
      </w:pPr>
      <w:r>
        <w:rPr>
          <w:sz w:val="20"/>
          <w:szCs w:val="20"/>
          <w:color w:val="auto"/>
        </w:rPr>
        <w:br w:type="column"/>
      </w:r>
    </w:p>
    <w:p>
      <w:pPr>
        <w:jc w:val="both"/>
        <w:ind w:right="20"/>
        <w:spacing w:after="0" w:line="260" w:lineRule="auto"/>
        <w:rPr>
          <w:sz w:val="20"/>
          <w:szCs w:val="20"/>
          <w:color w:val="auto"/>
        </w:rPr>
      </w:pPr>
      <w:r>
        <w:rPr>
          <w:rFonts w:ascii="Arial" w:cs="Arial" w:eastAsia="Arial" w:hAnsi="Arial"/>
          <w:sz w:val="13"/>
          <w:szCs w:val="13"/>
          <w:color w:val="auto"/>
        </w:rPr>
        <w:t>On February 6, 2018, GIP entered into a purchase and sale agreement with NRG for the acquisition of NRG's full ownership interest in Yield, Inc., and NRG's renewable energy development and operations platform. GIP, NRG and the Company also entered into a consent and indemnity agreement in connection with the purchase and sale agreement.</w:t>
      </w:r>
    </w:p>
    <w:p>
      <w:pPr>
        <w:spacing w:after="0" w:line="175"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Transformation Plan</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A three-year, three-part improvement plan announced by NRG on July 12, 2017, which includes exploring strategic alternatives for NRG's renewables platform and its interest in the Company</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Wind TE Holdco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Other comprehensive income/loss</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3"/>
          <w:szCs w:val="13"/>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Operations and Maintenance</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OSHA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Occupational Safety and Health Administration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Pacific Gas &amp; Electric Company</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Pinnacle Wind, LLC, the operating subsidiary of Tapestry Wind LLC, which owns the Pinnacle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PJM Interconnection,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Power Purchase Agreement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Production Tax Credit</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Commission of Texas</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PUHCA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Holding Company Act of 2005</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PURPA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Regulatory Policies Act of 1978</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QF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Qualifying Facility under PURPA</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Renewable Energy Certificate</w:t>
      </w:r>
    </w:p>
    <w:p>
      <w:pPr>
        <w:spacing w:after="0" w:line="194"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Recapitalization</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3"/>
          <w:szCs w:val="13"/>
          <w:color w:val="auto"/>
        </w:rPr>
        <w:t>The adoption of the Company's Second Amended and Restated Certificate of Incorporation which authorized two new classes of common stock, Class C common stock and Class D common stock, and distributed shares of such new classes of common stock to holders of the Company’s outstanding Class A common stock and Class B common stock, respectively, through a stock split on May 14, 2015</w:t>
      </w:r>
    </w:p>
    <w:p>
      <w:pPr>
        <w:spacing w:after="0" w:line="14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ROFO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Specified assets subject to sale, as described in the NRG ROFO Agreement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RPM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Reliability Pricing Model</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RPS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Renewable Portfolio Standards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RPV Holdco 1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Regional Transmission Organization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Southern California Edison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Securities and Exchange Commission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Collectively, the 2024 Senior Notes and the 2026 Senior Notes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SO</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Sulfur Dioxide</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Solar Power Partners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TA-High Desert LLC, the operating subsidiary of NRG Solar Mayfair LLC, which owns the TA High Desert project</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Taloga Wind, LLC, the operating subsidiary of Tapestry Wind LLC, which owns the Taloga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Collection of the Pinnacle, Buffalo Bear and Taloga projects</w:t>
      </w:r>
    </w:p>
    <w:p>
      <w:pPr>
        <w:spacing w:after="0" w:line="200"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40"/>
          </w:cols>
          <w:pgMar w:left="240" w:top="830"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1"/>
          <w:szCs w:val="11"/>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Tax Cuts and Jobs Act of 2017</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sectPr>
      </w:pPr>
    </w:p>
    <w:p>
      <w:pPr>
        <w:spacing w:after="0"/>
        <w:rPr>
          <w:sz w:val="20"/>
          <w:szCs w:val="20"/>
          <w:color w:val="auto"/>
        </w:rPr>
      </w:pPr>
      <w:r>
        <w:rPr>
          <w:rFonts w:ascii="Arial" w:cs="Arial" w:eastAsia="Arial" w:hAnsi="Arial"/>
          <w:sz w:val="11"/>
          <w:szCs w:val="11"/>
          <w:color w:val="auto"/>
        </w:rPr>
        <w:t>Thermal Business</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UPMC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University of Pittsburgh Medical Center</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of America</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Department of Energy</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Utah Solar Portfolio</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3"/>
          <w:szCs w:val="13"/>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19"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Utility Scale Solar</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Solar power projects, typically 20 MW or greater in size (on an alternating current, or AC, basis), that are interconnected into the transmission or distribution grid to sell power at a wholesale level</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Value at Risk</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3"/>
          <w:szCs w:val="13"/>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Variable Interest Entity</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Walnut Creek</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1"/>
          <w:szCs w:val="11"/>
          <w:color w:val="auto"/>
        </w:rPr>
        <w:t>NRG Walnut Creek, LLC, the operating subsidiary of WCEP Holdings, LLC, which owns the Walnut Creek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Yield, Inc.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Yield Operating LLC, the holding company that owns the project companies and is a wholly owned subsidiary of NRG Yield LLC</w:t>
      </w:r>
    </w:p>
    <w:p>
      <w:pPr>
        <w:spacing w:after="0" w:line="200"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40"/>
          </w:cols>
          <w:pgMar w:left="240" w:top="830" w:right="2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PART I</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 Business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27"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NRG Yield LLC, together with its consolidated subsidiaries, or the Company, was formed as a Delaware limited liability company on March 5, 2013 to serve as the primary vehicle through which NRG owns, operates and acquires contracted renewable and conventional generation and thermal infrastructure assets. On February 6, 2018, Global Infrastructure Partners, or GIP, entered into a purchase and sale agreement with NRG, or the NRG Transaction, for the acquisition of NRG’s full ownership interest in NRG Yield, Inc. and NRG’s renewable energy development and operations platform. The Company believes it is well positioned to be a premier company for investors seeking stable and growing dividend income from a diversified portfolio of lower-risk, high-quality assets.</w:t>
      </w:r>
    </w:p>
    <w:p>
      <w:pPr>
        <w:spacing w:after="0" w:line="83"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 xml:space="preserve">5,118 net MW as of </w:t>
      </w:r>
      <w:r>
        <w:rPr>
          <w:rFonts w:ascii="Arial" w:cs="Arial" w:eastAsia="Arial" w:hAnsi="Arial"/>
          <w:sz w:val="12"/>
          <w:szCs w:val="12"/>
          <w:color w:val="000000"/>
        </w:rPr>
        <w:t>December 31, 2017</w:t>
      </w:r>
      <w:r>
        <w:rPr>
          <w:rFonts w:ascii="Arial" w:cs="Arial" w:eastAsia="Arial" w:hAnsi="Arial"/>
          <w:sz w:val="12"/>
          <w:szCs w:val="12"/>
          <w:color w:val="231F20"/>
        </w:rPr>
        <w:t xml:space="preserve">. Nearly all </w:t>
      </w:r>
      <w:r>
        <w:rPr>
          <w:rFonts w:ascii="Arial" w:cs="Arial" w:eastAsia="Arial" w:hAnsi="Arial"/>
          <w:sz w:val="12"/>
          <w:szCs w:val="12"/>
          <w:color w:val="000000"/>
        </w:rPr>
        <w:t>of these assets sell substantially all of its output pursuant to long-term offtake agreements with creditworthy counterparties. The weighted average remaining contract</w:t>
      </w:r>
      <w:r>
        <w:rPr>
          <w:rFonts w:ascii="Arial" w:cs="Arial" w:eastAsia="Arial" w:hAnsi="Arial"/>
          <w:sz w:val="12"/>
          <w:szCs w:val="12"/>
          <w:color w:val="231F20"/>
        </w:rPr>
        <w:t xml:space="preserve"> </w:t>
      </w:r>
      <w:r>
        <w:rPr>
          <w:rFonts w:ascii="Arial" w:cs="Arial" w:eastAsia="Arial" w:hAnsi="Arial"/>
          <w:sz w:val="12"/>
          <w:szCs w:val="12"/>
          <w:color w:val="000000"/>
        </w:rPr>
        <w:t xml:space="preserve">duration of these offtake agreements was approximately </w:t>
      </w:r>
      <w:r>
        <w:rPr>
          <w:rFonts w:ascii="Arial" w:cs="Arial" w:eastAsia="Arial" w:hAnsi="Arial"/>
          <w:sz w:val="12"/>
          <w:szCs w:val="12"/>
          <w:color w:val="231F20"/>
        </w:rPr>
        <w:t>15 years as of</w:t>
      </w:r>
      <w:r>
        <w:rPr>
          <w:rFonts w:ascii="Arial" w:cs="Arial" w:eastAsia="Arial" w:hAnsi="Arial"/>
          <w:sz w:val="12"/>
          <w:szCs w:val="12"/>
          <w:color w:val="000000"/>
        </w:rPr>
        <w:t xml:space="preserve"> December 31, 2017</w:t>
      </w:r>
      <w:r>
        <w:rPr>
          <w:rFonts w:ascii="Arial" w:cs="Arial" w:eastAsia="Arial" w:hAnsi="Arial"/>
          <w:sz w:val="12"/>
          <w:szCs w:val="12"/>
          <w:color w:val="231F20"/>
        </w:rPr>
        <w:t>, based on CAFD. The Company also owns thermal infrastructure assets with an aggregate steam and chilled water capacity of</w:t>
      </w:r>
      <w:r>
        <w:rPr>
          <w:rFonts w:ascii="Arial" w:cs="Arial" w:eastAsia="Arial" w:hAnsi="Arial"/>
          <w:sz w:val="12"/>
          <w:szCs w:val="12"/>
          <w:color w:val="000000"/>
        </w:rPr>
        <w:t xml:space="preserve"> </w:t>
      </w:r>
      <w:r>
        <w:rPr>
          <w:rFonts w:ascii="Arial" w:cs="Arial" w:eastAsia="Arial" w:hAnsi="Arial"/>
          <w:sz w:val="12"/>
          <w:szCs w:val="12"/>
          <w:color w:val="231F20"/>
        </w:rPr>
        <w:t>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A complete listing of the Company's interests in facilities, operations and/or projects owned or leased as of December 31, 2017 can be found in Item 2 — </w:t>
      </w:r>
      <w:r>
        <w:rPr>
          <w:rFonts w:ascii="Arial" w:cs="Arial" w:eastAsia="Arial" w:hAnsi="Arial"/>
          <w:sz w:val="13"/>
          <w:szCs w:val="13"/>
          <w:i w:val="1"/>
          <w:iCs w:val="1"/>
          <w:color w:val="auto"/>
        </w:rPr>
        <w:t>Properties.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History</w:t>
      </w:r>
    </w:p>
    <w:p>
      <w:pPr>
        <w:spacing w:after="0" w:line="127"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On July 22, 2013, Yield, Inc. closed the initial public offering of 22,511,250 shares of its Class A common stock for net proceeds, after deducting underwriting discounts, of $468 million, of which Yield, Inc. used $395 million to purchase 19,011,250 of the Company's Class A units from NRG and $73 million to purchase 3,500,000 of the Company's Class A units directly from the Company. On July 29, 2014, Yield, Inc. issued 12,075,000 shares of Class A common stock for net proceeds, after underwriting discounts and expenses, of $630 million and utilized the proceeds of the offering to acquire 12,075,000 additional Class A units of the Company.</w:t>
      </w:r>
    </w:p>
    <w:p>
      <w:pPr>
        <w:spacing w:after="0" w:line="100"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Contemporaneously with Yield, Inc.’s Recapitalization, each Class A unit of the Company was automatically reclassified into one Class A unit and one Class C unit and each Class B unit of the Company was automatically reclassified into one Class B unit and one Class D unit. On June 29, 2015, Yield, Inc. issued 28,198,000 shares of Class C common stock for net proceeds of $599 million and utilized the proceeds of the offering to acquire 28,198,000 Class C units of the Company.</w:t>
      </w:r>
    </w:p>
    <w:p>
      <w:pPr>
        <w:spacing w:after="0" w:line="100" w:lineRule="exact"/>
        <w:rPr>
          <w:sz w:val="20"/>
          <w:szCs w:val="20"/>
          <w:color w:val="auto"/>
        </w:rPr>
      </w:pPr>
    </w:p>
    <w:p>
      <w:pPr>
        <w:jc w:val="both"/>
        <w:ind w:right="20" w:firstLine="122"/>
        <w:spacing w:after="0" w:line="260" w:lineRule="auto"/>
        <w:rPr>
          <w:sz w:val="20"/>
          <w:szCs w:val="20"/>
          <w:color w:val="auto"/>
        </w:rPr>
      </w:pPr>
      <w:r>
        <w:rPr>
          <w:rFonts w:ascii="Arial" w:cs="Arial" w:eastAsia="Arial" w:hAnsi="Arial"/>
          <w:sz w:val="13"/>
          <w:szCs w:val="13"/>
          <w:color w:val="auto"/>
        </w:rPr>
        <w:t>As of December 31, 2017, NRG owned 42,738,750 of each of the Company's Class B units and Class D units and Yield, Inc. owned 34,586,250 of the Company's Class A units and 64,717,087 of the Company's Class C units. Yield, Inc., through its holdings of Class A units and Class C units, has a 53.7% economic interest in the Company. Yield, Inc. consolidates the results of the Company through its controlling interest as sole managing member. NRG, through its holdings of Class B units and Class D units, has a 46.3% economic interest in the Company.</w:t>
      </w:r>
    </w:p>
    <w:p>
      <w:pPr>
        <w:spacing w:after="0" w:line="97"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 is a holding company for the companies that directly and indirectly own and operate Yield, Inc.'s business. As of December 31, 2017, NRG continues to control Yield, Inc., and Yield, Inc. in turn, as the sole managing member of the Company, controls the Company and its subsidiaries.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80"/>
          </w:cols>
          <w:pgMar w:left="220" w:top="710" w:right="199" w:bottom="1440" w:gutter="0" w:footer="0" w:header="0"/>
        </w:sectPr>
      </w:pPr>
    </w:p>
    <w:bookmarkStart w:id="7" w:name="page8"/>
    <w:bookmarkEnd w:id="7"/>
    <w:p>
      <w:pPr>
        <w:ind w:left="460"/>
        <w:spacing w:after="0"/>
        <w:rPr>
          <w:sz w:val="20"/>
          <w:szCs w:val="20"/>
          <w:color w:val="auto"/>
        </w:rPr>
      </w:pPr>
      <w:r>
        <w:rPr>
          <w:rFonts w:ascii="Arial" w:cs="Arial" w:eastAsia="Arial" w:hAnsi="Arial"/>
          <w:sz w:val="13"/>
          <w:szCs w:val="13"/>
          <w:color w:val="auto"/>
        </w:rPr>
        <w:t>The diagram below depicts the Company’s organizational structure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9525</wp:posOffset>
            </wp:positionV>
            <wp:extent cx="3034665" cy="2399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239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Sponsorship with Global Infrastructure Partners</w:t>
      </w:r>
    </w:p>
    <w:p>
      <w:pPr>
        <w:spacing w:after="0" w:line="127"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129" w:lineRule="exact"/>
        <w:rPr>
          <w:sz w:val="20"/>
          <w:szCs w:val="20"/>
          <w:color w:val="auto"/>
        </w:rPr>
      </w:pPr>
    </w:p>
    <w:p>
      <w:pPr>
        <w:ind w:left="280"/>
        <w:spacing w:after="0" w:line="271" w:lineRule="auto"/>
        <w:rPr>
          <w:sz w:val="20"/>
          <w:szCs w:val="20"/>
          <w:color w:val="auto"/>
        </w:rPr>
      </w:pPr>
      <w:r>
        <w:rPr>
          <w:rFonts w:ascii="Arial" w:cs="Arial" w:eastAsia="Arial" w:hAnsi="Arial"/>
          <w:sz w:val="13"/>
          <w:szCs w:val="13"/>
          <w:i w:val="1"/>
          <w:iCs w:val="1"/>
          <w:color w:val="auto"/>
        </w:rPr>
        <w:t xml:space="preserve">Minimized impact to CAFD from potential change in control costs </w:t>
      </w:r>
      <w:r>
        <w:rPr>
          <w:rFonts w:ascii="Arial" w:cs="Arial" w:eastAsia="Arial" w:hAnsi="Arial"/>
          <w:sz w:val="13"/>
          <w:szCs w:val="13"/>
          <w:color w:val="auto"/>
        </w:rPr>
        <w:t>— No more than $10 million in reduced annual CAFD on a recurring basis that would result from changes in the Company's cost structure or any</w:t>
      </w:r>
      <w:r>
        <w:rPr>
          <w:rFonts w:ascii="Arial" w:cs="Arial" w:eastAsia="Arial" w:hAnsi="Arial"/>
          <w:sz w:val="13"/>
          <w:szCs w:val="13"/>
          <w:i w:val="1"/>
          <w:iCs w:val="1"/>
          <w:color w:val="auto"/>
        </w:rPr>
        <w:t xml:space="preserve"> </w:t>
      </w:r>
      <w:r>
        <w:rPr>
          <w:rFonts w:ascii="Arial" w:cs="Arial" w:eastAsia="Arial" w:hAnsi="Arial"/>
          <w:sz w:val="13"/>
          <w:szCs w:val="13"/>
          <w:color w:val="auto"/>
        </w:rPr>
        <w:t>impact from various consents.</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Enhanced ROFO pipeline </w:t>
      </w:r>
      <w:r>
        <w:rPr>
          <w:rFonts w:ascii="Arial" w:cs="Arial" w:eastAsia="Arial" w:hAnsi="Arial"/>
          <w:sz w:val="13"/>
          <w:szCs w:val="13"/>
          <w:color w:val="auto"/>
        </w:rPr>
        <w:t>— Upon closing, the Company will enter into a new ROFO agreement with GIP that adds 550 MW to the current pipeline through the operational 150 MW Langford Wind project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400 MW Mesquite Star Wind project which is under development. The NRG ROFO Agreement will be amended to remove the Ivanpah solar facility.</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Financial cooperation and support </w:t>
      </w:r>
      <w:r>
        <w:rPr>
          <w:rFonts w:ascii="Arial" w:cs="Arial" w:eastAsia="Arial" w:hAnsi="Arial"/>
          <w:sz w:val="13"/>
          <w:szCs w:val="13"/>
          <w:color w:val="auto"/>
        </w:rPr>
        <w:t>— GIP has arranged a $1.5 billion backstop credit facility to manage any change of control costs associated with the Company's corporate debt. GIP has also committed to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up to $400 million in financial support, if necessary, for the purchase of the Carlsbad Energy Center.</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Voting and Governance Agreement </w:t>
      </w:r>
      <w:r>
        <w:rPr>
          <w:rFonts w:ascii="Arial" w:cs="Arial" w:eastAsia="Arial" w:hAnsi="Arial"/>
          <w:sz w:val="13"/>
          <w:szCs w:val="13"/>
          <w:color w:val="auto"/>
        </w:rPr>
        <w:t>— As part of the NRG Transaction, the parties have agreed to enter into a voting and governance agreement, which would provide that:</w:t>
      </w:r>
    </w:p>
    <w:p>
      <w:pPr>
        <w:spacing w:after="0" w:line="132"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Chief Executive Officer of Yield, Inc. will at all times be a full-time Yield, Inc. employee appointed by the Board of Directors, or the Board, of Yield, Inc.;</w:t>
      </w:r>
    </w:p>
    <w:p>
      <w:pPr>
        <w:spacing w:after="0" w:line="13" w:lineRule="exact"/>
        <w:rPr>
          <w:rFonts w:ascii="Arial" w:cs="Arial" w:eastAsia="Arial" w:hAnsi="Arial"/>
          <w:sz w:val="13"/>
          <w:szCs w:val="13"/>
          <w:color w:val="auto"/>
        </w:rPr>
      </w:pPr>
    </w:p>
    <w:p>
      <w:pPr>
        <w:ind w:left="700" w:right="20" w:hanging="236"/>
        <w:spacing w:after="0" w:line="249"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parties thereto will use their commercially reasonable efforts to submit to Yield, Inc.’s stockholders at Yield, Inc.'s 2019 Annual Meeting of Stockholders a charter amendment to classify the Board into two classes (with the independent directors and directors designated by an affiliate of GIP allocated across the two classes); and</w:t>
      </w:r>
    </w:p>
    <w:p>
      <w:pPr>
        <w:ind w:left="700" w:right="20" w:hanging="236"/>
        <w:spacing w:after="0" w:line="259"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Board will be expanded to nine members at the closing of the NRG Transaction, comprised at that date of five directors designated by GIP, three independent directors and Yield, Inc.’s 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80"/>
          </w:cols>
          <w:pgMar w:left="220" w:top="830" w:right="199" w:bottom="1440" w:gutter="0" w:footer="0" w:header="0"/>
        </w:sectPr>
      </w:pPr>
    </w:p>
    <w:bookmarkStart w:id="8" w:name="page9"/>
    <w:bookmarkEnd w:id="8"/>
    <w:p>
      <w:pPr>
        <w:ind w:left="2"/>
        <w:spacing w:after="0"/>
        <w:rPr>
          <w:sz w:val="20"/>
          <w:szCs w:val="20"/>
          <w:color w:val="auto"/>
        </w:rPr>
      </w:pPr>
      <w:r>
        <w:rPr>
          <w:rFonts w:ascii="Arial" w:cs="Arial" w:eastAsia="Arial" w:hAnsi="Arial"/>
          <w:sz w:val="13"/>
          <w:szCs w:val="13"/>
          <w:b w:val="1"/>
          <w:bCs w:val="1"/>
          <w:color w:val="auto"/>
        </w:rPr>
        <w:t>Business Strategy</w:t>
      </w:r>
    </w:p>
    <w:p>
      <w:pPr>
        <w:spacing w:after="0" w:line="127" w:lineRule="exact"/>
        <w:rPr>
          <w:sz w:val="20"/>
          <w:szCs w:val="20"/>
          <w:color w:val="auto"/>
        </w:rPr>
      </w:pPr>
    </w:p>
    <w:p>
      <w:pPr>
        <w:ind w:left="462"/>
        <w:spacing w:after="0"/>
        <w:rPr>
          <w:sz w:val="20"/>
          <w:szCs w:val="20"/>
          <w:color w:val="auto"/>
        </w:rPr>
      </w:pPr>
      <w:r>
        <w:rPr>
          <w:rFonts w:ascii="Arial" w:cs="Arial" w:eastAsia="Arial" w:hAnsi="Arial"/>
          <w:sz w:val="11"/>
          <w:szCs w:val="11"/>
          <w:color w:val="auto"/>
        </w:rPr>
        <w:t>The Company's primary business strategy is to focus on the acquisition and ownership of assets with predictable, long-term cash flows in order that it may be able to increase the cash distributions to Yield, Inc.</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3"/>
          <w:szCs w:val="13"/>
          <w:color w:val="auto"/>
        </w:rPr>
        <w:t>and NRG over time without compromising the ongoing stability of the business. The Company's plan for executing this strategy includes the following key components:</w:t>
      </w:r>
    </w:p>
    <w:p>
      <w:pPr>
        <w:spacing w:after="0" w:line="115" w:lineRule="exact"/>
        <w:rPr>
          <w:sz w:val="20"/>
          <w:szCs w:val="20"/>
          <w:color w:val="auto"/>
        </w:rPr>
      </w:pPr>
    </w:p>
    <w:p>
      <w:pPr>
        <w:jc w:val="both"/>
        <w:ind w:left="2" w:right="20" w:firstLine="466"/>
        <w:spacing w:after="0" w:line="260" w:lineRule="auto"/>
        <w:rPr>
          <w:sz w:val="20"/>
          <w:szCs w:val="20"/>
          <w:color w:val="auto"/>
        </w:rPr>
      </w:pPr>
      <w:r>
        <w:rPr>
          <w:rFonts w:ascii="Arial" w:cs="Arial" w:eastAsia="Arial" w:hAnsi="Arial"/>
          <w:sz w:val="13"/>
          <w:szCs w:val="13"/>
          <w:b w:val="1"/>
          <w:bCs w:val="1"/>
          <w:i w:val="1"/>
          <w:iCs w:val="1"/>
          <w:color w:val="auto"/>
        </w:rPr>
        <w:t xml:space="preserve">Focus on contracted renewable energy and conventional generation and thermal infrastructure assets. </w:t>
      </w:r>
      <w:r>
        <w:rPr>
          <w:rFonts w:ascii="Arial" w:cs="Arial" w:eastAsia="Arial" w:hAnsi="Arial"/>
          <w:sz w:val="13"/>
          <w:szCs w:val="13"/>
          <w:color w:val="auto"/>
        </w:rPr>
        <w:t>The Company owns and operates utility scale and distributed renewable energy and natural gas-fired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97" w:lineRule="exact"/>
        <w:rPr>
          <w:sz w:val="20"/>
          <w:szCs w:val="20"/>
          <w:color w:val="auto"/>
        </w:rPr>
      </w:pPr>
    </w:p>
    <w:p>
      <w:pPr>
        <w:jc w:val="both"/>
        <w:ind w:left="2" w:right="20" w:firstLine="466"/>
        <w:spacing w:after="0" w:line="279" w:lineRule="auto"/>
        <w:rPr>
          <w:sz w:val="20"/>
          <w:szCs w:val="20"/>
          <w:color w:val="auto"/>
        </w:rPr>
      </w:pPr>
      <w:r>
        <w:rPr>
          <w:rFonts w:ascii="Arial" w:cs="Arial" w:eastAsia="Arial" w:hAnsi="Arial"/>
          <w:sz w:val="12"/>
          <w:szCs w:val="12"/>
          <w:b w:val="1"/>
          <w:bCs w:val="1"/>
          <w:i w:val="1"/>
          <w:iCs w:val="1"/>
          <w:color w:val="auto"/>
        </w:rPr>
        <w:t xml:space="preserve">Growing the business through acquisitions of contracted operating assets. </w:t>
      </w:r>
      <w:r>
        <w:rPr>
          <w:rFonts w:ascii="Arial" w:cs="Arial" w:eastAsia="Arial" w:hAnsi="Arial"/>
          <w:sz w:val="12"/>
          <w:szCs w:val="12"/>
          <w:color w:val="auto"/>
        </w:rPr>
        <w:t>The Company believes that its base of operations and relationship with NRG provide a platform in the conventional and renewable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a Right of First Offer Agreement with NRG, or the NRG ROFO Agreement. Under the NRG ROFO Agreement, NRG has granted the Company and its affiliates a right of first offer on any proposed sale, transfer or other disposition of certain assets of NRG until February 24, 2022. NRG is not obligated to sell the remaining NRG ROFO Assets to the Company and, if offered by NRG, the Company cannot be sure whether these assets will be offered on acceptable terms, or that the Company will choose to consummate such acquisitions. The assets listed in the table below represent the NRG ROFO Assets:</w:t>
      </w:r>
    </w:p>
    <w:p>
      <w:pPr>
        <w:sectPr>
          <w:pgSz w:w="11900" w:h="16838" w:orient="portrait"/>
          <w:cols w:equalWidth="0" w:num="1">
            <w:col w:w="11482"/>
          </w:cols>
          <w:pgMar w:left="218" w:top="982" w:right="199" w:bottom="1440" w:gutter="0" w:footer="0" w:header="0"/>
        </w:sectPr>
      </w:pPr>
    </w:p>
    <w:p>
      <w:pPr>
        <w:spacing w:after="0" w:line="224" w:lineRule="exact"/>
        <w:rPr>
          <w:sz w:val="20"/>
          <w:szCs w:val="20"/>
          <w:color w:val="auto"/>
        </w:rPr>
      </w:pPr>
    </w:p>
    <w:p>
      <w:pPr>
        <w:ind w:left="22"/>
        <w:spacing w:after="0"/>
        <w:rPr>
          <w:sz w:val="20"/>
          <w:szCs w:val="20"/>
          <w:color w:val="auto"/>
        </w:rPr>
      </w:pPr>
      <w:r>
        <w:rPr>
          <w:rFonts w:ascii="Arial" w:cs="Arial" w:eastAsia="Arial" w:hAnsi="Arial"/>
          <w:sz w:val="10"/>
          <w:szCs w:val="10"/>
          <w:b w:val="1"/>
          <w:bCs w:val="1"/>
          <w:color w:val="auto"/>
        </w:rPr>
        <w:t>Asset</w:t>
      </w:r>
    </w:p>
    <w:p>
      <w:pPr>
        <w:spacing w:after="0" w:line="64" w:lineRule="exact"/>
        <w:rPr>
          <w:sz w:val="20"/>
          <w:szCs w:val="20"/>
          <w:color w:val="auto"/>
        </w:rPr>
      </w:pPr>
    </w:p>
    <w:p>
      <w:pPr>
        <w:ind w:left="22"/>
        <w:spacing w:after="0"/>
        <w:rPr>
          <w:sz w:val="20"/>
          <w:szCs w:val="20"/>
          <w:color w:val="auto"/>
        </w:rPr>
      </w:pPr>
      <w:r>
        <w:rPr>
          <w:rFonts w:ascii="Arial" w:cs="Arial" w:eastAsia="Arial" w:hAnsi="Arial"/>
          <w:sz w:val="10"/>
          <w:szCs w:val="10"/>
          <w:color w:val="auto"/>
        </w:rPr>
        <w:t>Agua Caliente</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Ivanpah</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Hawaii</w:t>
      </w:r>
      <w:r>
        <w:rPr>
          <w:rFonts w:ascii="Arial" w:cs="Arial" w:eastAsia="Arial" w:hAnsi="Arial"/>
          <w:sz w:val="6"/>
          <w:szCs w:val="6"/>
          <w:color w:val="auto"/>
        </w:rPr>
        <w:t>(b)</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9"/>
          <w:szCs w:val="9"/>
          <w:color w:val="auto"/>
        </w:rPr>
        <w:t>Distributed Solar (up to $190 million of equity in distributed solar generation portfolio(s)</w:t>
      </w:r>
      <w:r>
        <w:rPr>
          <w:rFonts w:ascii="Arial" w:cs="Arial" w:eastAsia="Arial" w:hAnsi="Arial"/>
          <w:sz w:val="6"/>
          <w:szCs w:val="6"/>
          <w:color w:val="auto"/>
        </w:rPr>
        <w:t>(b)</w:t>
      </w:r>
    </w:p>
    <w:p>
      <w:pPr>
        <w:spacing w:after="0" w:line="91" w:lineRule="exact"/>
        <w:rPr>
          <w:sz w:val="20"/>
          <w:szCs w:val="20"/>
          <w:color w:val="auto"/>
        </w:rPr>
      </w:pPr>
    </w:p>
    <w:p>
      <w:pPr>
        <w:ind w:left="22"/>
        <w:spacing w:after="0"/>
        <w:rPr>
          <w:sz w:val="20"/>
          <w:szCs w:val="20"/>
          <w:color w:val="auto"/>
        </w:rPr>
      </w:pPr>
      <w:r>
        <w:rPr>
          <w:rFonts w:ascii="Arial" w:cs="Arial" w:eastAsia="Arial" w:hAnsi="Arial"/>
          <w:sz w:val="10"/>
          <w:szCs w:val="10"/>
          <w:color w:val="auto"/>
        </w:rPr>
        <w:t>Buckthorn Solar</w:t>
      </w:r>
      <w:r>
        <w:rPr>
          <w:rFonts w:ascii="Arial" w:cs="Arial" w:eastAsia="Arial" w:hAnsi="Arial"/>
          <w:sz w:val="6"/>
          <w:szCs w:val="6"/>
          <w:color w:val="auto"/>
        </w:rPr>
        <w:t>(c)</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 xml:space="preserve">Carlsbad </w:t>
      </w:r>
      <w:r>
        <w:rPr>
          <w:rFonts w:ascii="Arial" w:cs="Arial" w:eastAsia="Arial" w:hAnsi="Arial"/>
          <w:sz w:val="6"/>
          <w:szCs w:val="6"/>
          <w:color w:val="auto"/>
        </w:rPr>
        <w:t>(d)</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Puente/Mandalay</w:t>
      </w:r>
      <w:r>
        <w:rPr>
          <w:rFonts w:ascii="Arial" w:cs="Arial" w:eastAsia="Arial" w:hAnsi="Arial"/>
          <w:sz w:val="6"/>
          <w:szCs w:val="6"/>
          <w:color w:val="auto"/>
        </w:rPr>
        <w:t>(e)</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Community</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Jeffers</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Minnesota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4185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Rated Capacity</w:t>
            </w:r>
          </w:p>
        </w:tc>
        <w:tc>
          <w:tcPr>
            <w:tcW w:w="1380" w:type="dxa"/>
            <w:vAlign w:val="bottom"/>
          </w:tcPr>
          <w:p>
            <w:pPr>
              <w:spacing w:after="0"/>
              <w:rPr>
                <w:sz w:val="10"/>
                <w:szCs w:val="10"/>
                <w:color w:val="auto"/>
              </w:rPr>
            </w:pPr>
          </w:p>
        </w:tc>
      </w:tr>
      <w:tr>
        <w:trPr>
          <w:trHeight w:val="158"/>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Fuel Type</w:t>
            </w:r>
          </w:p>
        </w:tc>
        <w:tc>
          <w:tcPr>
            <w:tcW w:w="12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(MW)</w:t>
            </w:r>
            <w:r>
              <w:rPr>
                <w:rFonts w:ascii="Arial" w:cs="Arial" w:eastAsia="Arial" w:hAnsi="Arial"/>
                <w:sz w:val="6"/>
                <w:szCs w:val="6"/>
                <w:b w:val="1"/>
                <w:bCs w:val="1"/>
                <w:color w:val="auto"/>
              </w:rPr>
              <w:t>(a)</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COD</w:t>
            </w:r>
          </w:p>
        </w:tc>
      </w:tr>
      <w:tr>
        <w:trPr>
          <w:trHeight w:val="170"/>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102</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2014</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196</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2013</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2019</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various</w:t>
            </w:r>
          </w:p>
        </w:tc>
        <w:tc>
          <w:tcPr>
            <w:tcW w:w="1380" w:type="dxa"/>
            <w:vAlign w:val="bottom"/>
          </w:tcPr>
          <w:p>
            <w:pPr>
              <w:jc w:val="center"/>
              <w:spacing w:after="0"/>
              <w:rPr>
                <w:sz w:val="20"/>
                <w:szCs w:val="20"/>
                <w:color w:val="auto"/>
              </w:rPr>
            </w:pPr>
            <w:r>
              <w:rPr>
                <w:rFonts w:ascii="Arial" w:cs="Arial" w:eastAsia="Arial" w:hAnsi="Arial"/>
                <w:sz w:val="10"/>
                <w:szCs w:val="10"/>
                <w:color w:val="auto"/>
                <w:w w:val="92"/>
              </w:rPr>
              <w:t>various</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154</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2018</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Conventional</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527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-487045</wp:posOffset>
            </wp:positionV>
            <wp:extent cx="7272655"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-240665</wp:posOffset>
            </wp:positionV>
            <wp:extent cx="7272655" cy="123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5715</wp:posOffset>
            </wp:positionV>
            <wp:extent cx="7272655" cy="123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-734060</wp:posOffset>
            </wp:positionV>
            <wp:extent cx="7272655" cy="123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23190"/>
                    </a:xfrm>
                    <a:prstGeom prst="rect">
                      <a:avLst/>
                    </a:prstGeom>
                    <a:noFill/>
                  </pic:spPr>
                </pic:pic>
              </a:graphicData>
            </a:graphic>
          </wp:anchor>
        </w:drawing>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1260" w:type="dxa"/>
            <w:vAlign w:val="bottom"/>
          </w:tcPr>
          <w:p>
            <w:pPr>
              <w:jc w:val="center"/>
              <w:ind w:right="648"/>
              <w:spacing w:after="0"/>
              <w:rPr>
                <w:sz w:val="20"/>
                <w:szCs w:val="20"/>
                <w:color w:val="auto"/>
              </w:rPr>
            </w:pPr>
            <w:r>
              <w:rPr>
                <w:rFonts w:ascii="Arial" w:cs="Arial" w:eastAsia="Arial" w:hAnsi="Arial"/>
                <w:sz w:val="10"/>
                <w:szCs w:val="10"/>
                <w:color w:val="auto"/>
                <w:w w:val="95"/>
              </w:rPr>
              <w:t>Conventional</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4"/>
              </w:rPr>
              <w:t>Project not expected to move forward</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-240665</wp:posOffset>
            </wp:positionV>
            <wp:extent cx="7272655" cy="123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123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2" w:space="720"/>
            <w:col w:w="4820"/>
          </w:cols>
          <w:pgMar w:left="218" w:top="982" w:right="199" w:bottom="1440" w:gutter="0" w:footer="0" w:header="0"/>
          <w:type w:val="continuous"/>
        </w:sectPr>
      </w:pPr>
    </w:p>
    <w:p>
      <w:pPr>
        <w:spacing w:after="0" w:line="107" w:lineRule="exact"/>
        <w:rPr>
          <w:sz w:val="20"/>
          <w:szCs w:val="20"/>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Represents the maximum, or rated, electricity generating capacity of the facility in MW multiplied by NRG's percentage ownership interest in the facility as of December 31, 2017.</w:t>
      </w:r>
    </w:p>
    <w:p>
      <w:pPr>
        <w:spacing w:after="0" w:line="9" w:lineRule="exact"/>
        <w:rPr>
          <w:rFonts w:ascii="Arial" w:cs="Arial" w:eastAsia="Arial" w:hAnsi="Arial"/>
          <w:sz w:val="6"/>
          <w:szCs w:val="6"/>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Hawaii and Distributed Solar are part of the NRG ROFO Agreement. These are not expected to be offered by NRG prior to consummation of the NRG Transaction and, at that time, would become part of a new ROFO Agreement with GIP.</w:t>
      </w:r>
    </w:p>
    <w:p>
      <w:pPr>
        <w:spacing w:after="0" w:line="1" w:lineRule="exact"/>
        <w:rPr>
          <w:rFonts w:ascii="Arial" w:cs="Arial" w:eastAsia="Arial" w:hAnsi="Arial"/>
          <w:sz w:val="6"/>
          <w:szCs w:val="6"/>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The transaction is expected to close in the first quarter of 2018.</w:t>
      </w:r>
    </w:p>
    <w:p>
      <w:pPr>
        <w:spacing w:after="0" w:line="1" w:lineRule="exact"/>
        <w:rPr>
          <w:rFonts w:ascii="Arial" w:cs="Arial" w:eastAsia="Arial" w:hAnsi="Arial"/>
          <w:sz w:val="6"/>
          <w:szCs w:val="6"/>
          <w:color w:val="auto"/>
        </w:rPr>
      </w:pPr>
    </w:p>
    <w:p>
      <w:pPr>
        <w:ind w:left="2" w:right="20" w:hanging="2"/>
        <w:spacing w:after="0" w:line="243" w:lineRule="auto"/>
        <w:tabs>
          <w:tab w:leader="none" w:pos="94" w:val="left"/>
        </w:tabs>
        <w:numPr>
          <w:ilvl w:val="0"/>
          <w:numId w:val="4"/>
        </w:numPr>
        <w:rPr>
          <w:rFonts w:ascii="Arial" w:cs="Arial" w:eastAsia="Arial" w:hAnsi="Arial"/>
          <w:sz w:val="6"/>
          <w:szCs w:val="6"/>
          <w:color w:val="auto"/>
        </w:rPr>
      </w:pPr>
      <w:r>
        <w:rPr>
          <w:rFonts w:ascii="Arial" w:cs="Arial" w:eastAsia="Arial" w:hAnsi="Arial"/>
          <w:sz w:val="10"/>
          <w:szCs w:val="10"/>
          <w:color w:val="auto"/>
        </w:rPr>
        <w:t>The transaction is expected to close in the fourth quarter of 2018 and is contingent upon the consummation of the NRG Transaction. Reflects capacity per the Power Purchase &amp; Tolling Agreement with San Diego Gas &amp; Electric; actual tested capacity is expected to be 530 MW.</w:t>
      </w:r>
    </w:p>
    <w:p>
      <w:pPr>
        <w:ind w:left="2" w:hanging="2"/>
        <w:spacing w:after="0" w:line="258" w:lineRule="auto"/>
        <w:tabs>
          <w:tab w:leader="none" w:pos="90" w:val="left"/>
        </w:tabs>
        <w:numPr>
          <w:ilvl w:val="0"/>
          <w:numId w:val="4"/>
        </w:numPr>
        <w:rPr>
          <w:rFonts w:ascii="Arial" w:cs="Arial" w:eastAsia="Arial" w:hAnsi="Arial"/>
          <w:sz w:val="6"/>
          <w:szCs w:val="6"/>
          <w:color w:val="auto"/>
        </w:rPr>
      </w:pPr>
      <w:r>
        <w:rPr>
          <w:rFonts w:ascii="Arial" w:cs="Arial" w:eastAsia="Arial" w:hAnsi="Arial"/>
          <w:sz w:val="10"/>
          <w:szCs w:val="10"/>
          <w:color w:val="auto"/>
        </w:rPr>
        <w:t>On November 3, 2017, the California Energy Commission suspended the permitting process for the Puente Power Project after two commissioners issued a statement stating their intention to deny the permit. If the CEC formally denies a permit for the Puente Power Project, then the project will not move forward.</w:t>
      </w:r>
    </w:p>
    <w:p>
      <w:pPr>
        <w:spacing w:after="0" w:line="99" w:lineRule="exact"/>
        <w:rPr>
          <w:sz w:val="20"/>
          <w:szCs w:val="20"/>
          <w:color w:val="auto"/>
        </w:rPr>
      </w:pPr>
    </w:p>
    <w:p>
      <w:pPr>
        <w:jc w:val="both"/>
        <w:ind w:left="2" w:right="20" w:firstLine="466"/>
        <w:spacing w:after="0" w:line="271" w:lineRule="auto"/>
        <w:rPr>
          <w:sz w:val="20"/>
          <w:szCs w:val="20"/>
          <w:color w:val="auto"/>
        </w:rPr>
      </w:pPr>
      <w:r>
        <w:rPr>
          <w:rFonts w:ascii="Arial" w:cs="Arial" w:eastAsia="Arial" w:hAnsi="Arial"/>
          <w:sz w:val="13"/>
          <w:szCs w:val="13"/>
          <w:color w:val="auto"/>
        </w:rPr>
        <w:t>Upon closing of the NRG Transaction, the Company will enter into a new ROFO agreement with GIP that adds 550 MW to the current pipeline through the operational 150 MW Langford Wind project and the 400 MW Mesquite Star Wind project which is under development. The NRG ROFO Agreement will be amended to remove the Ivanpah solar facility.</w:t>
      </w:r>
    </w:p>
    <w:p>
      <w:pPr>
        <w:spacing w:after="0" w:line="129" w:lineRule="exact"/>
        <w:rPr>
          <w:sz w:val="20"/>
          <w:szCs w:val="20"/>
          <w:color w:val="auto"/>
        </w:rPr>
      </w:pPr>
    </w:p>
    <w:p>
      <w:pPr>
        <w:jc w:val="both"/>
        <w:ind w:left="2" w:right="20" w:firstLine="466"/>
        <w:spacing w:after="0" w:line="256" w:lineRule="auto"/>
        <w:rPr>
          <w:sz w:val="20"/>
          <w:szCs w:val="20"/>
          <w:color w:val="auto"/>
        </w:rPr>
      </w:pPr>
      <w:r>
        <w:rPr>
          <w:rFonts w:ascii="Arial" w:cs="Arial" w:eastAsia="Arial" w:hAnsi="Arial"/>
          <w:sz w:val="13"/>
          <w:szCs w:val="13"/>
          <w:b w:val="1"/>
          <w:bCs w:val="1"/>
          <w:i w:val="1"/>
          <w:iCs w:val="1"/>
          <w:color w:val="auto"/>
        </w:rPr>
        <w:t xml:space="preserve">Primary focus on North America. </w:t>
      </w:r>
      <w:r>
        <w:rPr>
          <w:rFonts w:ascii="Arial" w:cs="Arial" w:eastAsia="Arial" w:hAnsi="Arial"/>
          <w:sz w:val="13"/>
          <w:szCs w:val="13"/>
          <w:color w:val="auto"/>
        </w:rPr>
        <w:t>The Company intends to primarily focus its investments in North America (including the unincorporated territories of the U.S.). The Company believes that industry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27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82"/>
          </w:cols>
          <w:pgMar w:left="218" w:top="982" w:right="1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auto"/>
        </w:rPr>
        <w:t>Competition</w:t>
      </w:r>
    </w:p>
    <w:p>
      <w:pPr>
        <w:spacing w:after="0" w:line="127" w:lineRule="exact"/>
        <w:rPr>
          <w:sz w:val="20"/>
          <w:szCs w:val="20"/>
          <w:color w:val="auto"/>
        </w:rPr>
      </w:pPr>
    </w:p>
    <w:p>
      <w:pPr>
        <w:jc w:val="both"/>
        <w:ind w:firstLine="466"/>
        <w:spacing w:after="0" w:line="279" w:lineRule="auto"/>
        <w:rPr>
          <w:sz w:val="20"/>
          <w:szCs w:val="20"/>
          <w:color w:val="auto"/>
        </w:rPr>
      </w:pPr>
      <w:r>
        <w:rPr>
          <w:rFonts w:ascii="Arial" w:cs="Arial" w:eastAsia="Arial" w:hAnsi="Arial"/>
          <w:sz w:val="12"/>
          <w:szCs w:val="12"/>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87"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Competitive Strengths</w:t>
      </w:r>
    </w:p>
    <w:p>
      <w:pPr>
        <w:spacing w:after="0" w:line="127"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b w:val="1"/>
          <w:bCs w:val="1"/>
          <w:i w:val="1"/>
          <w:iCs w:val="1"/>
          <w:color w:val="auto"/>
        </w:rPr>
        <w:t xml:space="preserve">Stable, high quality cash flows. </w:t>
      </w:r>
      <w:r>
        <w:rPr>
          <w:rFonts w:ascii="Arial" w:cs="Arial" w:eastAsia="Arial" w:hAnsi="Arial"/>
          <w:sz w:val="12"/>
          <w:szCs w:val="12"/>
          <w:color w:val="auto"/>
        </w:rPr>
        <w:t>The Company's facilities have a stable, predictable cash flow profile consisting of predominantly long-life electric generation assets that sell electricity under long-term fixed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priced contracts or pursuant to regulated rates with investment grade and certain other credit-worthy counterparties. Additionally, the Company's facilities have minimal fuel risk. For the Company's conventional assets, fuel is provided by the toll counterparty or the cost thereof is a pass-through cost under the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of approximately </w:t>
      </w:r>
      <w:r>
        <w:rPr>
          <w:rFonts w:ascii="Arial" w:cs="Arial" w:eastAsia="Arial" w:hAnsi="Arial"/>
          <w:sz w:val="12"/>
          <w:szCs w:val="12"/>
          <w:color w:val="231F20"/>
        </w:rPr>
        <w:t>15 years</w:t>
      </w:r>
      <w:r>
        <w:rPr>
          <w:rFonts w:ascii="Arial" w:cs="Arial" w:eastAsia="Arial" w:hAnsi="Arial"/>
          <w:sz w:val="12"/>
          <w:szCs w:val="12"/>
          <w:color w:val="auto"/>
        </w:rPr>
        <w:t xml:space="preserve"> as of December 31, 2017, based on CAFD, providing long-term cash flow stability. The Company's generation offtake agreements with counterparties for whom credit ratings are available have a weighted-average Moody’s rating of A3 based on rated capacity under contract. All of the Company's assets are in the U.S. and accordingly have no currency or repatriation risks.</w:t>
      </w:r>
    </w:p>
    <w:p>
      <w:pPr>
        <w:spacing w:after="0" w:line="87"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b w:val="1"/>
          <w:bCs w:val="1"/>
          <w:i w:val="1"/>
          <w:iCs w:val="1"/>
          <w:color w:val="auto"/>
        </w:rPr>
        <w:t xml:space="preserve">High quality, long-lived assets with low operating and capital requirements. </w:t>
      </w:r>
      <w:r>
        <w:rPr>
          <w:rFonts w:ascii="Arial" w:cs="Arial" w:eastAsia="Arial" w:hAnsi="Arial"/>
          <w:sz w:val="13"/>
          <w:szCs w:val="13"/>
          <w:color w:val="auto"/>
        </w:rPr>
        <w:t>The Company benefits from a portfolio of relatively younger assets, other than thermal infrastructure assets. The Company's assets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 Additionally, with the support of services provided by NRG, the Company expects to continue to implement the same rigorous preventative operating and management practices that NRG uses across its fleet of assets.</w:t>
      </w:r>
    </w:p>
    <w:p>
      <w:pPr>
        <w:spacing w:after="0" w:line="100"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b w:val="1"/>
          <w:bCs w:val="1"/>
          <w:i w:val="1"/>
          <w:iCs w:val="1"/>
          <w:color w:val="auto"/>
        </w:rPr>
        <w:t xml:space="preserve">Significant scale and diversity. </w:t>
      </w:r>
      <w:r>
        <w:rPr>
          <w:rFonts w:ascii="Arial" w:cs="Arial" w:eastAsia="Arial" w:hAnsi="Arial"/>
          <w:sz w:val="13"/>
          <w:szCs w:val="13"/>
          <w:color w:val="auto"/>
        </w:rPr>
        <w:t>The Company owns and operates a large and diverse portfolio of contracted electric generation and thermal infrastructure assets. As of December 31, 2017, the Company's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231F20"/>
        </w:rPr>
        <w:t>5,118</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MW contracted generation portfolio benefits from significant diversification in terms of technology, fuel type, counterparty and geography. The Company's thermal business consists of twelve operations, seven of which are district energy centers that provide steam and chilled water to approximately 695 customers, and five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0"/>
          </w:cols>
          <w:pgMar w:left="220" w:top="710" w:right="199" w:bottom="1440" w:gutter="0" w:footer="0" w:header="0"/>
        </w:sectPr>
      </w:pPr>
    </w:p>
    <w:bookmarkStart w:id="10" w:name="page11"/>
    <w:bookmarkEnd w:id="10"/>
    <w:p>
      <w:pPr>
        <w:jc w:val="both"/>
        <w:ind w:firstLine="466"/>
        <w:spacing w:after="0" w:line="271" w:lineRule="auto"/>
        <w:rPr>
          <w:sz w:val="20"/>
          <w:szCs w:val="20"/>
          <w:color w:val="auto"/>
        </w:rPr>
      </w:pPr>
      <w:r>
        <w:rPr>
          <w:rFonts w:ascii="Arial" w:cs="Arial" w:eastAsia="Arial" w:hAnsi="Arial"/>
          <w:sz w:val="13"/>
          <w:szCs w:val="13"/>
          <w:b w:val="1"/>
          <w:bCs w:val="1"/>
          <w:i w:val="1"/>
          <w:iCs w:val="1"/>
          <w:color w:val="auto"/>
        </w:rPr>
        <w:t xml:space="preserve">Relationship with NRG. </w:t>
      </w:r>
      <w:r>
        <w:rPr>
          <w:rFonts w:ascii="Arial" w:cs="Arial" w:eastAsia="Arial" w:hAnsi="Arial"/>
          <w:sz w:val="13"/>
          <w:szCs w:val="13"/>
          <w:color w:val="auto"/>
        </w:rPr>
        <w:t>The Company believes its relationship with NRG, a leading competitive power generator in the U.S., provides significant benefits to the Company, including access to the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resources of NRG to support its operational, financial, legal, regulatory and environmental functions.</w:t>
      </w:r>
    </w:p>
    <w:p>
      <w:pPr>
        <w:spacing w:after="0" w:line="129"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b w:val="1"/>
          <w:bCs w:val="1"/>
          <w:i w:val="1"/>
          <w:iCs w:val="1"/>
          <w:color w:val="auto"/>
        </w:rPr>
        <w:t xml:space="preserve">Relationship with GIP. </w:t>
      </w:r>
      <w:r>
        <w:rPr>
          <w:rFonts w:ascii="Arial" w:cs="Arial" w:eastAsia="Arial" w:hAnsi="Arial"/>
          <w:sz w:val="13"/>
          <w:szCs w:val="13"/>
          <w:color w:val="auto"/>
        </w:rPr>
        <w:t>The Company believes its potential relationship with GIP, should the NRG Transaction be consummated, may provide significant benefits to the Company. GIP is an independent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infrastructure fund with over $45 billion in assets under management that invests in infrastructure assets and businesses in both OECD and select emerging market countries. GIP has a strong track record of investment and value creation in the renewable energy sector. Additionally, GIP has extensive experience with publicly traded yield vehicles and development platforms, ranging from Europe's first application of a yield company/development company model to the largest renewable platform in Asia-Pacific.</w:t>
      </w:r>
    </w:p>
    <w:p>
      <w:pPr>
        <w:spacing w:after="0" w:line="23"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b w:val="1"/>
          <w:bCs w:val="1"/>
          <w:i w:val="1"/>
          <w:iCs w:val="1"/>
          <w:color w:val="auto"/>
        </w:rPr>
        <w:t xml:space="preserve">Environmentally well-positioned portfolio of assets. </w:t>
      </w:r>
      <w:r>
        <w:rPr>
          <w:rFonts w:ascii="Arial" w:cs="Arial" w:eastAsia="Arial" w:hAnsi="Arial"/>
          <w:sz w:val="12"/>
          <w:szCs w:val="12"/>
          <w:color w:val="auto"/>
        </w:rPr>
        <w:t>The Company's portfolio of electric generation assets consists of 3,173 net MW of renewable generation capacity that are non-emitting sources of power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generation. The 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86"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b w:val="1"/>
          <w:bCs w:val="1"/>
          <w:i w:val="1"/>
          <w:iCs w:val="1"/>
          <w:color w:val="auto"/>
        </w:rPr>
        <w:t xml:space="preserve">Thermal infrastructure business has high entry costs. </w:t>
      </w:r>
      <w:r>
        <w:rPr>
          <w:rFonts w:ascii="Arial" w:cs="Arial" w:eastAsia="Arial" w:hAnsi="Arial"/>
          <w:sz w:val="13"/>
          <w:szCs w:val="13"/>
          <w:color w:val="auto"/>
        </w:rPr>
        <w:t>Significant capital has been invested to construct the Company's thermal infrastructure assets, serving as a barrier to entry in the markets in which such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assets operate. As of December 31, 2017, the Company's thermal gross property, plant, and equipment was approximately $473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Review</w:t>
      </w:r>
    </w:p>
    <w:p>
      <w:pPr>
        <w:spacing w:after="0" w:line="127"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 xml:space="preserve">The following tables summarize the Company's operating revenues, net income (loss) and assets by segment for the years ended December 31, 2017, 2016 and 2015, as discussed in Item 15 — Note 12,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to the Consolidated Financial Statements. All amounts have been recast to include the effect of the acquisitions of the Drop Down Assets, which were accounted for as transfers of entities under common</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3"/>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3"/>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501</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1,897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5,811</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422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r>
        <w:trPr>
          <w:trHeight w:val="32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3"/>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3"/>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532</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1,035</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1,993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6,114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426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8,745</w:t>
            </w:r>
          </w:p>
        </w:tc>
        <w:tc>
          <w:tcPr>
            <w:tcW w:w="0" w:type="dxa"/>
            <w:vAlign w:val="bottom"/>
          </w:tcPr>
          <w:p>
            <w:pPr>
              <w:spacing w:after="0"/>
              <w:rPr>
                <w:sz w:val="1"/>
                <w:szCs w:val="1"/>
                <w:color w:val="auto"/>
              </w:rPr>
            </w:pPr>
          </w:p>
        </w:tc>
      </w:tr>
      <w:tr>
        <w:trPr>
          <w:trHeight w:val="24"/>
        </w:trPr>
        <w:tc>
          <w:tcPr>
            <w:tcW w:w="5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80"/>
          </w:cols>
          <w:pgMar w:left="220" w:top="714"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9"/>
        </w:trPr>
        <w:tc>
          <w:tcPr>
            <w:tcW w:w="5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2015</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4"/>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4"/>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4"/>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4"/>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2"/>
                <w:szCs w:val="12"/>
                <w:color w:val="auto"/>
              </w:rPr>
              <w:t>458</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Incentives</w:t>
      </w:r>
    </w:p>
    <w:p>
      <w:pPr>
        <w:spacing w:after="0" w:line="127"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Government incentives, including PTCs and ITCs, can enhance the economics of the Company's generating assets and investments by providing, for example, loan guarantees, cash grants, favorable tax treatment, favorable depreciation rules or other incentives. The Company cannot predict the effects that the current U.S. presidential administration will have on government incentives.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36"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2"/>
          <w:szCs w:val="12"/>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 The Company's operations within the ERCOT footprint are not subject to rate regulation by FERC, as they are deemed to operate solely within the ERCOT market and not in interstate commerce. These operations are subject to regulation by PUCT.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FERC</w:t>
      </w:r>
    </w:p>
    <w:p>
      <w:pPr>
        <w:spacing w:after="0" w:line="123" w:lineRule="exact"/>
        <w:rPr>
          <w:sz w:val="20"/>
          <w:szCs w:val="20"/>
          <w:color w:val="auto"/>
        </w:rPr>
      </w:pPr>
    </w:p>
    <w:p>
      <w:pPr>
        <w:jc w:val="both"/>
        <w:ind w:firstLine="466"/>
        <w:spacing w:after="0" w:line="292" w:lineRule="auto"/>
        <w:rPr>
          <w:sz w:val="20"/>
          <w:szCs w:val="20"/>
          <w:color w:val="auto"/>
        </w:rPr>
      </w:pPr>
      <w:r>
        <w:rPr>
          <w:rFonts w:ascii="Arial" w:cs="Arial" w:eastAsia="Arial" w:hAnsi="Arial"/>
          <w:sz w:val="12"/>
          <w:szCs w:val="12"/>
          <w:color w:val="auto"/>
        </w:rPr>
        <w:t>FERC, among other things, regulates the transmission and the wholesale sale of electricity in interstate commerce under the authority of the FPA. The transmission of electric energy occurring wholly within ERCOT is not subject to FERC’s jurisdiction under Sections 203 or 205 of the FPA. Under existing regulations, FERC determines whether an entity owning a generation facility is an EWG, as defined in the PUHCA. FERC also determines whether a generation facility meets the ownership and technical criteria of a QF under the PURPA. Each of the Company’s non-ERCOT generating facilities qualifies as an EWG.</w:t>
      </w:r>
    </w:p>
    <w:p>
      <w:pPr>
        <w:spacing w:after="0" w:line="79" w:lineRule="exact"/>
        <w:rPr>
          <w:sz w:val="20"/>
          <w:szCs w:val="20"/>
          <w:color w:val="auto"/>
        </w:rPr>
      </w:pPr>
    </w:p>
    <w:p>
      <w:pPr>
        <w:jc w:val="both"/>
        <w:ind w:firstLine="466"/>
        <w:spacing w:after="0" w:line="364" w:lineRule="auto"/>
        <w:rPr>
          <w:sz w:val="20"/>
          <w:szCs w:val="20"/>
          <w:color w:val="auto"/>
        </w:rPr>
      </w:pPr>
      <w:r>
        <w:rPr>
          <w:rFonts w:ascii="Arial" w:cs="Arial" w:eastAsia="Arial" w:hAnsi="Arial"/>
          <w:sz w:val="11"/>
          <w:szCs w:val="11"/>
          <w:color w:val="auto"/>
        </w:rPr>
        <w:t>The FPA gives FERC exclusive rate-making jurisdiction over the wholesale sale of electricity and transmission of electricity in interstate commerce of public utilities (as defined by the FPA). Under the FPA, FERC, with certain exceptions, regulates the owners of facilities used for the wholesale sale of electricity or transmission in interstate commerce as public utilities, and establishes market rules that are just and reasonable.</w:t>
      </w:r>
    </w:p>
    <w:p>
      <w:pPr>
        <w:spacing w:after="0" w:line="44"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Every three years FERC will conduct a review of the Company’s market based rates and potential market power on a regional basis.</w:t>
      </w:r>
    </w:p>
    <w:p>
      <w:pPr>
        <w:spacing w:after="0" w:line="97"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7"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 as public utilities.</w:t>
      </w:r>
    </w:p>
    <w:p>
      <w:pPr>
        <w:spacing w:after="0" w:line="90"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871" w:right="2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Environmental Matters</w:t>
      </w:r>
    </w:p>
    <w:p>
      <w:pPr>
        <w:spacing w:after="0" w:line="185" w:lineRule="exact"/>
        <w:rPr>
          <w:sz w:val="20"/>
          <w:szCs w:val="20"/>
          <w:color w:val="auto"/>
        </w:rPr>
      </w:pPr>
    </w:p>
    <w:p>
      <w:pPr>
        <w:jc w:val="both"/>
        <w:ind w:right="20" w:firstLine="466"/>
        <w:spacing w:after="0" w:line="292" w:lineRule="auto"/>
        <w:rPr>
          <w:sz w:val="20"/>
          <w:szCs w:val="20"/>
          <w:color w:val="auto"/>
        </w:rPr>
      </w:pPr>
      <w:r>
        <w:rPr>
          <w:rFonts w:ascii="Arial" w:cs="Arial" w:eastAsia="Arial" w:hAnsi="Arial"/>
          <w:sz w:val="12"/>
          <w:szCs w:val="12"/>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with respect to federal laws under the current U.S. presidential administration.</w:t>
      </w:r>
    </w:p>
    <w:p>
      <w:pPr>
        <w:spacing w:after="0" w:line="21"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In October 2015, the EPA finalized the Clean Power Plan, or CPP, addressing GHG emissions from existing EGUs. On February 9, 2016, the U.S. Supreme Court stayed the CPP. The D.C. Circuit heard oral argument on the legal challenges to the CPP in September 2016. At the EPA's request, the D.C. Circuit agreed on April 28, 2017 to hold the case in abeyance. On October 16, 2017, the EPA proposed a rule to repeal the CPP. Accordingly, the Company believes the CPP is not likely to survive.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27"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 sells its electricity and environmental attributes, including RECs, primarily to local utilities under long-term, fixed-price PPAs. During the year ended December 31, 2017, the Company derived approximately 41% of its consolidated revenue from Southern California Edison, or SCE, and approximately 23% of its consolidated revenue from Pacific Gas and Electric, or PG&amp;E.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27"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 xml:space="preserve">The Company employs Christopher Sotos as its President and Chief Executive Officer and Chad Plotkin as its Senior Vice President and Chief Financial Officer. As of December 31, 2017, other than Messrs. Sotos and Plotkin, the Company did not employ any other employees. The majority of personnel who manage operations of the Company are employees of NRG or third parties managed by NRG, and their services are provided for the Company's benefit under the Management Services Agreement and project operations and maintenance agreements with NRG as described in Item 15 —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to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27" w:lineRule="exact"/>
        <w:rPr>
          <w:sz w:val="20"/>
          <w:szCs w:val="20"/>
          <w:color w:val="auto"/>
        </w:rPr>
      </w:pPr>
    </w:p>
    <w:p>
      <w:pPr>
        <w:jc w:val="both"/>
        <w:ind w:right="20" w:firstLine="466"/>
        <w:spacing w:after="0" w:line="292" w:lineRule="auto"/>
        <w:rPr>
          <w:sz w:val="20"/>
          <w:szCs w:val="20"/>
          <w:color w:val="auto"/>
        </w:rPr>
      </w:pPr>
      <w:r>
        <w:rPr>
          <w:rFonts w:ascii="Arial" w:cs="Arial" w:eastAsia="Arial" w:hAnsi="Arial"/>
          <w:sz w:val="12"/>
          <w:szCs w:val="12"/>
          <w:color w:val="auto"/>
        </w:rPr>
        <w:t xml:space="preserve">The Company's annual reports on Form 10-K, quarterly reports on Form 10-Q, current reports on Form 8-K, and amendments to those reports filed or furnished pursuant to section 13(a) or 15(d) of the Exchange Act are available free of charge through Yield, Inc.'s website, </w:t>
      </w:r>
      <w:r>
        <w:rPr>
          <w:rFonts w:ascii="Arial" w:cs="Arial" w:eastAsia="Arial" w:hAnsi="Arial"/>
          <w:sz w:val="12"/>
          <w:szCs w:val="12"/>
          <w:i w:val="1"/>
          <w:iCs w:val="1"/>
          <w:color w:val="auto"/>
        </w:rPr>
        <w:t>www.nrgyield.com</w:t>
      </w:r>
      <w:r>
        <w:rPr>
          <w:rFonts w:ascii="Arial" w:cs="Arial" w:eastAsia="Arial" w:hAnsi="Arial"/>
          <w:sz w:val="12"/>
          <w:szCs w:val="12"/>
          <w:color w:val="auto"/>
        </w:rPr>
        <w:t>, as soon as reasonably practicable after they are electronically filed with, or furnished to, the SEC. The Company also routinely posts press releases, presentations, webcasts, and other information regarding the Company on Yield, Inc.'s website. The information posted on Yield, Inc.'s website is not a part of this report.</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Proposed NRG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not realize the anticipated benefits of the NRG Transaction.</w:t>
      </w:r>
    </w:p>
    <w:p>
      <w:pPr>
        <w:spacing w:after="0" w:line="161" w:lineRule="exact"/>
        <w:rPr>
          <w:sz w:val="20"/>
          <w:szCs w:val="20"/>
          <w:color w:val="auto"/>
        </w:rPr>
      </w:pPr>
    </w:p>
    <w:p>
      <w:pPr>
        <w:jc w:val="both"/>
        <w:ind w:firstLine="282"/>
        <w:spacing w:after="0" w:line="279"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for the acquisition of NRG’s full ownership interest in the Company and NRG’s renewable energy development and operations platform. Also on February 6, 2018, the Company entered into a consent and indemnity agreement with NRG and GIP in connection with the purchase and sale agreement between NRG and GIP. The consent and indemnity agreement and the purchase and sale agreement are collectively referred to as the NRG Transaction. Consummation of the NRG Transaction is subject to a number of conditions, including receipt of certain contractual consents and regulatory approvals from certain regulatory agencies, including approval by FERC and approvals from certain state regulatory agencies. While the parties have begun the process of notifying agencies and obtaining regulatory approvals and consents, there is no assurance that the parties will be able to obtain the requisite regulatory approvals or consents to satisfy the closing conditions. Additionally, the NRG Transaction requires the Company’s consent which is conditioned upon a number of items, all of which may not be met on a timely basis, or at all.</w:t>
      </w:r>
    </w:p>
    <w:p>
      <w:pPr>
        <w:spacing w:after="0" w:line="126" w:lineRule="exact"/>
        <w:rPr>
          <w:sz w:val="20"/>
          <w:szCs w:val="20"/>
          <w:color w:val="auto"/>
        </w:rPr>
      </w:pPr>
    </w:p>
    <w:p>
      <w:pPr>
        <w:jc w:val="both"/>
        <w:ind w:right="20" w:firstLine="282"/>
        <w:spacing w:after="0" w:line="255" w:lineRule="auto"/>
        <w:rPr>
          <w:sz w:val="20"/>
          <w:szCs w:val="20"/>
          <w:color w:val="auto"/>
        </w:rPr>
      </w:pPr>
      <w:r>
        <w:rPr>
          <w:rFonts w:ascii="Arial" w:cs="Arial" w:eastAsia="Arial" w:hAnsi="Arial"/>
          <w:sz w:val="13"/>
          <w:szCs w:val="13"/>
          <w:color w:val="auto"/>
        </w:rPr>
        <w:t>If the NRG Transaction is consummated, GIP may exercise substantial influence over the Company’s policies and procedures and exercise substantial influence over the Company’s Board, management and the types of third party acquisitions the Company makes. The Company may not identify future acquisitions or be able to secure financing on attractive terms or at all for future acquisitions and the Company may not realize the anticipated benefits of the financing support to be provided by GIP, which includes a $1.5 billion backstop credit facility to manage any change-of-control costs associated with the Company’s corporate debt and up to $400 million in financing support for the Company’s acquisition of the Carlsbad Energy Center. Further, GIP may not be able to maintain the Company’s current relationships with customers, counterparties, suppliers, lenders and other third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80"/>
          </w:cols>
          <w:pgMar w:left="220" w:top="768" w:right="199" w:bottom="1440" w:gutter="0" w:footer="0" w:header="0"/>
        </w:sectPr>
      </w:pPr>
    </w:p>
    <w:bookmarkStart w:id="13" w:name="page14"/>
    <w:bookmarkEnd w:id="13"/>
    <w:p>
      <w:pPr>
        <w:jc w:val="both"/>
        <w:ind w:right="20"/>
        <w:spacing w:after="0" w:line="271" w:lineRule="auto"/>
        <w:rPr>
          <w:sz w:val="20"/>
          <w:szCs w:val="20"/>
          <w:color w:val="auto"/>
        </w:rPr>
      </w:pPr>
      <w:r>
        <w:rPr>
          <w:rFonts w:ascii="Arial" w:cs="Arial" w:eastAsia="Arial" w:hAnsi="Arial"/>
          <w:sz w:val="13"/>
          <w:szCs w:val="13"/>
          <w:color w:val="auto"/>
        </w:rPr>
        <w:t>parties. Uncertainty about the effect of the NRG Transaction may negatively affect the Company’s relationship with its counterparties and have a significant impact on the Company’s business. The foregoing risks may adversely affect the Company’s operational performance or limit the Company’s growth prospects, including its ability to grow its dividend per share.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Following the consummation of the NRG Transaction, GIP and its affiliates will control the Company and have the ability to designate a majority of the members of Yield, Inc.'s Board.</w:t>
      </w:r>
    </w:p>
    <w:p>
      <w:pPr>
        <w:spacing w:after="0" w:line="161" w:lineRule="exact"/>
        <w:rPr>
          <w:sz w:val="20"/>
          <w:szCs w:val="20"/>
          <w:color w:val="auto"/>
        </w:rPr>
      </w:pPr>
    </w:p>
    <w:p>
      <w:pPr>
        <w:jc w:val="both"/>
        <w:ind w:firstLine="282"/>
        <w:spacing w:after="0" w:line="275" w:lineRule="auto"/>
        <w:rPr>
          <w:sz w:val="20"/>
          <w:szCs w:val="20"/>
          <w:color w:val="auto"/>
        </w:rPr>
      </w:pPr>
      <w:r>
        <w:rPr>
          <w:rFonts w:ascii="Arial" w:cs="Arial" w:eastAsia="Arial" w:hAnsi="Arial"/>
          <w:sz w:val="12"/>
          <w:szCs w:val="12"/>
          <w:color w:val="auto"/>
        </w:rPr>
        <w:t>The governance agreements to be entered into among NRG, the Company, GIP and its affiliates in connection with the NRG Transaction provide GIP the ability to designate a majority of Yield, Inc.’s Board to the Company’s Corporate Governance, Conflicts and Nominating Committee for nomination for election by Yield, Inc.’s stockholders and also require that the Company and GIP use their commercially reasonable efforts to submit to Yield, Inc.’s stockholders at Yield, Inc.’s 2019 Annual Meeting of Stockholders a charter amendment to classify Yield, Inc.’s Board into two classes (with the independent directors and directors designated by GIP allocated across the two classes). Due to such agreements and GIP's approximate 55.1% combined voting power in Yield, Inc. following the completion of the NRG Transaction, the ability of other holders of Yield, Inc.’s Class A and Class C common stock to exercise control over the corporate governance of the Company will be limited. In addition, due to its approximate 55.1% combined voting power in the Company following the completion of the NRG Transaction, GIP and its affiliates will have a substantial influence on Yield, Inc.’s affairs and its voting power will constitute a large percentage of any quorum of Yield, Inc.’s stockholders voting on any matter requiring the approval of Yield, Inc.’s stockholders, including the classification of Yield, Inc.'s Board of Directors. GIP may hold certain interests that are different from those of the Company or other holders of Yield, Inc.'s Class A and Class C common stock and there is no assurance that GIP will exercise its control over the Company in a manner that is consistent with the Company’s interests or those of the holders of Yield, Inc.'s Class A and Class C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Company's Business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facilities are newly constructed and may not perform as expected.</w:t>
      </w:r>
    </w:p>
    <w:p>
      <w:pPr>
        <w:spacing w:after="0" w:line="123"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Yield, Inc. and NRG.</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could be limited.</w:t>
      </w:r>
    </w:p>
    <w:p>
      <w:pPr>
        <w:spacing w:after="0" w:line="90"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NRG Yield Operating LLC or by the Company's project-level subsidiaries to finance the Company’s growth strategy will result in increased interest expense and the imposition of additional or more restrictive covenants, which, in turn, may impact the cash distributions the Company makes to Yield, Inc. and NRG.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80"/>
          </w:cols>
          <w:pgMar w:left="220" w:top="714" w:right="1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i w:val="1"/>
          <w:iCs w:val="1"/>
          <w:color w:val="auto"/>
        </w:rPr>
        <w:t>The Company may not be able to effectively identify or consummate any future acquisitions on favorable terms, or at all.</w:t>
      </w:r>
    </w:p>
    <w:p>
      <w:pPr>
        <w:spacing w:after="0" w:line="123"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Yield, Inc.'s common stock.</w:t>
      </w:r>
    </w:p>
    <w:p>
      <w:pPr>
        <w:spacing w:after="0" w:line="126"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ability to effectively consummate future acquisitions will also depend on the Company’s ability to arrange the required or desired financing for acquisitions.</w:t>
      </w:r>
    </w:p>
    <w:p>
      <w:pPr>
        <w:spacing w:after="0" w:line="123"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0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Yield, Inc. and NRG.</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29"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80"/>
          </w:cols>
          <w:pgMar w:left="220" w:top="714" w:right="199" w:bottom="1440" w:gutter="0" w:footer="0" w:header="0"/>
        </w:sectPr>
      </w:pPr>
    </w:p>
    <w:bookmarkStart w:id="15" w:name="page16"/>
    <w:bookmarkEnd w:id="15"/>
    <w:p>
      <w:pPr>
        <w:jc w:val="both"/>
        <w:ind w:right="20"/>
        <w:spacing w:after="0" w:line="364" w:lineRule="auto"/>
        <w:rPr>
          <w:sz w:val="20"/>
          <w:szCs w:val="20"/>
          <w:color w:val="auto"/>
        </w:rPr>
      </w:pPr>
      <w:r>
        <w:rPr>
          <w:rFonts w:ascii="Arial" w:cs="Arial" w:eastAsia="Arial" w:hAnsi="Arial"/>
          <w:sz w:val="11"/>
          <w:szCs w:val="11"/>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44"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As of December 31, 2017, the Company had approximately $5,899 million of total consolidated indebtedness, $4,376 million of which was incurred by the Company's non-guarantor subsidiaries. In addition, the Company’s share of its unconsolidated affiliates’ total indebtedness and letters of credit outstanding as of December 31, 2017, totaled approximately $777 million and $98 million, respectively (calculated as the Company’s unconsolidated affiliates’ total indebtedness as of such date multiplied by the Company’s percentage membership interest in such assets). The Company’s substantial debt could have important negative consequences on the Company’s financial condition, including:</w:t>
      </w:r>
    </w:p>
    <w:p>
      <w:pPr>
        <w:spacing w:after="0" w:line="100" w:lineRule="exact"/>
        <w:rPr>
          <w:sz w:val="20"/>
          <w:szCs w:val="20"/>
          <w:color w:val="auto"/>
        </w:rPr>
      </w:pP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increasing the Company’s vulnerability to general economic and industry conditions;</w:t>
      </w:r>
    </w:p>
    <w:p>
      <w:pPr>
        <w:spacing w:after="0" w:line="13" w:lineRule="exact"/>
        <w:rPr>
          <w:rFonts w:ascii="Arial" w:cs="Arial" w:eastAsia="Arial" w:hAnsi="Arial"/>
          <w:sz w:val="13"/>
          <w:szCs w:val="13"/>
          <w:color w:val="auto"/>
        </w:rPr>
      </w:pP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requiring a substantial portion of the Company’s cash flow from operations to be dedicated to the payment of principal and interest on the Company’s indebtedness, therefore reducing the Company’s ability to pay distributions to Yield, Inc. and NRG or to use the Company’s cash flow to fund its operations, capital expenditures and future business opportunities;</w:t>
      </w: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enter into long-term power sales or fuel purchases which require credit support;</w:t>
      </w:r>
    </w:p>
    <w:p>
      <w:pPr>
        <w:spacing w:after="0" w:line="5" w:lineRule="exact"/>
        <w:rPr>
          <w:rFonts w:ascii="Arial" w:cs="Arial" w:eastAsia="Arial" w:hAnsi="Arial"/>
          <w:sz w:val="13"/>
          <w:szCs w:val="13"/>
          <w:color w:val="auto"/>
        </w:rPr>
      </w:pP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fund operations or future acquisitions;</w:t>
      </w:r>
    </w:p>
    <w:p>
      <w:pPr>
        <w:spacing w:after="0" w:line="5" w:lineRule="exact"/>
        <w:rPr>
          <w:rFonts w:ascii="Arial" w:cs="Arial" w:eastAsia="Arial" w:hAnsi="Arial"/>
          <w:sz w:val="13"/>
          <w:szCs w:val="13"/>
          <w:color w:val="auto"/>
        </w:rPr>
      </w:pP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restricting the Company’s ability to make certain distributions to Yield, Inc. and NRG and the ability of the Company’s subsidiaries to make certain distributions to it, in light of restricted payment and other financial covenants in the Company’s credit facilities and other financing agreements;</w:t>
      </w: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exposing the Company to the risk of increased interest rates because certain of the Company’s borrowings, which may include borrowings under the Company’s revolving credit facility, are at variable rates of interest;</w:t>
      </w: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obtain additional financing for working capital including collateral postings, capital expenditures, debt service requirements, acquisitions and general corporate or other purposes; and</w:t>
      </w: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adjust to changing market conditions and placing it at a competitive disadvantage compared to the Company’s competitors who have less debt.</w:t>
      </w:r>
    </w:p>
    <w:p>
      <w:pPr>
        <w:spacing w:after="0" w:line="115" w:lineRule="exact"/>
        <w:rPr>
          <w:sz w:val="20"/>
          <w:szCs w:val="20"/>
          <w:color w:val="auto"/>
        </w:rPr>
      </w:pPr>
    </w:p>
    <w:p>
      <w:pPr>
        <w:jc w:val="both"/>
        <w:ind w:right="20" w:firstLine="466"/>
        <w:spacing w:after="0" w:line="318" w:lineRule="auto"/>
        <w:rPr>
          <w:sz w:val="20"/>
          <w:szCs w:val="20"/>
          <w:color w:val="auto"/>
        </w:rPr>
      </w:pPr>
      <w:r>
        <w:rPr>
          <w:rFonts w:ascii="Arial" w:cs="Arial" w:eastAsia="Arial" w:hAnsi="Arial"/>
          <w:sz w:val="11"/>
          <w:szCs w:val="11"/>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68"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3"/>
          <w:szCs w:val="13"/>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Yield, Inc. and NRG.</w:t>
      </w:r>
    </w:p>
    <w:p>
      <w:pPr>
        <w:spacing w:after="0" w:line="101" w:lineRule="exact"/>
        <w:rPr>
          <w:sz w:val="20"/>
          <w:szCs w:val="20"/>
          <w:color w:val="auto"/>
        </w:rPr>
      </w:pPr>
    </w:p>
    <w:p>
      <w:pPr>
        <w:jc w:val="both"/>
        <w:ind w:firstLine="466"/>
        <w:spacing w:after="0" w:line="285" w:lineRule="auto"/>
        <w:rPr>
          <w:sz w:val="20"/>
          <w:szCs w:val="20"/>
          <w:color w:val="auto"/>
        </w:rPr>
      </w:pPr>
      <w:r>
        <w:rPr>
          <w:rFonts w:ascii="Arial" w:cs="Arial" w:eastAsia="Arial" w:hAnsi="Arial"/>
          <w:sz w:val="12"/>
          <w:szCs w:val="12"/>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the Company’s ability to arrange financing, either at the corporate level or at a non-recourse project-level subsidiary, and the costs of such capital, are dependent on numerous factors, including:</w:t>
      </w:r>
    </w:p>
    <w:p>
      <w:pPr>
        <w:spacing w:after="0" w:line="95" w:lineRule="exact"/>
        <w:rPr>
          <w:sz w:val="20"/>
          <w:szCs w:val="20"/>
          <w:color w:val="auto"/>
        </w:rPr>
      </w:pPr>
    </w:p>
    <w:p>
      <w:pPr>
        <w:ind w:left="460" w:hanging="229"/>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general economic and capital market conditions;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80"/>
          </w:cols>
          <w:pgMar w:left="220" w:top="714" w:right="199" w:bottom="1440" w:gutter="0" w:footer="0" w:header="0"/>
        </w:sectPr>
      </w:pPr>
    </w:p>
    <w:bookmarkStart w:id="16" w:name="page17"/>
    <w:bookmarkEnd w:id="16"/>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credit availability from banks and other financial institutions;</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investor confidence in the Company, its partners, Yield, Inc. (as the Company's sole managing member), NRG (as Yield Inc.’s principal stockholder, on a combined voting basis, and manager under the Management Services Agreement), or GIP, as successor to NRG's interests in the Company if the NRG Transaction is consummated, and the regional wholesale power markets;</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Company’s financial performance and the financial performance of the Company subsidiaries;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Company’s level of indebtedness and compliance with covenants in debt agreements;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maintenance of acceptable project credit ratings or credit quality;</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cash flow;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provisions of tax and securities laws that may impact raising capital.</w:t>
      </w:r>
    </w:p>
    <w:p>
      <w:pPr>
        <w:spacing w:after="0" w:line="123" w:lineRule="exact"/>
        <w:rPr>
          <w:sz w:val="20"/>
          <w:szCs w:val="20"/>
          <w:color w:val="auto"/>
        </w:rPr>
      </w:pPr>
    </w:p>
    <w:p>
      <w:pPr>
        <w:jc w:val="both"/>
        <w:ind w:firstLine="466"/>
        <w:spacing w:after="0" w:line="329" w:lineRule="auto"/>
        <w:rPr>
          <w:sz w:val="20"/>
          <w:szCs w:val="20"/>
          <w:color w:val="auto"/>
        </w:rPr>
      </w:pPr>
      <w:r>
        <w:rPr>
          <w:rFonts w:ascii="Arial" w:cs="Arial" w:eastAsia="Arial" w:hAnsi="Arial"/>
          <w:sz w:val="11"/>
          <w:szCs w:val="11"/>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the Company's long-term bilateral contracts result from state-mandated procurements and could be declared invalid by a court of competent jurisdiction.</w:t>
      </w:r>
    </w:p>
    <w:p>
      <w:pPr>
        <w:spacing w:after="0" w:line="123"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the Company may be unable to replace such contracts, which could have a material adverse effect on the Company's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generation of electric energy from solar and wind energy sources depends heavily on suitable meteorological conditions.</w:t>
      </w:r>
    </w:p>
    <w:p>
      <w:pPr>
        <w:spacing w:after="0" w:line="123" w:lineRule="exact"/>
        <w:rPr>
          <w:sz w:val="20"/>
          <w:szCs w:val="20"/>
          <w:color w:val="auto"/>
        </w:rPr>
      </w:pPr>
    </w:p>
    <w:p>
      <w:pPr>
        <w:jc w:val="both"/>
        <w:ind w:right="20" w:firstLine="466"/>
        <w:spacing w:after="0" w:line="308" w:lineRule="auto"/>
        <w:rPr>
          <w:sz w:val="20"/>
          <w:szCs w:val="20"/>
          <w:color w:val="auto"/>
        </w:rPr>
      </w:pPr>
      <w:r>
        <w:rPr>
          <w:rFonts w:ascii="Arial" w:cs="Arial" w:eastAsia="Arial" w:hAnsi="Arial"/>
          <w:sz w:val="11"/>
          <w:szCs w:val="11"/>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our projects. Changing wind patterns could cause changes in expected electricity generation. These events could also degrade equipment or components and the interconnection and transmission facilities’ lives or maintenance costs.</w:t>
      </w:r>
    </w:p>
    <w:p>
      <w:pPr>
        <w:spacing w:after="0" w:line="75"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business, financial condition, results of operations and cash flows.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80"/>
          </w:cols>
          <w:pgMar w:left="220" w:top="714" w:right="19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3"/>
          <w:szCs w:val="13"/>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90" w:lineRule="exact"/>
        <w:rPr>
          <w:sz w:val="20"/>
          <w:szCs w:val="20"/>
          <w:color w:val="auto"/>
        </w:rPr>
      </w:pPr>
    </w:p>
    <w:p>
      <w:pPr>
        <w:jc w:val="both"/>
        <w:ind w:firstLine="466"/>
        <w:spacing w:after="0" w:line="304" w:lineRule="auto"/>
        <w:rPr>
          <w:sz w:val="20"/>
          <w:szCs w:val="20"/>
          <w:color w:val="auto"/>
        </w:rPr>
      </w:pPr>
      <w:r>
        <w:rPr>
          <w:rFonts w:ascii="Arial" w:cs="Arial" w:eastAsia="Arial" w:hAnsi="Arial"/>
          <w:sz w:val="11"/>
          <w:szCs w:val="11"/>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46" w:lineRule="exact"/>
        <w:rPr>
          <w:sz w:val="20"/>
          <w:szCs w:val="20"/>
          <w:color w:val="auto"/>
        </w:rPr>
      </w:pPr>
    </w:p>
    <w:p>
      <w:pPr>
        <w:jc w:val="both"/>
        <w:ind w:firstLine="466"/>
        <w:spacing w:after="0" w:line="252" w:lineRule="auto"/>
        <w:rPr>
          <w:sz w:val="20"/>
          <w:szCs w:val="20"/>
          <w:color w:val="auto"/>
        </w:rPr>
      </w:pPr>
      <w:r>
        <w:rPr>
          <w:rFonts w:ascii="Arial" w:cs="Arial" w:eastAsia="Arial" w:hAnsi="Arial"/>
          <w:sz w:val="13"/>
          <w:szCs w:val="13"/>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Maintenance, expansion and refurbishment of electric generation facilities involve significant risks that could result in unplanned power outages or reduced output.</w:t>
      </w:r>
    </w:p>
    <w:p>
      <w:pPr>
        <w:spacing w:after="0" w:line="123"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Yield, Inc. and NRG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0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714" w:right="219" w:bottom="1440" w:gutter="0" w:footer="0" w:header="0"/>
        </w:sectPr>
      </w:pPr>
    </w:p>
    <w:bookmarkStart w:id="18" w:name="page19"/>
    <w:bookmarkEnd w:id="18"/>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0"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A significant portion of the electric power the Company generates is sold under long-term offtake agreements with public utilities or industrial or commercial end-users, with a weighted average remaining duration of approximately 15 years based on CAFD. As of December 31, 2017, the largest customers of the Company's power generation assets, including assets in which the Company has less than a 100% membership interest, were SCE and PG&amp;E, which represented 40% and 23%, respectively, of the net electric generation capacity of the Company's facilities.</w:t>
      </w:r>
    </w:p>
    <w:p>
      <w:pPr>
        <w:spacing w:after="0" w:line="97"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00"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92"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facilities may operate, wholly or partially, without long-term power sales agreements.</w:t>
      </w:r>
    </w:p>
    <w:p>
      <w:pPr>
        <w:spacing w:after="0" w:line="161"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39"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90" w:lineRule="exact"/>
        <w:rPr>
          <w:sz w:val="20"/>
          <w:szCs w:val="20"/>
          <w:color w:val="auto"/>
        </w:rPr>
      </w:pPr>
    </w:p>
    <w:p>
      <w:pPr>
        <w:jc w:val="both"/>
        <w:ind w:right="20" w:firstLine="466"/>
        <w:spacing w:after="0" w:line="308" w:lineRule="auto"/>
        <w:rPr>
          <w:sz w:val="20"/>
          <w:szCs w:val="20"/>
          <w:color w:val="auto"/>
        </w:rPr>
      </w:pPr>
      <w:r>
        <w:rPr>
          <w:rFonts w:ascii="Arial" w:cs="Arial" w:eastAsia="Arial" w:hAnsi="Arial"/>
          <w:sz w:val="11"/>
          <w:szCs w:val="11"/>
          <w:color w:val="auto"/>
        </w:rPr>
        <w:t>Approximately 378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80"/>
          </w:cols>
          <w:pgMar w:left="220" w:top="714" w:right="199" w:bottom="1440" w:gutter="0" w:footer="0" w:header="0"/>
        </w:sectPr>
      </w:pPr>
    </w:p>
    <w:bookmarkStart w:id="19" w:name="page20"/>
    <w:bookmarkEnd w:id="19"/>
    <w:p>
      <w:pPr>
        <w:jc w:val="both"/>
        <w:ind w:right="20"/>
        <w:spacing w:after="0" w:line="271" w:lineRule="auto"/>
        <w:rPr>
          <w:sz w:val="20"/>
          <w:szCs w:val="20"/>
          <w:color w:val="auto"/>
        </w:rPr>
      </w:pPr>
      <w:r>
        <w:rPr>
          <w:rFonts w:ascii="Arial" w:cs="Arial" w:eastAsia="Arial" w:hAnsi="Arial"/>
          <w:sz w:val="13"/>
          <w:szCs w:val="13"/>
          <w:color w:val="auto"/>
        </w:rPr>
        <w:t>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Supplier and/or customer concentration at certain of the Company's facilities may expose the Company to significant financial credit or performance risks.</w:t>
      </w:r>
    </w:p>
    <w:p>
      <w:pPr>
        <w:spacing w:after="0" w:line="123"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90"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00" w:lineRule="exact"/>
        <w:rPr>
          <w:sz w:val="20"/>
          <w:szCs w:val="20"/>
          <w:color w:val="auto"/>
        </w:rPr>
      </w:pPr>
    </w:p>
    <w:p>
      <w:pPr>
        <w:jc w:val="both"/>
        <w:ind w:right="20" w:firstLine="466"/>
        <w:spacing w:after="0" w:line="364" w:lineRule="auto"/>
        <w:rPr>
          <w:sz w:val="20"/>
          <w:szCs w:val="20"/>
          <w:color w:val="auto"/>
        </w:rPr>
      </w:pPr>
      <w:r>
        <w:rPr>
          <w:rFonts w:ascii="Arial" w:cs="Arial" w:eastAsia="Arial" w:hAnsi="Arial"/>
          <w:sz w:val="11"/>
          <w:szCs w:val="11"/>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44"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90" w:lineRule="exact"/>
        <w:rPr>
          <w:sz w:val="20"/>
          <w:szCs w:val="20"/>
          <w:color w:val="auto"/>
        </w:rPr>
      </w:pPr>
    </w:p>
    <w:p>
      <w:pPr>
        <w:jc w:val="both"/>
        <w:ind w:right="20" w:firstLine="466"/>
        <w:spacing w:after="0" w:line="276" w:lineRule="auto"/>
        <w:rPr>
          <w:sz w:val="20"/>
          <w:szCs w:val="20"/>
          <w:color w:val="auto"/>
        </w:rPr>
      </w:pPr>
      <w:r>
        <w:rPr>
          <w:rFonts w:ascii="Arial" w:cs="Arial" w:eastAsia="Arial" w:hAnsi="Arial"/>
          <w:sz w:val="12"/>
          <w:szCs w:val="12"/>
          <w:color w:val="auto"/>
        </w:rPr>
        <w:t xml:space="preserve">As described in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90" w:lineRule="exact"/>
        <w:rPr>
          <w:sz w:val="20"/>
          <w:szCs w:val="20"/>
          <w:color w:val="auto"/>
        </w:rPr>
      </w:pPr>
    </w:p>
    <w:p>
      <w:pPr>
        <w:jc w:val="both"/>
        <w:ind w:firstLine="466"/>
        <w:spacing w:after="0" w:line="292" w:lineRule="auto"/>
        <w:rPr>
          <w:sz w:val="20"/>
          <w:szCs w:val="20"/>
          <w:color w:val="auto"/>
        </w:rPr>
      </w:pPr>
      <w:r>
        <w:rPr>
          <w:rFonts w:ascii="Arial" w:cs="Arial" w:eastAsia="Arial" w:hAnsi="Arial"/>
          <w:sz w:val="12"/>
          <w:szCs w:val="12"/>
          <w:color w:val="auto"/>
        </w:rPr>
        <w:t>The approval of co-venturers may also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79"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80"/>
          </w:cols>
          <w:pgMar w:left="220" w:top="714" w:right="19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90"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business is subject to restrictions resulting from environmental, health and safety laws and regulations.</w:t>
      </w:r>
    </w:p>
    <w:p>
      <w:pPr>
        <w:spacing w:after="0" w:line="123"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does not own all of the land on which its power generation or thermal assets are located, which could result in disruption to its operations.</w:t>
      </w:r>
    </w:p>
    <w:p>
      <w:pPr>
        <w:spacing w:after="0" w:line="123" w:lineRule="exact"/>
        <w:rPr>
          <w:sz w:val="20"/>
          <w:szCs w:val="20"/>
          <w:color w:val="auto"/>
        </w:rPr>
      </w:pPr>
    </w:p>
    <w:p>
      <w:pPr>
        <w:jc w:val="both"/>
        <w:ind w:firstLine="466"/>
        <w:spacing w:after="0" w:line="285" w:lineRule="auto"/>
        <w:rPr>
          <w:sz w:val="20"/>
          <w:szCs w:val="20"/>
          <w:color w:val="auto"/>
        </w:rPr>
      </w:pPr>
      <w:r>
        <w:rPr>
          <w:rFonts w:ascii="Arial" w:cs="Arial" w:eastAsia="Arial" w:hAnsi="Arial"/>
          <w:sz w:val="12"/>
          <w:szCs w:val="12"/>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90"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80"/>
          </w:cols>
          <w:pgMar w:left="220" w:top="714" w:right="19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3"/>
          <w:szCs w:val="13"/>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0"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90"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The Company's market-based sales will be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83" w:lineRule="exact"/>
        <w:rPr>
          <w:sz w:val="20"/>
          <w:szCs w:val="20"/>
          <w:color w:val="auto"/>
        </w:rPr>
      </w:pPr>
    </w:p>
    <w:p>
      <w:pPr>
        <w:jc w:val="both"/>
        <w:ind w:firstLine="466"/>
        <w:spacing w:after="0" w:line="329" w:lineRule="auto"/>
        <w:rPr>
          <w:sz w:val="20"/>
          <w:szCs w:val="20"/>
          <w:color w:val="auto"/>
        </w:rPr>
      </w:pPr>
      <w:r>
        <w:rPr>
          <w:rFonts w:ascii="Arial" w:cs="Arial" w:eastAsia="Arial" w:hAnsi="Arial"/>
          <w:sz w:val="11"/>
          <w:szCs w:val="11"/>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63" w:lineRule="exact"/>
        <w:rPr>
          <w:sz w:val="20"/>
          <w:szCs w:val="20"/>
          <w:color w:val="auto"/>
        </w:rPr>
      </w:pPr>
    </w:p>
    <w:p>
      <w:pPr>
        <w:jc w:val="both"/>
        <w:ind w:firstLine="466"/>
        <w:spacing w:after="0" w:line="301" w:lineRule="auto"/>
        <w:rPr>
          <w:sz w:val="20"/>
          <w:szCs w:val="20"/>
          <w:color w:val="auto"/>
        </w:rPr>
      </w:pPr>
      <w:r>
        <w:rPr>
          <w:rFonts w:ascii="Arial" w:cs="Arial" w:eastAsia="Arial" w:hAnsi="Arial"/>
          <w:sz w:val="11"/>
          <w:szCs w:val="11"/>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80"/>
          </w:cols>
          <w:pgMar w:left="220" w:top="714" w:right="199" w:bottom="1440" w:gutter="0" w:footer="0" w:header="0"/>
        </w:sectPr>
      </w:pPr>
    </w:p>
    <w:bookmarkStart w:id="22" w:name="page23"/>
    <w:bookmarkEnd w:id="22"/>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90"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90"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0"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color w:val="auto"/>
        </w:rPr>
        <w:t>Furthermore, certain of the Company's power generation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operation of the Company’s businesses is subject to cyber-based security and integrity risk.</w:t>
      </w:r>
    </w:p>
    <w:p>
      <w:pPr>
        <w:spacing w:after="0" w:line="152"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80"/>
          </w:cols>
          <w:pgMar w:left="220" w:top="714" w:right="19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Government regulations providing incentives for renewable generation could change at any time and such changes may negatively impact the Company's growth strategy.</w:t>
      </w:r>
    </w:p>
    <w:p>
      <w:pPr>
        <w:spacing w:after="0" w:line="123"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begin construction in the years 2018 and 2019 are eligible for PTC at 60% and 40% of the statutory rate per kWh, respectively.</w:t>
      </w:r>
    </w:p>
    <w:p>
      <w:pPr>
        <w:spacing w:after="0" w:line="86" w:lineRule="exact"/>
        <w:rPr>
          <w:sz w:val="20"/>
          <w:szCs w:val="20"/>
          <w:color w:val="auto"/>
        </w:rPr>
      </w:pPr>
    </w:p>
    <w:p>
      <w:pPr>
        <w:jc w:val="both"/>
        <w:ind w:firstLine="466"/>
        <w:spacing w:after="0" w:line="252" w:lineRule="auto"/>
        <w:rPr>
          <w:sz w:val="20"/>
          <w:szCs w:val="20"/>
          <w:color w:val="auto"/>
        </w:rPr>
      </w:pPr>
      <w:r>
        <w:rPr>
          <w:rFonts w:ascii="Arial" w:cs="Arial" w:eastAsia="Arial" w:hAnsi="Arial"/>
          <w:sz w:val="13"/>
          <w:szCs w:val="13"/>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104"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90" w:lineRule="exact"/>
        <w:rPr>
          <w:sz w:val="20"/>
          <w:szCs w:val="20"/>
          <w:color w:val="auto"/>
        </w:rPr>
      </w:pPr>
    </w:p>
    <w:p>
      <w:pPr>
        <w:jc w:val="both"/>
        <w:ind w:right="20"/>
        <w:spacing w:after="0" w:line="364" w:lineRule="auto"/>
        <w:rPr>
          <w:sz w:val="20"/>
          <w:szCs w:val="20"/>
          <w:color w:val="auto"/>
        </w:rPr>
      </w:pPr>
      <w:r>
        <w:rPr>
          <w:rFonts w:ascii="Arial" w:cs="Arial" w:eastAsia="Arial" w:hAnsi="Arial"/>
          <w:sz w:val="11"/>
          <w:szCs w:val="11"/>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44"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Company depends on electric interconnection and transmission facilities owned and operated by others to deliver the wholesale power it will sell from its electric generation assets to its customers. A failure or delay in the operation or development of these interconnection or transmission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80"/>
          </w:cols>
          <w:pgMar w:left="220" w:top="714" w:right="199" w:bottom="1440" w:gutter="0" w:footer="0" w:header="0"/>
        </w:sectPr>
      </w:pPr>
    </w:p>
    <w:bookmarkStart w:id="24" w:name="page25"/>
    <w:bookmarkEnd w:id="24"/>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90"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90" w:lineRule="exact"/>
        <w:rPr>
          <w:sz w:val="20"/>
          <w:szCs w:val="20"/>
          <w:color w:val="auto"/>
        </w:rPr>
      </w:pPr>
    </w:p>
    <w:p>
      <w:pPr>
        <w:jc w:val="both"/>
        <w:ind w:firstLine="462"/>
        <w:spacing w:after="0" w:line="271" w:lineRule="auto"/>
        <w:rPr>
          <w:sz w:val="20"/>
          <w:szCs w:val="20"/>
          <w:color w:val="auto"/>
        </w:rPr>
      </w:pPr>
      <w:r>
        <w:rPr>
          <w:rFonts w:ascii="Arial" w:cs="Arial" w:eastAsia="Arial" w:hAnsi="Arial"/>
          <w:sz w:val="13"/>
          <w:szCs w:val="13"/>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90" w:lineRule="exact"/>
        <w:rPr>
          <w:sz w:val="20"/>
          <w:szCs w:val="20"/>
          <w:color w:val="auto"/>
        </w:rPr>
      </w:pPr>
    </w:p>
    <w:p>
      <w:pPr>
        <w:jc w:val="both"/>
        <w:ind w:right="20" w:firstLine="515"/>
        <w:spacing w:after="0" w:line="329" w:lineRule="auto"/>
        <w:rPr>
          <w:sz w:val="20"/>
          <w:szCs w:val="20"/>
          <w:color w:val="auto"/>
        </w:rPr>
      </w:pPr>
      <w:r>
        <w:rPr>
          <w:rFonts w:ascii="Arial" w:cs="Arial" w:eastAsia="Arial" w:hAnsi="Arial"/>
          <w:sz w:val="11"/>
          <w:szCs w:val="11"/>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depends on key management employees, the loss of any of which could have a material adverse effect on the Company's financial condition and results of operations.</w:t>
      </w:r>
    </w:p>
    <w:p>
      <w:pPr>
        <w:spacing w:after="0" w:line="171"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The Company believes its current operations and future success depend largely on the continued services of the management employees that it employs, in particular Christopher Sotos, the Company’s President and Chief Executive Officer and Chad Plotkin, the Company’s Senior Vice President and Chief Financial Officer. Although the Company currently has access to the resources of NRG, the loss of Mr. Sotos’ or Mr. Plotkin’s services, or other key management personnel employed by the Company in connection with the NRG Transaction or in the future, could have a material adverse effect on the Company’s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Company's Relationship with NRG</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NRG exercises substantial influence over the Company through its position as controlling shareholder of Yield, Inc. The Company is highly dependent on NRG.</w:t>
      </w:r>
    </w:p>
    <w:p>
      <w:pPr>
        <w:spacing w:after="0" w:line="123"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NRG owns all of the outstanding Class B and Class D common stock of Yield, Inc. and owns 55.1% of the combined voting power of Yield, Inc. as of December 31, 2017. As a result of NRG's ownership of Yield, Inc. and Yield, Inc.'s position as sole managing member of the Company, NRG has a substantial influence on the Company's affairs and its voting power will constitute a large percentage of any quorum of Yield, Inc.'s stockholders voting on any matter requiring the approval of its stockholders. Such matters include approval of mergers or sale of all or substantially all of its assets. This concentration of ownership may also have the effect of delaying or preventing a change in control of Yield, Inc. or discouraging others from making tender offers for their shares. In addition, NRG has the right to elect all of Yield, Inc.'s directors. NRG may cause corporate actions to be taken even if their interests conflict with the interests of Yield, Inc.'s other stockholders (including holders of Yield, Inc.'s Class A and Class C common stock). If the NRG Transaction is consummated, GIP will become Yield, Inc.'s controlling stockholder and, like NRG, will have substantial control and influence over the Company. See the risk factor entitled “</w:t>
      </w:r>
      <w:r>
        <w:rPr>
          <w:rFonts w:ascii="Arial" w:cs="Arial" w:eastAsia="Arial" w:hAnsi="Arial"/>
          <w:sz w:val="12"/>
          <w:szCs w:val="12"/>
          <w:i w:val="1"/>
          <w:iCs w:val="1"/>
          <w:color w:val="auto"/>
        </w:rPr>
        <w:t>Following the consummation of the NRG</w:t>
      </w:r>
      <w:r>
        <w:rPr>
          <w:rFonts w:ascii="Arial" w:cs="Arial" w:eastAsia="Arial" w:hAnsi="Arial"/>
          <w:sz w:val="12"/>
          <w:szCs w:val="12"/>
          <w:color w:val="auto"/>
        </w:rPr>
        <w:t xml:space="preserve"> </w:t>
      </w:r>
      <w:r>
        <w:rPr>
          <w:rFonts w:ascii="Arial" w:cs="Arial" w:eastAsia="Arial" w:hAnsi="Arial"/>
          <w:sz w:val="12"/>
          <w:szCs w:val="12"/>
          <w:i w:val="1"/>
          <w:iCs w:val="1"/>
          <w:color w:val="auto"/>
        </w:rPr>
        <w:t>Transaction, GIP and its affiliates will control the Company and have the ability to designate a majority of the members of the Company’s Board.”</w:t>
      </w:r>
    </w:p>
    <w:p>
      <w:pPr>
        <w:spacing w:after="0" w:line="90" w:lineRule="exact"/>
        <w:rPr>
          <w:sz w:val="20"/>
          <w:szCs w:val="20"/>
          <w:color w:val="auto"/>
        </w:rPr>
      </w:pPr>
    </w:p>
    <w:p>
      <w:pPr>
        <w:jc w:val="both"/>
        <w:ind w:right="20" w:firstLine="466"/>
        <w:spacing w:after="0" w:line="312" w:lineRule="auto"/>
        <w:rPr>
          <w:sz w:val="20"/>
          <w:szCs w:val="20"/>
          <w:color w:val="auto"/>
        </w:rPr>
      </w:pPr>
      <w:r>
        <w:rPr>
          <w:rFonts w:ascii="Arial" w:cs="Arial" w:eastAsia="Arial" w:hAnsi="Arial"/>
          <w:sz w:val="11"/>
          <w:szCs w:val="11"/>
          <w:color w:val="auto"/>
        </w:rPr>
        <w:t>Furthermore, the Company depends 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the Company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Management Services Agreement will continue in perpetuity, until terminated in accordance with its terms.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80"/>
          </w:cols>
          <w:pgMar w:left="220" w:top="714" w:right="199" w:bottom="1440" w:gutter="0" w:footer="0" w:header="0"/>
        </w:sectPr>
      </w:pPr>
    </w:p>
    <w:bookmarkStart w:id="25" w:name="page26"/>
    <w:bookmarkEnd w:id="25"/>
    <w:p>
      <w:pPr>
        <w:jc w:val="both"/>
        <w:ind w:right="20" w:firstLine="466"/>
        <w:spacing w:after="0" w:line="292" w:lineRule="auto"/>
        <w:rPr>
          <w:sz w:val="20"/>
          <w:szCs w:val="20"/>
          <w:color w:val="auto"/>
        </w:rPr>
      </w:pPr>
      <w:r>
        <w:rPr>
          <w:rFonts w:ascii="Arial" w:cs="Arial" w:eastAsia="Arial" w:hAnsi="Arial"/>
          <w:sz w:val="12"/>
          <w:szCs w:val="12"/>
          <w:color w:val="auto"/>
        </w:rPr>
        <w:t>The Company also depends upon NRG for the provision of management, administration and certain other services at all of the Company's facilities and contracts with NRG, or its subsidiaries, to procure fuel and sell power for certain of its operating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79" w:lineRule="exact"/>
        <w:rPr>
          <w:sz w:val="20"/>
          <w:szCs w:val="20"/>
          <w:color w:val="auto"/>
        </w:rPr>
      </w:pPr>
    </w:p>
    <w:p>
      <w:pPr>
        <w:jc w:val="both"/>
        <w:ind w:right="20" w:firstLine="291"/>
        <w:spacing w:after="0" w:line="276" w:lineRule="auto"/>
        <w:rPr>
          <w:sz w:val="20"/>
          <w:szCs w:val="20"/>
          <w:color w:val="auto"/>
        </w:rPr>
      </w:pPr>
      <w:r>
        <w:rPr>
          <w:rFonts w:ascii="Arial" w:cs="Arial" w:eastAsia="Arial" w:hAnsi="Arial"/>
          <w:sz w:val="12"/>
          <w:szCs w:val="12"/>
          <w:color w:val="auto"/>
        </w:rPr>
        <w:t>In connection with the proposed NRG Transaction, GIP has agreed to enter into certain agreements with the Company relating to the provision of services and NRG has agreed to enter into certain agreements with the Company relating to transition services and ongoing commercial arrangements. While the provision of transitional services is contemplated under the proposed NRG Transaction, it is uncertain whether, after the transition services end, GIP or its affiliates would continue to provide the same services, or offer the same capabilities and resources, to the Company that the Company currently receives from NRG or whether the Company may have to seek alternative service providers. The Company may not be able to replicate the same level of services, capabilities, experience and familiarity with the Company’s business offered by NRG either through GIP or through alternative service providers or on terms or costs similar to those provided by NRG. The loss of services provided by NRG and the benefits offered to the Company through its relationship with NRG, such as management, operational and financing expertise, could have an impact on the Company’s business, financial condition, results of operations and cash flows. See also the risk factor entitled “</w:t>
      </w:r>
      <w:r>
        <w:rPr>
          <w:rFonts w:ascii="Arial" w:cs="Arial" w:eastAsia="Arial" w:hAnsi="Arial"/>
          <w:sz w:val="12"/>
          <w:szCs w:val="12"/>
          <w:i w:val="1"/>
          <w:iCs w:val="1"/>
          <w:color w:val="auto"/>
        </w:rPr>
        <w:t>If NRG</w:t>
      </w:r>
      <w:r>
        <w:rPr>
          <w:rFonts w:ascii="Arial" w:cs="Arial" w:eastAsia="Arial" w:hAnsi="Arial"/>
          <w:sz w:val="12"/>
          <w:szCs w:val="12"/>
          <w:color w:val="auto"/>
        </w:rPr>
        <w:t xml:space="preserve"> </w:t>
      </w:r>
      <w:r>
        <w:rPr>
          <w:rFonts w:ascii="Arial" w:cs="Arial" w:eastAsia="Arial" w:hAnsi="Arial"/>
          <w:sz w:val="12"/>
          <w:szCs w:val="12"/>
          <w:i w:val="1"/>
          <w:iCs w:val="1"/>
          <w:color w:val="auto"/>
        </w:rPr>
        <w:t>terminates the Management Services Agreement or defaults in 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not be able to consummate future acquisitions from NRG.</w:t>
      </w:r>
    </w:p>
    <w:p>
      <w:pPr>
        <w:spacing w:after="0" w:line="123"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color w:val="auto"/>
        </w:rPr>
        <w:t>Until the NRG Transaction is consummated, if at all, the Company's ability to grow through acquisitions depends, in part, on NRG's ability to identify and present the Company with acquisition opportunities. NRG established the Company to hold and acquire a diversified suite of power generating assets in the U.S. and its territories. Although NRG has agreed to grant the Company a right of first offer with respect to certain power generation assets that NRG may elect to sell in the future, NRG is under no obligation to sell any such power generation assets or to accept any related offer from the Company. In addition, NRG has not agreed to commit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00" w:lineRule="exact"/>
        <w:rPr>
          <w:sz w:val="20"/>
          <w:szCs w:val="20"/>
          <w:color w:val="auto"/>
        </w:rPr>
      </w:pPr>
    </w:p>
    <w:p>
      <w:pPr>
        <w:ind w:left="940" w:right="20" w:hanging="243"/>
        <w:spacing w:after="0" w:line="331" w:lineRule="auto"/>
        <w:tabs>
          <w:tab w:leader="none" w:pos="94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 availability of acquisition opportunities for the Company; and</w:t>
      </w:r>
    </w:p>
    <w:p>
      <w:pPr>
        <w:jc w:val="both"/>
        <w:ind w:left="940" w:right="20" w:hanging="243"/>
        <w:spacing w:after="0" w:line="260" w:lineRule="auto"/>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making these determinations, NRG may be influenced by factors that result in a misalignment with the Company's interests or conflict of interest.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departure of some or all of NRG's employees could prevent the Company from achieving its objectives.</w:t>
      </w:r>
    </w:p>
    <w:p>
      <w:pPr>
        <w:spacing w:after="0" w:line="123" w:lineRule="exact"/>
        <w:rPr>
          <w:sz w:val="20"/>
          <w:szCs w:val="20"/>
          <w:color w:val="auto"/>
        </w:rPr>
      </w:pPr>
    </w:p>
    <w:p>
      <w:pPr>
        <w:jc w:val="both"/>
        <w:ind w:firstLine="466"/>
        <w:spacing w:after="0" w:line="277" w:lineRule="auto"/>
        <w:rPr>
          <w:sz w:val="20"/>
          <w:szCs w:val="20"/>
          <w:color w:val="auto"/>
        </w:rPr>
      </w:pPr>
      <w:r>
        <w:rPr>
          <w:rFonts w:ascii="Arial" w:cs="Arial" w:eastAsia="Arial" w:hAnsi="Arial"/>
          <w:sz w:val="12"/>
          <w:szCs w:val="12"/>
          <w:color w:val="auto"/>
        </w:rPr>
        <w:t>The Company depends on the diligence, skill and business contacts of NRG's professionals and the information and opportunities they generate during the normal course of their activities. Furthermore, approximately 24% of NRG's employees at the Company's generation plants are covered by collective bargaining agreements as of December 31, 2017. The Company's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if the NRG Transaction is consummated, and the Company cannot predict the impact that any such departures will have on its ability to achieve its objectives. The Management Services Agreement does not require NRG to maintain the employment of any of its professionals or to cause any particular professional to provide services to the Company or on its behalf. The 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80"/>
          </w:cols>
          <w:pgMar w:left="220" w:top="714" w:right="19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3"/>
          <w:szCs w:val="13"/>
          <w:b w:val="1"/>
          <w:bCs w:val="1"/>
          <w:i w:val="1"/>
          <w:iCs w:val="1"/>
          <w:color w:val="auto"/>
        </w:rPr>
        <w:t>The Company's organizational and ownership structure may create significant conflicts of interest that may be resolved in a manner that is not in the best interests of the Company and that may have a material adverse effect on the business, financial condition, results of operations and cash flows.</w:t>
      </w:r>
    </w:p>
    <w:p>
      <w:pPr>
        <w:spacing w:after="0" w:line="9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The Company's organizational and ownership structure involves a number of relationships that may give rise to certain conflicts of interest between the Company and NRG. Pursuant to the Management Services Agreement with NRG, certain of the Company's executive officers are shared NRG executives and devote their time to both the Company and NRG as needed to conduct the respective businesses. Although the Company's directors and executive officers owe fiduciary duties to the Company's stockholders, these shared NRG executives have fiduciary and other duties to NRG, which duties may be inconsistent with the Company's best interests.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86" w:lineRule="exact"/>
        <w:rPr>
          <w:sz w:val="20"/>
          <w:szCs w:val="20"/>
          <w:color w:val="auto"/>
        </w:rPr>
      </w:pPr>
    </w:p>
    <w:p>
      <w:pPr>
        <w:jc w:val="both"/>
        <w:ind w:firstLine="466"/>
        <w:spacing w:after="0" w:line="274" w:lineRule="auto"/>
        <w:rPr>
          <w:sz w:val="20"/>
          <w:szCs w:val="20"/>
          <w:color w:val="auto"/>
        </w:rPr>
      </w:pPr>
      <w:r>
        <w:rPr>
          <w:rFonts w:ascii="Arial" w:cs="Arial" w:eastAsia="Arial" w:hAnsi="Arial"/>
          <w:sz w:val="12"/>
          <w:szCs w:val="12"/>
          <w:color w:val="auto"/>
        </w:rPr>
        <w:t>Additionally, all of the Company's executive officers continue to have economic interests in NRG and, accordingly, the benefit to NRG from a transaction between the Company and NRG will proportionately inure to their benefit as holders of economic interests in NRG. NRG is a related person under the applicable securities laws governing related person transactions and may have interests which differ from the Company's interests, including with respect to the types of acquisitions made, the timing and amount of distributions by the Company, the reinvestment of returns generated by the Company's operations, the use of leverage when making acquisitions and the appointment of outside advisors and service providers. Any material transaction between the Company and NRG will be subject to Yield, Inc.'s related person transaction policy, which will require prior approval of such transaction by Yield, Inc.'s Corporate Governance, Conflicts and Nominating Committee. Those of the Company's executive officers who have economic interests in NRG may be conflicted when advising Yield, Inc.'s Corporate Governance, Conflicts and Nominating Committees or otherwise participating in the negotiation or approval of such transactions. These executive officers have significant project-and industry-specific expertise that could prove beneficial to the Company's decision-making process and the absence of such strategic guidance could have a material adverse effect on the board committees' ability to evaluate any such transaction. Furthermore, the creation of Yield, Inc.'s Corporate Governance, Conflicts and Nominating Committee and Yield, Inc.'s related person transaction approval policy may not insulate the Company from derivative claims with respect to related person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be unable or unwilling to terminate the Management Services Agreement.</w:t>
      </w:r>
    </w:p>
    <w:p>
      <w:pPr>
        <w:spacing w:after="0" w:line="123" w:lineRule="exact"/>
        <w:rPr>
          <w:sz w:val="20"/>
          <w:szCs w:val="20"/>
          <w:color w:val="auto"/>
        </w:rPr>
      </w:pPr>
    </w:p>
    <w:p>
      <w:pPr>
        <w:jc w:val="both"/>
        <w:ind w:firstLine="466"/>
        <w:spacing w:after="0" w:line="277" w:lineRule="auto"/>
        <w:rPr>
          <w:sz w:val="20"/>
          <w:szCs w:val="20"/>
          <w:color w:val="auto"/>
        </w:rPr>
      </w:pPr>
      <w:r>
        <w:rPr>
          <w:rFonts w:ascii="Arial" w:cs="Arial" w:eastAsia="Arial" w:hAnsi="Arial"/>
          <w:sz w:val="12"/>
          <w:szCs w:val="12"/>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is not able to agree with NRG as to a change to the service fee resulting from a change in the scope of services within 180 days of the request, the Company will be able to terminate the agreement upon 30 days prior notice to NRG. The Company will not be able to terminate the agreement for any other reason, including if NRG experiences a change of control, and the agreement continues in perpetuity, until terminated in accordance with its terms.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60"/>
          </w:cols>
          <w:pgMar w:left="220" w:top="714" w:right="219" w:bottom="1440" w:gutter="0" w:footer="0" w:header="0"/>
        </w:sectPr>
      </w:pPr>
    </w:p>
    <w:bookmarkStart w:id="27" w:name="page28"/>
    <w:bookmarkEnd w:id="27"/>
    <w:p>
      <w:pPr>
        <w:jc w:val="both"/>
        <w:ind w:right="20"/>
        <w:spacing w:after="0" w:line="314" w:lineRule="auto"/>
        <w:rPr>
          <w:sz w:val="20"/>
          <w:szCs w:val="20"/>
          <w:color w:val="auto"/>
        </w:rPr>
      </w:pPr>
      <w:r>
        <w:rPr>
          <w:rFonts w:ascii="Arial" w:cs="Arial" w:eastAsia="Arial" w:hAnsi="Arial"/>
          <w:sz w:val="12"/>
          <w:szCs w:val="12"/>
          <w:b w:val="1"/>
          <w:bCs w:val="1"/>
          <w:i w:val="1"/>
          <w:iCs w:val="1"/>
          <w:color w:val="auto"/>
        </w:rPr>
        <w:t>If NRG terminates the Management Services Agreement or defaults in 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66" w:lineRule="exact"/>
        <w:rPr>
          <w:sz w:val="20"/>
          <w:szCs w:val="20"/>
          <w:color w:val="auto"/>
        </w:rPr>
      </w:pPr>
    </w:p>
    <w:p>
      <w:pPr>
        <w:jc w:val="both"/>
        <w:ind w:right="20" w:firstLine="466"/>
        <w:spacing w:after="0" w:line="252" w:lineRule="auto"/>
        <w:rPr>
          <w:sz w:val="20"/>
          <w:szCs w:val="20"/>
          <w:color w:val="auto"/>
        </w:rPr>
      </w:pPr>
      <w:r>
        <w:rPr>
          <w:rFonts w:ascii="Arial" w:cs="Arial" w:eastAsia="Arial" w:hAnsi="Arial"/>
          <w:sz w:val="13"/>
          <w:szCs w:val="13"/>
          <w:color w:val="auto"/>
        </w:rPr>
        <w:t>The Company relies on NRG to provide management services under the Management Services Agreement and has limited executive or senior management personnel independent from NRG.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NRG terminates the Management Services Agreement or defaults in the performance of its obligations under the agreement, or if the transition services to be provided by NRG to the Company, in the event the NRG Transaction is consummated, are not adequate or end, the Company may be unable to contract with GIP or a substitute service provider on similar terms or at all, and the costs of substituting service providers may be substantial. In addition, in light of NRG's familiarity with the Company's assets, GIP or a substitute service provider may not be able to provide the same level of service due to lack of pre-existing synergies. If the Company cannot locate a service provider that is able to provide substantially similar services as NRG does under the Management Services Agreement on similar terms, it could have a material adverse effect on the business, financial condition, results of operation and cash flows.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The liability of NRG is limited under the Company's arrangements with it and the Company has agreed to indemnify NRG against claims that it may face in connection with such arrangements, which may lead NRG to assume greater risks when making decisions relating to the Company than it otherwise might if acting solely for its own account.</w:t>
      </w:r>
    </w:p>
    <w:p>
      <w:pPr>
        <w:spacing w:after="0" w:line="90"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might be the case, including when determining whether to use leverage in connection with acquisitions. The indemnification arrangements to which NRG is a party may also give rise to legal claims for indemnification that are adverse to the Company.</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Certain of the Company’s PPAs and project-level financing arrangements include provisions that would permit the counterparty to terminate the contract or accelerate maturity in the event NRG ceases to control or own, directly or indirectly, a majority of the voting power of the Company.</w:t>
      </w:r>
    </w:p>
    <w:p>
      <w:pPr>
        <w:spacing w:after="0" w:line="129"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NRG ceases to own, directly or indirectly, capital stock representing more than 50% of the voting power of all of Yield, Inc.’s capital stock outstanding on such date, or, in some cases, if NRG ceases to be the majority owner, directly or indirectly, of the applicable project subsidiary. As a result, if NRG ceases to control, or in some cases, own a majority of the voting power of the Company, as is contemplated by the NRG Transaction, the counterparties could terminate such contracts or accelerate the maturity of such financing arrangements. Even though the Company’s consent to the NRG Transaction is conditioned upon the receipt of consents from such counterparties, the Company may have to expend significant resources and funds to obtain the consents of such counterparties to the NRG Transaction and there can be no assurance that such counterparties will provide their consents at all.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80"/>
          </w:cols>
          <w:pgMar w:left="220" w:top="713" w:right="19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b w:val="1"/>
          <w:bCs w:val="1"/>
          <w:color w:val="auto"/>
        </w:rPr>
        <w:t>CAUTIONARY STATEMENT REGARDING FORWARD-LOOKING INFORMATION</w:t>
      </w:r>
    </w:p>
    <w:p>
      <w:pPr>
        <w:spacing w:after="0" w:line="127" w:lineRule="exact"/>
        <w:rPr>
          <w:sz w:val="20"/>
          <w:szCs w:val="20"/>
          <w:color w:val="auto"/>
        </w:rPr>
      </w:pPr>
    </w:p>
    <w:p>
      <w:pPr>
        <w:jc w:val="both"/>
        <w:ind w:right="20" w:firstLine="194"/>
        <w:spacing w:after="0" w:line="255" w:lineRule="auto"/>
        <w:rPr>
          <w:sz w:val="20"/>
          <w:szCs w:val="20"/>
          <w:color w:val="auto"/>
        </w:rPr>
      </w:pPr>
      <w:r>
        <w:rPr>
          <w:rFonts w:ascii="Arial" w:cs="Arial" w:eastAsia="Arial" w:hAnsi="Arial"/>
          <w:sz w:val="13"/>
          <w:szCs w:val="13"/>
          <w:color w:val="auto"/>
        </w:rPr>
        <w:t xml:space="preserve">This Annual Report on Form 10-K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and the following:</w:t>
      </w:r>
    </w:p>
    <w:p>
      <w:pPr>
        <w:spacing w:after="0" w:line="100" w:lineRule="exact"/>
        <w:rPr>
          <w:sz w:val="20"/>
          <w:szCs w:val="20"/>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maintain and grow its quarterly distributions;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Potential risks to the Company as a result of the NRG Transaction;</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successfully identify, evaluate and consummate acquisitions from third parties;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acquire assets from NRG;</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raise additional capital due to its indebtedness, corporate structure, market conditions or otherwise;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law, including judicial decisions;</w:t>
      </w:r>
    </w:p>
    <w:p>
      <w:pPr>
        <w:spacing w:after="0" w:line="44" w:lineRule="exact"/>
        <w:rPr>
          <w:rFonts w:ascii="Arial" w:cs="Arial" w:eastAsia="Arial" w:hAnsi="Arial"/>
          <w:sz w:val="13"/>
          <w:szCs w:val="13"/>
          <w:color w:val="auto"/>
        </w:rPr>
      </w:pPr>
    </w:p>
    <w:p>
      <w:pPr>
        <w:jc w:val="both"/>
        <w:ind w:left="460" w:hanging="229"/>
        <w:spacing w:after="0" w:line="256"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2" w:lineRule="exact"/>
        <w:rPr>
          <w:rFonts w:ascii="Arial" w:cs="Arial" w:eastAsia="Arial" w:hAnsi="Arial"/>
          <w:sz w:val="13"/>
          <w:szCs w:val="13"/>
          <w:color w:val="auto"/>
        </w:rPr>
      </w:pPr>
    </w:p>
    <w:p>
      <w:pPr>
        <w:ind w:left="46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willingness and ability of counterparties to the Company's offtake agreements to fulfill their obligations under such agreements;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enter into contracts to sell power and procure fuel on acceptable terms and prices as current offtake agreements expire;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Government regulation, including compliance with regulatory requirements and changes in market rules, rates, tariffs and environmental laws;</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2"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engage in successful mergers and acquisitions activity; and</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borrow additional funds and access capital markets, as well as the Company's substantial indebtedness and the possibility that the Company may incur additional indebtedness going forward.</w:t>
      </w:r>
    </w:p>
    <w:p>
      <w:pPr>
        <w:spacing w:after="0" w:line="12"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 Unresolved Staff Comments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80"/>
          </w:cols>
          <w:pgMar w:left="220" w:top="710" w:right="19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Listed below are descriptions of the Company's interests in facilities, operations and/or projects owned or leased as of December 31,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Rated MW</w:t>
            </w: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6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Conventional</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GenConn Devon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Milford, CT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0"/>
                <w:szCs w:val="10"/>
                <w:color w:val="auto"/>
              </w:rPr>
              <w:t>2040</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GenConn Middletown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Middletown, CT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Marsh Landing</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Antioch,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Walnut Creek</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City of Industry, CA</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70"/>
        </w:trPr>
        <w:tc>
          <w:tcPr>
            <w:tcW w:w="1500" w:type="dxa"/>
            <w:vAlign w:val="bottom"/>
            <w:gridSpan w:val="2"/>
          </w:tcPr>
          <w:p>
            <w:pPr>
              <w:ind w:left="260"/>
              <w:spacing w:after="0"/>
              <w:rPr>
                <w:sz w:val="20"/>
                <w:szCs w:val="20"/>
                <w:color w:val="auto"/>
              </w:rPr>
            </w:pPr>
            <w:r>
              <w:rPr>
                <w:rFonts w:ascii="Arial" w:cs="Arial" w:eastAsia="Arial" w:hAnsi="Arial"/>
                <w:sz w:val="12"/>
                <w:szCs w:val="12"/>
                <w:b w:val="1"/>
                <w:bCs w:val="1"/>
                <w:i w:val="1"/>
                <w:iCs w:val="1"/>
                <w:color w:val="auto"/>
              </w:rPr>
              <w:t>Total Conventional</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2,135</w:t>
            </w: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1,945</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Utility Scale Solar</w:t>
            </w: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Agua Caliente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Dateland, 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Avenal</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Avenal,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Avra Valley</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Pima County, AZ</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Blythe,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2009</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 Springs,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CVSR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San Luis Obispo,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Sunlight 250</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Desert Sunlight 300</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300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Four Brothers 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New Castle/Milford, UT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2016 - 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Granite Mountain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65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September 2016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Iron Springs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Kansas South</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Lemoore,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Roadrunner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Santa Teresa, NM</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Paso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TA High Desert</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March 2013</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w w:val="91"/>
              </w:rPr>
              <w:t>Total Utility Scale Solar</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1,864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921</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Distributed Solar</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Apple I LLC Projects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2012 - 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AZ DG Solar Projects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2010 - January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Pr>
          <w:p>
            <w:pPr>
              <w:jc w:val="right"/>
              <w:spacing w:after="0"/>
              <w:rPr>
                <w:sz w:val="20"/>
                <w:szCs w:val="20"/>
                <w:color w:val="auto"/>
              </w:rPr>
            </w:pPr>
            <w:r>
              <w:rPr>
                <w:rFonts w:ascii="Arial" w:cs="Arial" w:eastAsia="Arial" w:hAnsi="Arial"/>
                <w:sz w:val="10"/>
                <w:szCs w:val="10"/>
                <w:color w:val="auto"/>
              </w:rPr>
              <w:t>2025-2033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SPP Projects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2008 - June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2026-2037</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Other DG Projects</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October 2012 - October 2015</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Various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2023-2039</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w w:val="94"/>
              </w:rPr>
              <w:t>Total Distributed Solar</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Wind</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80"/>
          </w:cols>
          <w:pgMar w:left="220" w:top="710" w:right="1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Rated MW</w:t>
            </w: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II</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III</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IV</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March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V</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Alta X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Alta XI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Buffalo Bear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Buffalo, OK</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Western Farmers Electric 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Crosswinds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Ayrshire, IA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2007</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Corn Belt Power Cooperative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Elbow Creek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Howard County, TX</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2"/>
                <w:szCs w:val="12"/>
                <w:color w:val="auto"/>
              </w:rPr>
              <w:t>NRG Power Marketing LLC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Elkhorn Ridge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Bloomfield, NE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66.7%</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Forward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April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Constellation NewEnergy, Inc.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Goat Wind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Sterling City, TX</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2008/June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Dow Pipeline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Hardin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Jefferson, IA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Interstate Power and Light Company</w:t>
            </w:r>
          </w:p>
        </w:tc>
        <w:tc>
          <w:tcPr>
            <w:tcW w:w="1040" w:type="dxa"/>
            <w:vAlign w:val="bottom"/>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Laredo Ridge</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Petersburg, NE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Southern Maryland Electric</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Lookout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38</w:t>
            </w:r>
          </w:p>
        </w:tc>
        <w:tc>
          <w:tcPr>
            <w:tcW w:w="120" w:type="dxa"/>
            <w:vAlign w:val="bottom"/>
          </w:tcPr>
          <w:p>
            <w:pPr>
              <w:spacing w:after="0"/>
              <w:rPr>
                <w:sz w:val="11"/>
                <w:szCs w:val="11"/>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Odin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Odin, MN</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Missouri River Energy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Maryland Department of General</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07" w:lineRule="exact"/>
              <w:rPr>
                <w:sz w:val="20"/>
                <w:szCs w:val="20"/>
                <w:color w:val="auto"/>
              </w:rPr>
            </w:pPr>
            <w:r>
              <w:rPr>
                <w:rFonts w:ascii="Arial" w:cs="Arial" w:eastAsia="Arial" w:hAnsi="Arial"/>
                <w:sz w:val="10"/>
                <w:szCs w:val="10"/>
                <w:color w:val="auto"/>
              </w:rPr>
              <w:t>Services and University System of</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Pinnacle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Keyser, WV</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1"/>
                <w:szCs w:val="11"/>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Maryland</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San Juan Mesa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Elida, NM</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2005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Sleeping Bear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Woodward, OK</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Public Service Company of Oklahoma</w:t>
            </w:r>
          </w:p>
        </w:tc>
        <w:tc>
          <w:tcPr>
            <w:tcW w:w="1040" w:type="dxa"/>
            <w:vAlign w:val="bottom"/>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Sweetwater, TX</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AEP Energy Partners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Spanish Fork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Spanish Fork, UT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July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Spring Canyon II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Spring Canyon III</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Taloga</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Putnam, OK</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Oklahoma Gas &amp;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 xml:space="preserve">Wildorado </w:t>
            </w:r>
            <w:r>
              <w:rPr>
                <w:rFonts w:ascii="Arial" w:cs="Arial" w:eastAsia="Arial" w:hAnsi="Arial"/>
                <w:sz w:val="6"/>
                <w:szCs w:val="6"/>
                <w:color w:val="auto"/>
              </w:rPr>
              <w:t>(b)</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Vega, TX</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161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161</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April 2007</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rPr>
              <w:t>Total Wind</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2,263</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2,200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Thermal Generation</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 DE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NRG Power Marketing LLC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Paxton Creek Cogen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Harrisburg,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November 1986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Power sold into PJM markets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Hospital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NJ</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Tucson Convention Center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Tucson, 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January 2003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80"/>
          </w:cols>
          <w:pgMar w:left="220" w:top="840" w:right="199" w:bottom="1440" w:gutter="0" w:footer="0" w:header="0"/>
        </w:sectPr>
      </w:pPr>
    </w:p>
    <w:bookmarkStart w:id="31" w:name="page32"/>
    <w:bookmarkEnd w:id="31"/>
    <w:tbl>
      <w:tblPr>
        <w:tblLayout w:type="fixed"/>
        <w:tblInd w:w="2"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7"/>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Rated MW</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7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Bridgeport, CT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70"/>
        </w:trPr>
        <w:tc>
          <w:tcPr>
            <w:tcW w:w="3100" w:type="dxa"/>
            <w:vAlign w:val="bottom"/>
            <w:tcBorders>
              <w:bottom w:val="single" w:sz="8" w:color="CCEEFF"/>
            </w:tcBorders>
            <w:gridSpan w:val="4"/>
          </w:tcPr>
          <w:p>
            <w:pPr>
              <w:ind w:left="260"/>
              <w:spacing w:after="0"/>
              <w:rPr>
                <w:sz w:val="20"/>
                <w:szCs w:val="20"/>
                <w:color w:val="auto"/>
              </w:rPr>
            </w:pPr>
            <w:r>
              <w:rPr>
                <w:rFonts w:ascii="Arial" w:cs="Arial" w:eastAsia="Arial" w:hAnsi="Arial"/>
                <w:sz w:val="12"/>
                <w:szCs w:val="12"/>
                <w:b w:val="1"/>
                <w:bCs w:val="1"/>
                <w:i w:val="1"/>
                <w:iCs w:val="1"/>
                <w:color w:val="auto"/>
              </w:rPr>
              <w:t>Total Thermal Generation</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ind w:left="280"/>
              <w:spacing w:after="0" w:line="169" w:lineRule="exact"/>
              <w:rPr>
                <w:sz w:val="20"/>
                <w:szCs w:val="20"/>
                <w:color w:val="auto"/>
              </w:rPr>
            </w:pPr>
            <w:r>
              <w:rPr>
                <w:rFonts w:ascii="Arial" w:cs="Arial" w:eastAsia="Arial" w:hAnsi="Arial"/>
                <w:sz w:val="12"/>
                <w:szCs w:val="12"/>
                <w:b w:val="1"/>
                <w:bCs w:val="1"/>
                <w:color w:val="auto"/>
                <w:w w:val="97"/>
              </w:rPr>
              <w:t xml:space="preserve">Total NRG Yield, Inc. </w:t>
            </w:r>
            <w:r>
              <w:rPr>
                <w:rFonts w:ascii="Arial" w:cs="Arial" w:eastAsia="Arial" w:hAnsi="Arial"/>
                <w:sz w:val="15"/>
                <w:szCs w:val="15"/>
                <w:b w:val="1"/>
                <w:bCs w:val="1"/>
                <w:color w:val="auto"/>
                <w:w w:val="97"/>
                <w:vertAlign w:val="superscript"/>
              </w:rPr>
              <w:t>(c)</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rPr>
              <w:t>6,437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rPr>
              <w:t>5,241</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82" w:hanging="82"/>
        <w:spacing w:after="0"/>
        <w:tabs>
          <w:tab w:leader="none" w:pos="82" w:val="left"/>
        </w:tabs>
        <w:numPr>
          <w:ilvl w:val="0"/>
          <w:numId w:val="10"/>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ind w:left="102" w:hanging="102"/>
        <w:spacing w:after="0"/>
        <w:tabs>
          <w:tab w:leader="none" w:pos="102" w:val="left"/>
        </w:tabs>
        <w:numPr>
          <w:ilvl w:val="0"/>
          <w:numId w:val="10"/>
        </w:numPr>
        <w:rPr>
          <w:rFonts w:ascii="Arial" w:cs="Arial" w:eastAsia="Arial" w:hAnsi="Arial"/>
          <w:sz w:val="6"/>
          <w:szCs w:val="6"/>
          <w:color w:val="auto"/>
        </w:rPr>
      </w:pPr>
      <w:r>
        <w:rPr>
          <w:rFonts w:ascii="Arial" w:cs="Arial" w:eastAsia="Arial" w:hAnsi="Arial"/>
          <w:sz w:val="10"/>
          <w:szCs w:val="10"/>
          <w:color w:val="auto"/>
        </w:rPr>
        <w:t xml:space="preserve">Projects are part of tax equity arrangements, as further described in Note 2, </w:t>
      </w:r>
      <w:r>
        <w:rPr>
          <w:rFonts w:ascii="Arial" w:cs="Arial" w:eastAsia="Arial" w:hAnsi="Arial"/>
          <w:sz w:val="10"/>
          <w:szCs w:val="10"/>
          <w:i w:val="1"/>
          <w:iCs w:val="1"/>
          <w:color w:val="auto"/>
        </w:rPr>
        <w:t>Summary of Significant Accounting Policies.</w:t>
      </w:r>
    </w:p>
    <w:p>
      <w:pPr>
        <w:spacing w:after="0" w:line="1" w:lineRule="exact"/>
        <w:rPr>
          <w:rFonts w:ascii="Arial" w:cs="Arial" w:eastAsia="Arial" w:hAnsi="Arial"/>
          <w:sz w:val="6"/>
          <w:szCs w:val="6"/>
          <w:color w:val="auto"/>
        </w:rPr>
      </w:pPr>
    </w:p>
    <w:p>
      <w:pPr>
        <w:ind w:left="102" w:hanging="102"/>
        <w:spacing w:after="0"/>
        <w:tabs>
          <w:tab w:leader="none" w:pos="102" w:val="left"/>
        </w:tabs>
        <w:numPr>
          <w:ilvl w:val="0"/>
          <w:numId w:val="10"/>
        </w:numPr>
        <w:rPr>
          <w:rFonts w:ascii="Arial" w:cs="Arial" w:eastAsia="Arial" w:hAnsi="Arial"/>
          <w:sz w:val="6"/>
          <w:szCs w:val="6"/>
          <w:color w:val="auto"/>
        </w:rPr>
      </w:pPr>
      <w:r>
        <w:rPr>
          <w:rFonts w:ascii="Arial" w:cs="Arial" w:eastAsia="Arial" w:hAnsi="Arial"/>
          <w:sz w:val="10"/>
          <w:szCs w:val="10"/>
          <w:color w:val="auto"/>
        </w:rPr>
        <w:t>NRG Yield's total generation capacity is net of 6 MWs for noncontrolling interest for Spring Canyon II and III. NRG Yield's generation capacity including this noncontrolling interest was 5,247 MWs.</w:t>
      </w:r>
    </w:p>
    <w:p>
      <w:pPr>
        <w:spacing w:after="0" w:line="36" w:lineRule="exact"/>
        <w:rPr>
          <w:sz w:val="20"/>
          <w:szCs w:val="20"/>
          <w:color w:val="auto"/>
        </w:rPr>
      </w:pPr>
    </w:p>
    <w:p>
      <w:pPr>
        <w:jc w:val="both"/>
        <w:ind w:left="2" w:right="20" w:firstLine="291"/>
        <w:spacing w:after="0" w:line="292"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For further discussions, refer to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118"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Company's thermal steam and chilled water facilities as of December 31, 2017:</w:t>
      </w:r>
    </w:p>
    <w:p>
      <w:pPr>
        <w:sectPr>
          <w:pgSz w:w="11900" w:h="16838" w:orient="portrait"/>
          <w:cols w:equalWidth="0" w:num="1">
            <w:col w:w="11482"/>
          </w:cols>
          <w:pgMar w:left="218" w:top="840" w:right="1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2"/>
        <w:spacing w:after="0"/>
        <w:rPr>
          <w:sz w:val="20"/>
          <w:szCs w:val="20"/>
          <w:color w:val="auto"/>
        </w:rPr>
      </w:pPr>
      <w:r>
        <w:rPr>
          <w:rFonts w:ascii="Arial" w:cs="Arial" w:eastAsia="Arial" w:hAnsi="Arial"/>
          <w:sz w:val="12"/>
          <w:szCs w:val="12"/>
          <w:b w:val="1"/>
          <w:bCs w:val="1"/>
          <w:color w:val="auto"/>
        </w:rPr>
        <w:t>Name and Location of Facility</w:t>
      </w:r>
    </w:p>
    <w:p>
      <w:pPr>
        <w:spacing w:after="0" w:line="126"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Minneapolis, MN</w:t>
      </w:r>
    </w:p>
    <w:p>
      <w:pPr>
        <w:spacing w:after="0" w:line="147"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San Francisco,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Arial" w:cs="Arial" w:eastAsia="Arial" w:hAnsi="Arial"/>
          <w:sz w:val="10"/>
          <w:szCs w:val="10"/>
          <w:b w:val="1"/>
          <w:bCs w:val="1"/>
          <w:color w:val="auto"/>
        </w:rPr>
        <w:t>Thermal Energy Purchaser</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Approx. 100 steam and 55 chilled water customers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Approx. 180 steam customers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Rated Megawatt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0"/>
              </w:rPr>
              <w:t>Net Megawatt</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Thermal</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4"/>
              </w:rPr>
              <w:t>Thermal</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Equivalent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8"/>
              </w:rPr>
              <w:t>Equivalent</w:t>
            </w:r>
          </w:p>
        </w:tc>
        <w:tc>
          <w:tcPr>
            <w:tcW w:w="2520" w:type="dxa"/>
            <w:vAlign w:val="bottom"/>
          </w:tcPr>
          <w:p>
            <w:pPr>
              <w:jc w:val="center"/>
              <w:ind w:left="22"/>
              <w:spacing w:after="0"/>
              <w:rPr>
                <w:sz w:val="20"/>
                <w:szCs w:val="20"/>
                <w:color w:val="auto"/>
              </w:rPr>
            </w:pPr>
            <w:r>
              <w:rPr>
                <w:rFonts w:ascii="Arial" w:cs="Arial" w:eastAsia="Arial" w:hAnsi="Arial"/>
                <w:sz w:val="12"/>
                <w:szCs w:val="12"/>
                <w:b w:val="1"/>
                <w:bCs w:val="1"/>
                <w:color w:val="auto"/>
                <w:w w:val="88"/>
              </w:rPr>
              <w:t>Generating</w:t>
            </w:r>
          </w:p>
        </w:tc>
        <w:tc>
          <w:tcPr>
            <w:tcW w:w="0" w:type="dxa"/>
            <w:vAlign w:val="bottom"/>
          </w:tcPr>
          <w:p>
            <w:pPr>
              <w:spacing w:after="0"/>
              <w:rPr>
                <w:sz w:val="1"/>
                <w:szCs w:val="1"/>
                <w:color w:val="auto"/>
              </w:rPr>
            </w:pPr>
          </w:p>
        </w:tc>
      </w:tr>
      <w:tr>
        <w:trPr>
          <w:trHeight w:val="150"/>
        </w:trPr>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 Owned</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Capacity (MWt)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4"/>
              </w:rPr>
              <w:t>Capacity (MWt)</w:t>
            </w:r>
          </w:p>
        </w:tc>
        <w:tc>
          <w:tcPr>
            <w:tcW w:w="2520" w:type="dxa"/>
            <w:vAlign w:val="bottom"/>
          </w:tcPr>
          <w:p>
            <w:pPr>
              <w:jc w:val="center"/>
              <w:ind w:left="22"/>
              <w:spacing w:after="0"/>
              <w:rPr>
                <w:sz w:val="20"/>
                <w:szCs w:val="20"/>
                <w:color w:val="auto"/>
              </w:rPr>
            </w:pPr>
            <w:r>
              <w:rPr>
                <w:rFonts w:ascii="Arial" w:cs="Arial" w:eastAsia="Arial" w:hAnsi="Arial"/>
                <w:sz w:val="12"/>
                <w:szCs w:val="12"/>
                <w:b w:val="1"/>
                <w:bCs w:val="1"/>
                <w:color w:val="auto"/>
                <w:w w:val="87"/>
              </w:rPr>
              <w:t>Capacity</w:t>
            </w:r>
          </w:p>
        </w:tc>
        <w:tc>
          <w:tcPr>
            <w:tcW w:w="0" w:type="dxa"/>
            <w:vAlign w:val="bottom"/>
          </w:tcPr>
          <w:p>
            <w:pPr>
              <w:spacing w:after="0"/>
              <w:rPr>
                <w:sz w:val="1"/>
                <w:szCs w:val="1"/>
                <w:color w:val="auto"/>
              </w:rPr>
            </w:pPr>
          </w:p>
        </w:tc>
      </w:tr>
      <w:tr>
        <w:trPr>
          <w:trHeight w:val="24"/>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2"/>
                <w:szCs w:val="1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322</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1,100 MMBtu/hr.</w:t>
            </w: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136</w:t>
            </w:r>
          </w:p>
        </w:tc>
        <w:tc>
          <w:tcPr>
            <w:tcW w:w="2520" w:type="dxa"/>
            <w:vAlign w:val="bottom"/>
            <w:vMerge w:val="restart"/>
          </w:tcPr>
          <w:p>
            <w:pPr>
              <w:ind w:left="120"/>
              <w:spacing w:after="0"/>
              <w:rPr>
                <w:sz w:val="20"/>
                <w:szCs w:val="20"/>
                <w:color w:val="auto"/>
              </w:rPr>
            </w:pPr>
            <w:r>
              <w:rPr>
                <w:rFonts w:ascii="Arial" w:cs="Arial" w:eastAsia="Arial" w:hAnsi="Arial"/>
                <w:sz w:val="12"/>
                <w:szCs w:val="12"/>
                <w:color w:val="auto"/>
              </w:rPr>
              <w:t>Chilled water: 38,700 tons</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80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21"/>
                <w:szCs w:val="21"/>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21"/>
                <w:szCs w:val="21"/>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133</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454 MMBtu/hr.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-360045</wp:posOffset>
            </wp:positionV>
            <wp:extent cx="7285355" cy="215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21590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3">
            <w:col w:w="1822" w:space="500"/>
            <w:col w:w="1860" w:space="540"/>
            <w:col w:w="6760"/>
          </w:cols>
          <w:pgMar w:left="218" w:top="840" w:right="199" w:bottom="1440" w:gutter="0" w:footer="0" w:header="0"/>
          <w:type w:val="continuous"/>
        </w:sectPr>
      </w:pPr>
    </w:p>
    <w:tbl>
      <w:tblPr>
        <w:tblLayout w:type="fixed"/>
        <w:tblInd w:w="2" w:type="dxa"/>
        <w:tblCellMar>
          <w:top w:w="0" w:type="dxa"/>
          <w:left w:w="0" w:type="dxa"/>
          <w:bottom w:w="0" w:type="dxa"/>
          <w:right w:w="0" w:type="dxa"/>
        </w:tblCellMar>
      </w:tblPr>
      <w:tr>
        <w:trPr>
          <w:trHeight w:val="158"/>
        </w:trPr>
        <w:tc>
          <w:tcPr>
            <w:tcW w:w="20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142</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142</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485 MMBtu/hr</w:t>
            </w: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Energy Center</w:t>
            </w:r>
          </w:p>
        </w:tc>
        <w:tc>
          <w:tcPr>
            <w:tcW w:w="2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Approx. 60 steam and 65 chilled water</w:t>
            </w:r>
          </w:p>
        </w:tc>
        <w:tc>
          <w:tcPr>
            <w:tcW w:w="1520" w:type="dxa"/>
            <w:vAlign w:val="bottom"/>
            <w:shd w:val="clear" w:color="auto" w:fill="CCEEFF"/>
          </w:tcPr>
          <w:p>
            <w:pPr>
              <w:jc w:val="right"/>
              <w:ind w:right="695"/>
              <w:spacing w:after="0" w:line="146"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73</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250 MMBtu/hr</w:t>
            </w:r>
          </w:p>
        </w:tc>
        <w:tc>
          <w:tcPr>
            <w:tcW w:w="0" w:type="dxa"/>
            <w:vAlign w:val="bottom"/>
          </w:tcPr>
          <w:p>
            <w:pPr>
              <w:spacing w:after="0"/>
              <w:rPr>
                <w:sz w:val="1"/>
                <w:szCs w:val="1"/>
                <w:color w:val="auto"/>
              </w:rPr>
            </w:pPr>
          </w:p>
        </w:tc>
      </w:tr>
      <w:tr>
        <w:trPr>
          <w:trHeight w:val="145"/>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Omaha, NE</w:t>
            </w:r>
          </w:p>
        </w:tc>
        <w:tc>
          <w:tcPr>
            <w:tcW w:w="2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customers</w:t>
            </w: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77</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77</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22,000 tons</w:t>
            </w: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95"/>
              <w:spacing w:after="0" w:line="173"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26</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7,250 tons</w:t>
            </w:r>
          </w:p>
        </w:tc>
        <w:tc>
          <w:tcPr>
            <w:tcW w:w="0" w:type="dxa"/>
            <w:vAlign w:val="bottom"/>
          </w:tcPr>
          <w:p>
            <w:pPr>
              <w:spacing w:after="0"/>
              <w:rPr>
                <w:sz w:val="1"/>
                <w:szCs w:val="1"/>
                <w:color w:val="auto"/>
              </w:rPr>
            </w:pPr>
          </w:p>
        </w:tc>
      </w:tr>
      <w:tr>
        <w:trPr>
          <w:trHeight w:val="158"/>
        </w:trPr>
        <w:tc>
          <w:tcPr>
            <w:tcW w:w="2000" w:type="dxa"/>
            <w:vAlign w:val="bottom"/>
            <w:vMerge w:val="restart"/>
          </w:tcPr>
          <w:p>
            <w:pPr>
              <w:ind w:left="20"/>
              <w:spacing w:after="0"/>
              <w:rPr>
                <w:sz w:val="20"/>
                <w:szCs w:val="20"/>
                <w:color w:val="auto"/>
              </w:rPr>
            </w:pPr>
            <w:r>
              <w:rPr>
                <w:rFonts w:ascii="Arial" w:cs="Arial" w:eastAsia="Arial" w:hAnsi="Arial"/>
                <w:sz w:val="12"/>
                <w:szCs w:val="12"/>
                <w:color w:val="auto"/>
              </w:rPr>
              <w:t>NRG Energy Center Harrisburg, PA</w:t>
            </w:r>
          </w:p>
        </w:tc>
        <w:tc>
          <w:tcPr>
            <w:tcW w:w="2720" w:type="dxa"/>
            <w:vAlign w:val="bottom"/>
          </w:tcPr>
          <w:p>
            <w:pPr>
              <w:ind w:left="320"/>
              <w:spacing w:after="0"/>
              <w:rPr>
                <w:sz w:val="20"/>
                <w:szCs w:val="20"/>
                <w:color w:val="auto"/>
              </w:rPr>
            </w:pPr>
            <w:r>
              <w:rPr>
                <w:rFonts w:ascii="Arial" w:cs="Arial" w:eastAsia="Arial" w:hAnsi="Arial"/>
                <w:sz w:val="12"/>
                <w:szCs w:val="12"/>
                <w:color w:val="auto"/>
              </w:rPr>
              <w:t>Approx. 125 steam and 5 chilled water</w:t>
            </w:r>
          </w:p>
        </w:tc>
        <w:tc>
          <w:tcPr>
            <w:tcW w:w="1520" w:type="dxa"/>
            <w:vAlign w:val="bottom"/>
            <w:vMerge w:val="restart"/>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tcPr>
          <w:p>
            <w:pPr>
              <w:jc w:val="right"/>
              <w:ind w:right="702"/>
              <w:spacing w:after="0"/>
              <w:rPr>
                <w:sz w:val="20"/>
                <w:szCs w:val="20"/>
                <w:color w:val="auto"/>
              </w:rPr>
            </w:pPr>
            <w:r>
              <w:rPr>
                <w:rFonts w:ascii="Arial" w:cs="Arial" w:eastAsia="Arial" w:hAnsi="Arial"/>
                <w:sz w:val="12"/>
                <w:szCs w:val="12"/>
                <w:color w:val="auto"/>
              </w:rPr>
              <w:t>108</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108</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370 MMBtu/hr.</w:t>
            </w:r>
          </w:p>
        </w:tc>
        <w:tc>
          <w:tcPr>
            <w:tcW w:w="0" w:type="dxa"/>
            <w:vAlign w:val="bottom"/>
          </w:tcPr>
          <w:p>
            <w:pPr>
              <w:spacing w:after="0"/>
              <w:rPr>
                <w:sz w:val="1"/>
                <w:szCs w:val="1"/>
                <w:color w:val="auto"/>
              </w:rPr>
            </w:pPr>
          </w:p>
        </w:tc>
      </w:tr>
      <w:tr>
        <w:trPr>
          <w:trHeight w:val="70"/>
        </w:trPr>
        <w:tc>
          <w:tcPr>
            <w:tcW w:w="2000" w:type="dxa"/>
            <w:vAlign w:val="bottom"/>
            <w:vMerge w:val="continue"/>
          </w:tcPr>
          <w:p>
            <w:pPr>
              <w:spacing w:after="0"/>
              <w:rPr>
                <w:sz w:val="6"/>
                <w:szCs w:val="6"/>
                <w:color w:val="auto"/>
              </w:rPr>
            </w:pPr>
          </w:p>
        </w:tc>
        <w:tc>
          <w:tcPr>
            <w:tcW w:w="2720" w:type="dxa"/>
            <w:vAlign w:val="bottom"/>
            <w:vMerge w:val="restart"/>
          </w:tcPr>
          <w:p>
            <w:pPr>
              <w:ind w:left="320"/>
              <w:spacing w:after="0"/>
              <w:rPr>
                <w:sz w:val="20"/>
                <w:szCs w:val="20"/>
                <w:color w:val="auto"/>
              </w:rPr>
            </w:pPr>
            <w:r>
              <w:rPr>
                <w:rFonts w:ascii="Arial" w:cs="Arial" w:eastAsia="Arial" w:hAnsi="Arial"/>
                <w:sz w:val="12"/>
                <w:szCs w:val="12"/>
                <w:color w:val="auto"/>
              </w:rPr>
              <w:t>customers</w:t>
            </w:r>
          </w:p>
        </w:tc>
        <w:tc>
          <w:tcPr>
            <w:tcW w:w="1520" w:type="dxa"/>
            <w:vAlign w:val="bottom"/>
            <w:vMerge w:val="continue"/>
          </w:tcPr>
          <w:p>
            <w:pPr>
              <w:spacing w:after="0"/>
              <w:rPr>
                <w:sz w:val="6"/>
                <w:szCs w:val="6"/>
                <w:color w:val="auto"/>
              </w:rPr>
            </w:pPr>
          </w:p>
        </w:tc>
        <w:tc>
          <w:tcPr>
            <w:tcW w:w="1660" w:type="dxa"/>
            <w:vAlign w:val="bottom"/>
            <w:vMerge w:val="restart"/>
          </w:tcPr>
          <w:p>
            <w:pPr>
              <w:jc w:val="right"/>
              <w:ind w:right="702"/>
              <w:spacing w:after="0"/>
              <w:rPr>
                <w:sz w:val="20"/>
                <w:szCs w:val="20"/>
                <w:color w:val="auto"/>
              </w:rPr>
            </w:pPr>
            <w:r>
              <w:rPr>
                <w:rFonts w:ascii="Arial" w:cs="Arial" w:eastAsia="Arial" w:hAnsi="Arial"/>
                <w:sz w:val="12"/>
                <w:szCs w:val="12"/>
                <w:color w:val="auto"/>
              </w:rPr>
              <w:t>13</w:t>
            </w:r>
          </w:p>
        </w:tc>
        <w:tc>
          <w:tcPr>
            <w:tcW w:w="1060" w:type="dxa"/>
            <w:vAlign w:val="bottom"/>
            <w:vMerge w:val="restart"/>
          </w:tcPr>
          <w:p>
            <w:pPr>
              <w:jc w:val="right"/>
              <w:ind w:right="62"/>
              <w:spacing w:after="0"/>
              <w:rPr>
                <w:sz w:val="20"/>
                <w:szCs w:val="20"/>
                <w:color w:val="auto"/>
              </w:rPr>
            </w:pPr>
            <w:r>
              <w:rPr>
                <w:rFonts w:ascii="Arial" w:cs="Arial" w:eastAsia="Arial" w:hAnsi="Arial"/>
                <w:sz w:val="12"/>
                <w:szCs w:val="12"/>
                <w:color w:val="auto"/>
              </w:rPr>
              <w:t>13</w:t>
            </w:r>
          </w:p>
        </w:tc>
        <w:tc>
          <w:tcPr>
            <w:tcW w:w="2520" w:type="dxa"/>
            <w:vAlign w:val="bottom"/>
            <w:vMerge w:val="restart"/>
          </w:tcPr>
          <w:p>
            <w:pPr>
              <w:ind w:left="120"/>
              <w:spacing w:after="0"/>
              <w:rPr>
                <w:sz w:val="20"/>
                <w:szCs w:val="20"/>
                <w:color w:val="auto"/>
              </w:rPr>
            </w:pPr>
            <w:r>
              <w:rPr>
                <w:rFonts w:ascii="Arial" w:cs="Arial" w:eastAsia="Arial" w:hAnsi="Arial"/>
                <w:sz w:val="12"/>
                <w:szCs w:val="12"/>
                <w:color w:val="auto"/>
              </w:rPr>
              <w:t>Chilled water: 3,600 tons</w:t>
            </w:r>
          </w:p>
        </w:tc>
        <w:tc>
          <w:tcPr>
            <w:tcW w:w="0" w:type="dxa"/>
            <w:vAlign w:val="bottom"/>
          </w:tcPr>
          <w:p>
            <w:pPr>
              <w:spacing w:after="0"/>
              <w:rPr>
                <w:sz w:val="1"/>
                <w:szCs w:val="1"/>
                <w:color w:val="auto"/>
              </w:rPr>
            </w:pPr>
          </w:p>
        </w:tc>
      </w:tr>
      <w:tr>
        <w:trPr>
          <w:trHeight w:val="78"/>
        </w:trPr>
        <w:tc>
          <w:tcPr>
            <w:tcW w:w="20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695"/>
              <w:spacing w:after="0" w:line="158" w:lineRule="exact"/>
              <w:rPr>
                <w:sz w:val="20"/>
                <w:szCs w:val="20"/>
                <w:color w:val="auto"/>
              </w:rPr>
            </w:pPr>
            <w:r>
              <w:rPr>
                <w:rFonts w:ascii="Arial" w:cs="Arial" w:eastAsia="Arial" w:hAnsi="Arial"/>
                <w:sz w:val="18"/>
                <w:szCs w:val="18"/>
                <w:color w:val="auto"/>
                <w:vertAlign w:val="subscript"/>
              </w:rPr>
              <w:t>24</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5</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17 MMBtu/hr</w:t>
            </w:r>
          </w:p>
        </w:tc>
        <w:tc>
          <w:tcPr>
            <w:tcW w:w="0" w:type="dxa"/>
            <w:vAlign w:val="bottom"/>
          </w:tcPr>
          <w:p>
            <w:pPr>
              <w:spacing w:after="0"/>
              <w:rPr>
                <w:sz w:val="1"/>
                <w:szCs w:val="1"/>
                <w:color w:val="auto"/>
              </w:rPr>
            </w:pPr>
          </w:p>
        </w:tc>
      </w:tr>
      <w:tr>
        <w:trPr>
          <w:trHeight w:val="145"/>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NRG Energy Center Phoenix, AZ</w:t>
            </w:r>
          </w:p>
        </w:tc>
        <w:tc>
          <w:tcPr>
            <w:tcW w:w="2720" w:type="dxa"/>
            <w:vAlign w:val="bottom"/>
            <w:vMerge w:val="restart"/>
            <w:shd w:val="clear" w:color="auto" w:fill="CCEEFF"/>
          </w:tcPr>
          <w:p>
            <w:pPr>
              <w:ind w:left="320"/>
              <w:spacing w:after="0"/>
              <w:rPr>
                <w:sz w:val="20"/>
                <w:szCs w:val="20"/>
                <w:color w:val="auto"/>
              </w:rPr>
            </w:pPr>
            <w:r>
              <w:rPr>
                <w:rFonts w:ascii="Arial" w:cs="Arial" w:eastAsia="Arial" w:hAnsi="Arial"/>
                <w:sz w:val="12"/>
                <w:szCs w:val="12"/>
                <w:color w:val="auto"/>
              </w:rPr>
              <w:t>Approx. 35 chilled water customers</w:t>
            </w: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104</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104</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29,600 tons</w:t>
            </w:r>
          </w:p>
        </w:tc>
        <w:tc>
          <w:tcPr>
            <w:tcW w:w="0" w:type="dxa"/>
            <w:vAlign w:val="bottom"/>
          </w:tcPr>
          <w:p>
            <w:pPr>
              <w:spacing w:after="0"/>
              <w:rPr>
                <w:sz w:val="1"/>
                <w:szCs w:val="1"/>
                <w:color w:val="auto"/>
              </w:rPr>
            </w:pPr>
          </w:p>
        </w:tc>
      </w:tr>
      <w:tr>
        <w:trPr>
          <w:trHeight w:val="70"/>
        </w:trPr>
        <w:tc>
          <w:tcPr>
            <w:tcW w:w="2000" w:type="dxa"/>
            <w:vAlign w:val="bottom"/>
            <w:vMerge w:val="continue"/>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right"/>
              <w:ind w:right="695"/>
              <w:spacing w:after="0" w:line="146"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60" w:type="dxa"/>
            <w:vAlign w:val="bottom"/>
            <w:vMerge w:val="restart"/>
            <w:shd w:val="clear" w:color="auto" w:fill="CCEEFF"/>
          </w:tcPr>
          <w:p>
            <w:pPr>
              <w:jc w:val="right"/>
              <w:ind w:right="702"/>
              <w:spacing w:after="0"/>
              <w:rPr>
                <w:sz w:val="20"/>
                <w:szCs w:val="20"/>
                <w:color w:val="auto"/>
              </w:rPr>
            </w:pPr>
            <w:r>
              <w:rPr>
                <w:rFonts w:ascii="Arial" w:cs="Arial" w:eastAsia="Arial" w:hAnsi="Arial"/>
                <w:sz w:val="12"/>
                <w:szCs w:val="12"/>
                <w:color w:val="auto"/>
              </w:rPr>
              <w:t>14</w:t>
            </w:r>
          </w:p>
        </w:tc>
        <w:tc>
          <w:tcPr>
            <w:tcW w:w="106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Chilled water: 3,920 tons</w:t>
            </w:r>
          </w:p>
        </w:tc>
        <w:tc>
          <w:tcPr>
            <w:tcW w:w="0" w:type="dxa"/>
            <w:vAlign w:val="bottom"/>
          </w:tcPr>
          <w:p>
            <w:pPr>
              <w:spacing w:after="0"/>
              <w:rPr>
                <w:sz w:val="1"/>
                <w:szCs w:val="1"/>
                <w:color w:val="auto"/>
              </w:rPr>
            </w:pPr>
          </w:p>
        </w:tc>
      </w:tr>
      <w:tr>
        <w:trPr>
          <w:trHeight w:val="75"/>
        </w:trPr>
        <w:tc>
          <w:tcPr>
            <w:tcW w:w="200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95"/>
              <w:spacing w:after="0" w:line="173"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28</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8,000 tons</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482"/>
          </w:cols>
          <w:pgMar w:left="218" w:top="840" w:right="199" w:bottom="1440" w:gutter="0" w:footer="0" w:header="0"/>
          <w:type w:val="continuous"/>
        </w:sectPr>
      </w:pPr>
    </w:p>
    <w:p>
      <w:pPr>
        <w:spacing w:after="0" w:line="68"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Pittsburgh, PA</w:t>
      </w:r>
    </w:p>
    <w:p>
      <w:pPr>
        <w:spacing w:after="0" w:line="147"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San Diego, CA</w:t>
      </w:r>
    </w:p>
    <w:p>
      <w:pPr>
        <w:spacing w:after="0" w:line="44"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Dover, DE</w:t>
      </w:r>
    </w:p>
    <w:p>
      <w:pPr>
        <w:spacing w:after="0" w:line="112"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Princeton,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14185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Approx. 25 steam and 25 chilled water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customers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Approx. 20 chilled water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0"/>
          <w:szCs w:val="10"/>
          <w:color w:val="auto"/>
        </w:rPr>
        <w:t>Kraft Heinz Company; Proctor and Gamble</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Princeton HealthCare System</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Total Generating Capacity (MWt)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300" w:type="dxa"/>
            <w:vAlign w:val="bottom"/>
            <w:vMerge w:val="restart"/>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2"/>
                <w:szCs w:val="1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88</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302 MMBtu/hr.</w:t>
            </w:r>
          </w:p>
        </w:tc>
        <w:tc>
          <w:tcPr>
            <w:tcW w:w="0" w:type="dxa"/>
            <w:vAlign w:val="bottom"/>
          </w:tcPr>
          <w:p>
            <w:pPr>
              <w:spacing w:after="0"/>
              <w:rPr>
                <w:sz w:val="1"/>
                <w:szCs w:val="1"/>
                <w:color w:val="auto"/>
              </w:rPr>
            </w:pPr>
          </w:p>
        </w:tc>
      </w:tr>
      <w:tr>
        <w:trPr>
          <w:trHeight w:val="70"/>
        </w:trPr>
        <w:tc>
          <w:tcPr>
            <w:tcW w:w="300" w:type="dxa"/>
            <w:vAlign w:val="bottom"/>
            <w:vMerge w:val="continue"/>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49</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w w:val="87"/>
              </w:rPr>
              <w:t>Chilled water: 13,874 tons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300" w:type="dxa"/>
            <w:vAlign w:val="bottom"/>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21"/>
                <w:szCs w:val="21"/>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360" w:type="dxa"/>
            <w:vAlign w:val="bottom"/>
          </w:tcPr>
          <w:p>
            <w:pPr>
              <w:ind w:left="120"/>
              <w:spacing w:after="0"/>
              <w:rPr>
                <w:sz w:val="20"/>
                <w:szCs w:val="20"/>
                <w:color w:val="auto"/>
              </w:rPr>
            </w:pPr>
            <w:r>
              <w:rPr>
                <w:rFonts w:ascii="Arial" w:cs="Arial" w:eastAsia="Arial" w:hAnsi="Arial"/>
                <w:sz w:val="12"/>
                <w:szCs w:val="12"/>
                <w:color w:val="auto"/>
                <w:w w:val="92"/>
              </w:rPr>
              <w:t>Chilled water: 8,825 tons</w:t>
            </w:r>
          </w:p>
        </w:tc>
        <w:tc>
          <w:tcPr>
            <w:tcW w:w="0" w:type="dxa"/>
            <w:vAlign w:val="bottom"/>
          </w:tcPr>
          <w:p>
            <w:pPr>
              <w:spacing w:after="0"/>
              <w:rPr>
                <w:sz w:val="1"/>
                <w:szCs w:val="1"/>
                <w:color w:val="auto"/>
              </w:rPr>
            </w:pPr>
          </w:p>
        </w:tc>
      </w:tr>
      <w:tr>
        <w:trPr>
          <w:trHeight w:val="330"/>
        </w:trPr>
        <w:tc>
          <w:tcPr>
            <w:tcW w:w="300" w:type="dxa"/>
            <w:vAlign w:val="bottom"/>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24"/>
                <w:szCs w:val="24"/>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225 MMBtu/hr.</w:t>
            </w:r>
          </w:p>
        </w:tc>
        <w:tc>
          <w:tcPr>
            <w:tcW w:w="0" w:type="dxa"/>
            <w:vAlign w:val="bottom"/>
          </w:tcPr>
          <w:p>
            <w:pPr>
              <w:spacing w:after="0"/>
              <w:rPr>
                <w:sz w:val="1"/>
                <w:szCs w:val="1"/>
                <w:color w:val="auto"/>
              </w:rPr>
            </w:pPr>
          </w:p>
        </w:tc>
      </w:tr>
      <w:tr>
        <w:trPr>
          <w:trHeight w:val="260"/>
        </w:trPr>
        <w:tc>
          <w:tcPr>
            <w:tcW w:w="300" w:type="dxa"/>
            <w:vAlign w:val="bottom"/>
            <w:vMerge w:val="restart"/>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2"/>
                <w:szCs w:val="2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72 MMBtu/hr.</w:t>
            </w:r>
          </w:p>
        </w:tc>
        <w:tc>
          <w:tcPr>
            <w:tcW w:w="0" w:type="dxa"/>
            <w:vAlign w:val="bottom"/>
          </w:tcPr>
          <w:p>
            <w:pPr>
              <w:spacing w:after="0"/>
              <w:rPr>
                <w:sz w:val="1"/>
                <w:szCs w:val="1"/>
                <w:color w:val="auto"/>
              </w:rPr>
            </w:pPr>
          </w:p>
        </w:tc>
      </w:tr>
      <w:tr>
        <w:trPr>
          <w:trHeight w:val="70"/>
        </w:trPr>
        <w:tc>
          <w:tcPr>
            <w:tcW w:w="300" w:type="dxa"/>
            <w:vAlign w:val="bottom"/>
            <w:vMerge w:val="continue"/>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17</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w w:val="92"/>
              </w:rPr>
              <w:t>Chilled water: 4,700 tons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1,453</w:t>
            </w:r>
          </w:p>
        </w:tc>
        <w:tc>
          <w:tcPr>
            <w:tcW w:w="100" w:type="dxa"/>
            <w:vAlign w:val="bottom"/>
          </w:tcPr>
          <w:p>
            <w:pPr>
              <w:spacing w:after="0"/>
              <w:rPr>
                <w:sz w:val="13"/>
                <w:szCs w:val="13"/>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1,319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-770255</wp:posOffset>
            </wp:positionV>
            <wp:extent cx="7285355" cy="20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20955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-351155</wp:posOffset>
            </wp:positionV>
            <wp:extent cx="7285355" cy="209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209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662" w:space="660"/>
            <w:col w:w="2300" w:space="720"/>
            <w:col w:w="6140"/>
          </w:cols>
          <w:pgMar w:left="218" w:top="840" w:right="199" w:bottom="1440" w:gutter="0" w:footer="0" w:header="0"/>
          <w:type w:val="continuous"/>
        </w:sectPr>
      </w:pPr>
    </w:p>
    <w:p>
      <w:pPr>
        <w:spacing w:after="0" w:line="49" w:lineRule="exact"/>
        <w:rPr>
          <w:sz w:val="20"/>
          <w:szCs w:val="20"/>
          <w:color w:val="auto"/>
        </w:rPr>
      </w:pPr>
    </w:p>
    <w:p>
      <w:pPr>
        <w:ind w:left="102" w:hanging="102"/>
        <w:spacing w:after="0"/>
        <w:tabs>
          <w:tab w:leader="none" w:pos="102" w:val="left"/>
        </w:tabs>
        <w:numPr>
          <w:ilvl w:val="0"/>
          <w:numId w:val="11"/>
        </w:numPr>
        <w:rPr>
          <w:rFonts w:ascii="Arial" w:cs="Arial" w:eastAsia="Arial" w:hAnsi="Arial"/>
          <w:sz w:val="6"/>
          <w:szCs w:val="6"/>
          <w:color w:val="auto"/>
        </w:rPr>
      </w:pPr>
      <w:r>
        <w:rPr>
          <w:rFonts w:ascii="Arial" w:cs="Arial" w:eastAsia="Arial" w:hAnsi="Arial"/>
          <w:sz w:val="10"/>
          <w:szCs w:val="10"/>
          <w:color w:val="auto"/>
        </w:rPr>
        <w:t>Net MWt capacity excludes 134 MWt available under the right-to-use provisions contained in agreements between two of the Company's thermal facilities and certain of its customers.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Other Properties</w:t>
      </w:r>
    </w:p>
    <w:p>
      <w:pPr>
        <w:spacing w:after="0" w:line="127" w:lineRule="exact"/>
        <w:rPr>
          <w:sz w:val="20"/>
          <w:szCs w:val="20"/>
          <w:color w:val="auto"/>
        </w:rPr>
      </w:pPr>
    </w:p>
    <w:p>
      <w:pPr>
        <w:ind w:left="462"/>
        <w:spacing w:after="0"/>
        <w:rPr>
          <w:sz w:val="20"/>
          <w:szCs w:val="20"/>
          <w:color w:val="auto"/>
        </w:rPr>
      </w:pPr>
      <w:r>
        <w:rPr>
          <w:rFonts w:ascii="Arial" w:cs="Arial" w:eastAsia="Arial" w:hAnsi="Arial"/>
          <w:sz w:val="11"/>
          <w:szCs w:val="11"/>
          <w:color w:val="auto"/>
        </w:rPr>
        <w:t>Through the Management Services Agreement with NRG, the Company utilizes NRG's leased corporate headquarters offices at 804 Carnegie Center, Princeton, New Jersey.</w:t>
      </w:r>
    </w:p>
    <w:p>
      <w:pPr>
        <w:spacing w:after="0" w:line="320"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82"/>
          </w:cols>
          <w:pgMar w:left="218" w:top="840" w:right="1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3"/>
          <w:szCs w:val="13"/>
          <w:b w:val="1"/>
          <w:bCs w:val="1"/>
          <w:color w:val="auto"/>
        </w:rPr>
        <w:t>Item 3 — Legal Proceedings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See Item 15 </w:t>
      </w:r>
      <w:r>
        <w:rPr>
          <w:rFonts w:ascii="Arial" w:cs="Arial" w:eastAsia="Arial" w:hAnsi="Arial"/>
          <w:sz w:val="11"/>
          <w:szCs w:val="11"/>
          <w:b w:val="1"/>
          <w:bCs w:val="1"/>
          <w:color w:val="auto"/>
        </w:rPr>
        <w:t>—</w:t>
      </w:r>
      <w:r>
        <w:rPr>
          <w:rFonts w:ascii="Arial" w:cs="Arial" w:eastAsia="Arial" w:hAnsi="Arial"/>
          <w:sz w:val="11"/>
          <w:szCs w:val="11"/>
          <w:color w:val="auto"/>
        </w:rPr>
        <w:t xml:space="preserve"> Note 14,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to the Consolidated Financial Statements for discussion of the material legal proceedings to which the Company is a party.</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 Mine Safety Disclosures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239"/>
          </w:cols>
          <w:pgMar w:left="220" w:top="826" w:right="1440" w:bottom="1440" w:gutter="0" w:footer="0" w:header="0"/>
        </w:sectPr>
      </w:pPr>
    </w:p>
    <w:bookmarkStart w:id="33" w:name="page34"/>
    <w:bookmarkEnd w:id="33"/>
    <w:p>
      <w:pPr>
        <w:ind w:left="5500"/>
        <w:spacing w:after="0"/>
        <w:rPr>
          <w:sz w:val="20"/>
          <w:szCs w:val="20"/>
          <w:color w:val="auto"/>
        </w:rPr>
      </w:pPr>
      <w:r>
        <w:rPr>
          <w:rFonts w:ascii="Arial" w:cs="Arial" w:eastAsia="Arial" w:hAnsi="Arial"/>
          <w:sz w:val="13"/>
          <w:szCs w:val="13"/>
          <w:b w:val="1"/>
          <w:bCs w:val="1"/>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 Market for Registrant's Common Equity, Related Stockholder Matters and Issuer Purchases of Equity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and Holders</w:t>
      </w:r>
    </w:p>
    <w:p>
      <w:pPr>
        <w:spacing w:after="0" w:line="127" w:lineRule="exact"/>
        <w:rPr>
          <w:sz w:val="20"/>
          <w:szCs w:val="20"/>
          <w:color w:val="auto"/>
        </w:rPr>
      </w:pPr>
    </w:p>
    <w:p>
      <w:pPr>
        <w:ind w:right="20" w:firstLine="466"/>
        <w:spacing w:after="0" w:line="271" w:lineRule="auto"/>
        <w:rPr>
          <w:sz w:val="20"/>
          <w:szCs w:val="20"/>
          <w:color w:val="auto"/>
        </w:rPr>
      </w:pPr>
      <w:r>
        <w:rPr>
          <w:rFonts w:ascii="Arial" w:cs="Arial" w:eastAsia="Arial" w:hAnsi="Arial"/>
          <w:sz w:val="13"/>
          <w:szCs w:val="13"/>
          <w:color w:val="auto"/>
        </w:rPr>
        <w:t>As of the date of this report, there is no publicly-traded market for the Company's membership units. All of the Company's Class A and Class C units are held by Yield, Inc. and all of the Company's Class B and Class D units are held by NRG.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Fourth Quarter 2017</w:t>
            </w:r>
          </w:p>
        </w:tc>
        <w:tc>
          <w:tcPr>
            <w:tcW w:w="18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rPr>
              <w:t>First Quarter 2016</w:t>
            </w:r>
          </w:p>
        </w:tc>
      </w:tr>
      <w:tr>
        <w:trPr>
          <w:trHeight w:val="16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Distributions per Class A and Class B unit</w:t>
            </w: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0.260</w:t>
            </w:r>
          </w:p>
        </w:tc>
      </w:tr>
      <w:tr>
        <w:trPr>
          <w:trHeight w:val="174"/>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Distributions per Class C and Class D unit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0.260</w:t>
            </w:r>
          </w:p>
        </w:tc>
      </w:tr>
    </w:tbl>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unit payable on March 15,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80"/>
          </w:cols>
          <w:pgMar w:left="220" w:top="301" w:right="19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auto"/>
        </w:rPr>
        <w:t>Item 6 — Selected Financial Data</w:t>
      </w:r>
    </w:p>
    <w:p>
      <w:pPr>
        <w:spacing w:after="0" w:line="127"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The acquisitions are further described in </w:t>
      </w:r>
      <w:r>
        <w:rPr>
          <w:rFonts w:ascii="Arial" w:cs="Arial" w:eastAsia="Arial" w:hAnsi="Arial"/>
          <w:sz w:val="12"/>
          <w:szCs w:val="12"/>
          <w:color w:val="231F20"/>
        </w:rPr>
        <w:t>Item 15</w:t>
      </w:r>
      <w:r>
        <w:rPr>
          <w:rFonts w:ascii="Arial" w:cs="Arial" w:eastAsia="Arial" w:hAnsi="Arial"/>
          <w:sz w:val="12"/>
          <w:szCs w:val="12"/>
          <w:color w:val="auto"/>
        </w:rPr>
        <w:t xml:space="preserve"> — </w:t>
      </w:r>
      <w:r>
        <w:rPr>
          <w:rFonts w:ascii="Arial" w:cs="Arial" w:eastAsia="Arial" w:hAnsi="Arial"/>
          <w:sz w:val="12"/>
          <w:szCs w:val="12"/>
          <w:color w:val="231F20"/>
        </w:rPr>
        <w:t>Note 3,</w:t>
      </w:r>
      <w:r>
        <w:rPr>
          <w:rFonts w:ascii="Arial" w:cs="Arial" w:eastAsia="Arial" w:hAnsi="Arial"/>
          <w:sz w:val="12"/>
          <w:szCs w:val="12"/>
          <w:color w:val="auto"/>
        </w:rPr>
        <w:t xml:space="preserve"> </w:t>
      </w:r>
      <w:r>
        <w:rPr>
          <w:rFonts w:ascii="Arial" w:cs="Arial" w:eastAsia="Arial" w:hAnsi="Arial"/>
          <w:sz w:val="12"/>
          <w:szCs w:val="12"/>
          <w:i w:val="1"/>
          <w:iCs w:val="1"/>
          <w:color w:val="231F20"/>
        </w:rPr>
        <w:t>Business</w:t>
      </w:r>
      <w:r>
        <w:rPr>
          <w:rFonts w:ascii="Arial" w:cs="Arial" w:eastAsia="Arial" w:hAnsi="Arial"/>
          <w:sz w:val="12"/>
          <w:szCs w:val="12"/>
          <w:color w:val="auto"/>
        </w:rPr>
        <w:t xml:space="preserve"> </w:t>
      </w:r>
      <w:r>
        <w:rPr>
          <w:rFonts w:ascii="Arial" w:cs="Arial" w:eastAsia="Arial" w:hAnsi="Arial"/>
          <w:sz w:val="12"/>
          <w:szCs w:val="12"/>
          <w:i w:val="1"/>
          <w:iCs w:val="1"/>
          <w:color w:val="231F20"/>
        </w:rPr>
        <w:t>Acquisitions</w:t>
      </w:r>
      <w:r>
        <w:rPr>
          <w:rFonts w:ascii="Arial" w:cs="Arial" w:eastAsia="Arial" w:hAnsi="Arial"/>
          <w:sz w:val="12"/>
          <w:szCs w:val="12"/>
          <w:color w:val="000000"/>
        </w:rPr>
        <w:t>, to the Consolidated Financial Statements. Additionally, for all periods prior to the formation of the Company, the data below reflects the Company's accounting predecessor, or NRG Yield, the financial</w:t>
      </w:r>
      <w:r>
        <w:rPr>
          <w:rFonts w:ascii="Arial" w:cs="Arial" w:eastAsia="Arial" w:hAnsi="Arial"/>
          <w:sz w:val="12"/>
          <w:szCs w:val="12"/>
          <w:i w:val="1"/>
          <w:iCs w:val="1"/>
          <w:color w:val="231F20"/>
        </w:rPr>
        <w:t xml:space="preserve"> </w:t>
      </w:r>
      <w:r>
        <w:rPr>
          <w:rFonts w:ascii="Arial" w:cs="Arial" w:eastAsia="Arial" w:hAnsi="Arial"/>
          <w:sz w:val="12"/>
          <w:szCs w:val="12"/>
          <w:color w:val="000000"/>
        </w:rPr>
        <w:t>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data below reflects the Company's consolidated financial results.</w:t>
      </w:r>
    </w:p>
    <w:p>
      <w:pPr>
        <w:spacing w:after="0" w:line="8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 xml:space="preserve">This historical data should be read in conjunction with the Consolidated Financial Statements and the related notes thereto in Item 15 and Item 7, </w:t>
      </w:r>
      <w:r>
        <w:rPr>
          <w:rFonts w:ascii="Arial" w:cs="Arial" w:eastAsia="Arial" w:hAnsi="Arial"/>
          <w:sz w:val="13"/>
          <w:szCs w:val="13"/>
          <w:i w:val="1"/>
          <w:iCs w:val="1"/>
          <w:color w:val="auto"/>
        </w:rPr>
        <w:t>Management's Discussion and Analysis of Financial Condition</w:t>
      </w:r>
      <w:r>
        <w:rPr>
          <w:rFonts w:ascii="Arial" w:cs="Arial" w:eastAsia="Arial" w:hAnsi="Arial"/>
          <w:sz w:val="13"/>
          <w:szCs w:val="13"/>
          <w:color w:val="auto"/>
        </w:rPr>
        <w:t xml:space="preserve"> </w:t>
      </w:r>
      <w:r>
        <w:rPr>
          <w:rFonts w:ascii="Arial" w:cs="Arial" w:eastAsia="Arial" w:hAnsi="Arial"/>
          <w:sz w:val="13"/>
          <w:szCs w:val="13"/>
          <w:i w:val="1"/>
          <w:iCs w:val="1"/>
          <w:color w:val="auto"/>
        </w:rPr>
        <w:t>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0"/>
                <w:szCs w:val="10"/>
                <w:b w:val="1"/>
                <w:bCs w:val="1"/>
                <w:color w:val="auto"/>
              </w:rPr>
              <w:t>Fiscal year ended December 31,</w:t>
            </w: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84"/>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2013</w:t>
            </w:r>
          </w:p>
        </w:tc>
      </w:tr>
      <w:tr>
        <w:trPr>
          <w:trHeight w:val="188"/>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Statement of Income Data:</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Operating Revenues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Total operating revenues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844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451</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Operating Costs and Expenses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Cost of operations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156</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240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98</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Impairment losses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General and administrative</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w:t>
            </w:r>
          </w:p>
        </w:tc>
      </w:tr>
      <w:tr>
        <w:trPr>
          <w:trHeight w:val="194"/>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Acquisition-related transaction and integration costs</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7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Total operating costs and expenses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726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811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640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531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261</w:t>
            </w:r>
          </w:p>
        </w:tc>
      </w:tr>
      <w:tr>
        <w:trPr>
          <w:trHeight w:val="179"/>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Income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313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190</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Other Income (Expense)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Equity in earnings of unconsolidated affiliates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Other income, net</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on debt extinguishment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90"/>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Interest expense</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(293)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(72)</w:t>
            </w:r>
          </w:p>
        </w:tc>
      </w:tr>
      <w:tr>
        <w:trPr>
          <w:trHeight w:val="179"/>
        </w:trPr>
        <w:tc>
          <w:tcPr>
            <w:tcW w:w="63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other expense, net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(209)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(233)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(41)</w:t>
            </w:r>
          </w:p>
        </w:tc>
      </w:tr>
      <w:tr>
        <w:trPr>
          <w:trHeight w:val="17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Income Before Income Taxes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149</w:t>
            </w:r>
          </w:p>
        </w:tc>
      </w:tr>
      <w:tr>
        <w:trPr>
          <w:trHeight w:val="17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tax expense (benefit)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w:t>
            </w:r>
          </w:p>
        </w:tc>
      </w:tr>
      <w:tr>
        <w:trPr>
          <w:trHeight w:val="17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Income</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62</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152</w:t>
            </w:r>
          </w:p>
        </w:tc>
      </w:tr>
      <w:tr>
        <w:trPr>
          <w:trHeight w:val="174"/>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Less: Net (loss) income attributable to noncontrolling interests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(111)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7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Income Attributable to NRG Yield LLC</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114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152</w:t>
            </w:r>
          </w:p>
        </w:tc>
      </w:tr>
      <w:tr>
        <w:trPr>
          <w:trHeight w:val="204"/>
        </w:trPr>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Other Financial Data:</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Capital expenditures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790</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Cash Flow Data:</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cash provided by (used in):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Operating activities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516</w:t>
            </w:r>
          </w:p>
        </w:tc>
        <w:tc>
          <w:tcPr>
            <w:tcW w:w="12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577</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424</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363</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174</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(283)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(1,098)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(987)</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Financing activities</w:t>
            </w:r>
          </w:p>
        </w:tc>
        <w:tc>
          <w:tcPr>
            <w:tcW w:w="2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(416)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0"/>
                <w:szCs w:val="10"/>
                <w:color w:val="auto"/>
              </w:rPr>
              <w:t>(202)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767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853</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Sheet Data (at period end):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Cash and cash equivalents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146</w:t>
            </w:r>
          </w:p>
        </w:tc>
        <w:tc>
          <w:tcPr>
            <w:tcW w:w="12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321</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430</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60</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Property, plant and equipment,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5,980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6,119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3,488</w:t>
            </w: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Total assets</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8,154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8,746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8,759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8,930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4,831</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Long-term debt, including current maturities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5,845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6,069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5,692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5,828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2,916</w:t>
            </w: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Total liabilities</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6,146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6,382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6,054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6,173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3,221</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Total members' equity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2,364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2,757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1,610</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80"/>
          </w:cols>
          <w:pgMar w:left="220" w:top="710" w:right="19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 xml:space="preserve">Item 7 </w:t>
      </w:r>
      <w:r>
        <w:rPr>
          <w:rFonts w:ascii="Arial" w:cs="Arial" w:eastAsia="Arial" w:hAnsi="Arial"/>
          <w:sz w:val="13"/>
          <w:szCs w:val="13"/>
          <w:color w:val="auto"/>
        </w:rPr>
        <w:t>—</w:t>
      </w:r>
      <w:r>
        <w:rPr>
          <w:rFonts w:ascii="Arial" w:cs="Arial" w:eastAsia="Arial" w:hAnsi="Arial"/>
          <w:sz w:val="13"/>
          <w:szCs w:val="13"/>
          <w:b w:val="1"/>
          <w:bCs w:val="1"/>
          <w:color w:val="auto"/>
        </w:rPr>
        <w:t xml:space="preserve"> Management's Discussion and Analysis of Financial Condition and the Results of Operations</w:t>
      </w:r>
    </w:p>
    <w:p>
      <w:pPr>
        <w:spacing w:after="0" w:line="127"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3"/>
          <w:szCs w:val="13"/>
          <w:color w:val="auto"/>
        </w:rPr>
        <w:t xml:space="preserve">The following discussion analyzes the Company's historical financial condition and results of operations, which were recast to include the effect of the Drop Down Assets acquired from NRG. As further discussed in Item 15 — Note 1, </w:t>
      </w:r>
      <w:r>
        <w:rPr>
          <w:rFonts w:ascii="Arial" w:cs="Arial" w:eastAsia="Arial" w:hAnsi="Arial"/>
          <w:sz w:val="13"/>
          <w:szCs w:val="13"/>
          <w:i w:val="1"/>
          <w:iCs w:val="1"/>
          <w:color w:val="auto"/>
        </w:rPr>
        <w:t>Nature of Business</w:t>
      </w:r>
      <w:r>
        <w:rPr>
          <w:rFonts w:ascii="Arial" w:cs="Arial" w:eastAsia="Arial" w:hAnsi="Arial"/>
          <w:sz w:val="13"/>
          <w:szCs w:val="13"/>
          <w:color w:val="auto"/>
        </w:rPr>
        <w:t>, to the Consolidated Financial Statements, the purchases of these assets were accounted for in accordance with ASC 805-50</w:t>
      </w:r>
      <w:r>
        <w:rPr>
          <w:rFonts w:ascii="Arial" w:cs="Arial" w:eastAsia="Arial" w:hAnsi="Arial"/>
          <w:sz w:val="13"/>
          <w:szCs w:val="13"/>
          <w:i w:val="1"/>
          <w:iCs w:val="1"/>
          <w:color w:val="auto"/>
        </w:rPr>
        <w:t>, Business Combinations - Related Issues</w:t>
      </w:r>
      <w:r>
        <w:rPr>
          <w:rFonts w:ascii="Arial" w:cs="Arial" w:eastAsia="Arial" w:hAnsi="Arial"/>
          <w:sz w:val="13"/>
          <w:szCs w:val="13"/>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on the Company's consolidated balance sheet. In accordance with GAAP,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65" w:lineRule="exact"/>
        <w:rPr>
          <w:sz w:val="20"/>
          <w:szCs w:val="20"/>
          <w:color w:val="auto"/>
        </w:rPr>
      </w:pPr>
    </w:p>
    <w:p>
      <w:pPr>
        <w:jc w:val="both"/>
        <w:ind w:firstLine="466"/>
        <w:spacing w:after="0" w:line="314" w:lineRule="auto"/>
        <w:rPr>
          <w:sz w:val="20"/>
          <w:szCs w:val="20"/>
          <w:color w:val="auto"/>
        </w:rPr>
      </w:pPr>
      <w:r>
        <w:rPr>
          <w:rFonts w:ascii="Arial" w:cs="Arial" w:eastAsia="Arial" w:hAnsi="Arial"/>
          <w:sz w:val="12"/>
          <w:szCs w:val="12"/>
          <w:color w:val="auto"/>
        </w:rPr>
        <w:t xml:space="preserve">As you read this discussion and analysis, refer to the Company's Consolidated Statements of Operations to this Form 10-K, which present the results of operations for the years ended December 31, 2017, 2016 and 2015. Also refer to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and Item 1A — </w:t>
      </w:r>
      <w:r>
        <w:rPr>
          <w:rFonts w:ascii="Arial" w:cs="Arial" w:eastAsia="Arial" w:hAnsi="Arial"/>
          <w:sz w:val="12"/>
          <w:szCs w:val="12"/>
          <w:i w:val="1"/>
          <w:iCs w:val="1"/>
          <w:color w:val="auto"/>
        </w:rPr>
        <w:t>Risk Factors</w:t>
      </w:r>
      <w:r>
        <w:rPr>
          <w:rFonts w:ascii="Arial" w:cs="Arial" w:eastAsia="Arial" w:hAnsi="Arial"/>
          <w:sz w:val="12"/>
          <w:szCs w:val="12"/>
          <w:color w:val="auto"/>
        </w:rPr>
        <w:t>, which include detailed discussions of various items impacting the Company's business, results of operations and financial condition.</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3"/>
          <w:szCs w:val="13"/>
          <w:color w:val="231F20"/>
        </w:rPr>
        <w:t>The discussion and analysis below has been organized as follows:</w:t>
      </w:r>
    </w:p>
    <w:p>
      <w:pPr>
        <w:spacing w:after="0" w:line="84" w:lineRule="exact"/>
        <w:rPr>
          <w:sz w:val="20"/>
          <w:szCs w:val="20"/>
          <w:color w:val="auto"/>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Executive Summary, including a description of the business and significant events that are important to understanding the results of operations and financial condition;</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Results of operations, including an explanation of significant differences between the periods in the specific line items of the consolidated statements of operations;</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Financial condition addressing liquidity position, sources and uses of cash, capital resources and requirements, commitments, and off-balance sheet arrangements;</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Known trends that may affect the Company’s results of operations and financial condition in the future; and</w:t>
      </w:r>
    </w:p>
    <w:p>
      <w:pPr>
        <w:spacing w:after="0" w:line="44" w:lineRule="exact"/>
        <w:rPr>
          <w:rFonts w:ascii="Arial" w:cs="Arial" w:eastAsia="Arial" w:hAnsi="Arial"/>
          <w:sz w:val="13"/>
          <w:szCs w:val="13"/>
          <w:color w:val="auto"/>
        </w:rPr>
      </w:pPr>
    </w:p>
    <w:p>
      <w:pPr>
        <w:ind w:left="940" w:right="180" w:hanging="243"/>
        <w:spacing w:after="0" w:line="271" w:lineRule="auto"/>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Critical accounting policies which are most important to both the portrayal of the Company's financial condition and results of operations, and which require management's most difficult, subjective or complex judgment.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60"/>
          </w:cols>
          <w:pgMar w:left="220" w:top="710" w:right="2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Executive Summary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Introduction and Overview</w:t>
      </w:r>
    </w:p>
    <w:p>
      <w:pPr>
        <w:spacing w:after="0" w:line="127" w:lineRule="exact"/>
        <w:rPr>
          <w:sz w:val="20"/>
          <w:szCs w:val="20"/>
          <w:color w:val="auto"/>
        </w:rPr>
      </w:pPr>
    </w:p>
    <w:p>
      <w:pPr>
        <w:jc w:val="both"/>
        <w:ind w:right="20" w:firstLine="466"/>
        <w:spacing w:after="0" w:line="364" w:lineRule="auto"/>
        <w:rPr>
          <w:sz w:val="20"/>
          <w:szCs w:val="20"/>
          <w:color w:val="auto"/>
        </w:rPr>
      </w:pPr>
      <w:r>
        <w:rPr>
          <w:rFonts w:ascii="Arial" w:cs="Arial" w:eastAsia="Arial" w:hAnsi="Arial"/>
          <w:sz w:val="11"/>
          <w:szCs w:val="11"/>
          <w:color w:val="auto"/>
        </w:rPr>
        <w:t>The Company is a dividend growth-oriented company that has historically served as the primary vehicle through which NRG owns, operates and acquires contracted renewable and conventional generation and thermal infrastructure assets. The Company believes it is well positioned to be a premier company for investors seeking stable and growing distribution income from a diversified portfolio of lower-risk high-quality assets.</w:t>
      </w:r>
    </w:p>
    <w:p>
      <w:pPr>
        <w:spacing w:after="0" w:line="44"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 xml:space="preserve">5,118 net MW. </w:t>
      </w:r>
      <w:r>
        <w:rPr>
          <w:rFonts w:ascii="Arial" w:cs="Arial" w:eastAsia="Arial" w:hAnsi="Arial"/>
          <w:sz w:val="12"/>
          <w:szCs w:val="12"/>
          <w:color w:val="000000"/>
        </w:rPr>
        <w:t>Each of these assets sells substantially all of its output pursuant to long-term offtake agreements with creditworthy counterparties. The average remaining contract duration of these offtake agreements was</w:t>
      </w:r>
      <w:r>
        <w:rPr>
          <w:rFonts w:ascii="Arial" w:cs="Arial" w:eastAsia="Arial" w:hAnsi="Arial"/>
          <w:sz w:val="12"/>
          <w:szCs w:val="12"/>
          <w:color w:val="231F20"/>
        </w:rPr>
        <w:t xml:space="preserve"> </w:t>
      </w:r>
      <w:r>
        <w:rPr>
          <w:rFonts w:ascii="Arial" w:cs="Arial" w:eastAsia="Arial" w:hAnsi="Arial"/>
          <w:sz w:val="12"/>
          <w:szCs w:val="12"/>
          <w:color w:val="000000"/>
        </w:rPr>
        <w:t xml:space="preserve">approximately </w:t>
      </w:r>
      <w:r>
        <w:rPr>
          <w:rFonts w:ascii="Arial" w:cs="Arial" w:eastAsia="Arial" w:hAnsi="Arial"/>
          <w:sz w:val="12"/>
          <w:szCs w:val="12"/>
          <w:color w:val="231F20"/>
        </w:rPr>
        <w:t>15 years as of</w:t>
      </w:r>
      <w:r>
        <w:rPr>
          <w:rFonts w:ascii="Arial" w:cs="Arial" w:eastAsia="Arial" w:hAnsi="Arial"/>
          <w:sz w:val="12"/>
          <w:szCs w:val="12"/>
          <w:color w:val="000000"/>
        </w:rPr>
        <w:t xml:space="preserve"> December 31, 2017</w:t>
      </w:r>
      <w:r>
        <w:rPr>
          <w:rFonts w:ascii="Arial" w:cs="Arial" w:eastAsia="Arial" w:hAnsi="Arial"/>
          <w:sz w:val="12"/>
          <w:szCs w:val="12"/>
          <w:color w:val="231F20"/>
        </w:rPr>
        <w:t>,</w:t>
      </w:r>
      <w:r>
        <w:rPr>
          <w:rFonts w:ascii="Arial" w:cs="Arial" w:eastAsia="Arial" w:hAnsi="Arial"/>
          <w:sz w:val="12"/>
          <w:szCs w:val="12"/>
          <w:color w:val="000000"/>
        </w:rPr>
        <w:t xml:space="preserve"> based on CAFD</w:t>
      </w:r>
      <w:r>
        <w:rPr>
          <w:rFonts w:ascii="Arial" w:cs="Arial" w:eastAsia="Arial" w:hAnsi="Arial"/>
          <w:sz w:val="12"/>
          <w:szCs w:val="12"/>
          <w:color w:val="231F20"/>
        </w:rPr>
        <w:t>. The Company also owns thermal infrastructure assets with an aggregate steam and chilled water capacity of 1,319 net MWt and electric generation</w:t>
      </w:r>
      <w:r>
        <w:rPr>
          <w:rFonts w:ascii="Arial" w:cs="Arial" w:eastAsia="Arial" w:hAnsi="Arial"/>
          <w:sz w:val="12"/>
          <w:szCs w:val="12"/>
          <w:color w:val="000000"/>
        </w:rPr>
        <w:t xml:space="preserve"> </w:t>
      </w:r>
      <w:r>
        <w:rPr>
          <w:rFonts w:ascii="Arial" w:cs="Arial" w:eastAsia="Arial" w:hAnsi="Arial"/>
          <w:sz w:val="12"/>
          <w:szCs w:val="12"/>
          <w:color w:val="231F20"/>
        </w:rPr>
        <w:t>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Sponsorship with Global Infrastructure Partners</w:t>
      </w:r>
    </w:p>
    <w:p>
      <w:pPr>
        <w:spacing w:after="0" w:line="127"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129" w:lineRule="exact"/>
        <w:rPr>
          <w:sz w:val="20"/>
          <w:szCs w:val="20"/>
          <w:color w:val="auto"/>
        </w:rPr>
      </w:pPr>
    </w:p>
    <w:p>
      <w:pPr>
        <w:ind w:left="280"/>
        <w:spacing w:after="0" w:line="271" w:lineRule="auto"/>
        <w:rPr>
          <w:sz w:val="20"/>
          <w:szCs w:val="20"/>
          <w:color w:val="auto"/>
        </w:rPr>
      </w:pPr>
      <w:r>
        <w:rPr>
          <w:rFonts w:ascii="Arial" w:cs="Arial" w:eastAsia="Arial" w:hAnsi="Arial"/>
          <w:sz w:val="13"/>
          <w:szCs w:val="13"/>
          <w:i w:val="1"/>
          <w:iCs w:val="1"/>
          <w:color w:val="auto"/>
        </w:rPr>
        <w:t xml:space="preserve">Minimized impact to CAFD from potential change in control costs </w:t>
      </w:r>
      <w:r>
        <w:rPr>
          <w:rFonts w:ascii="Arial" w:cs="Arial" w:eastAsia="Arial" w:hAnsi="Arial"/>
          <w:sz w:val="13"/>
          <w:szCs w:val="13"/>
          <w:color w:val="auto"/>
        </w:rPr>
        <w:t>— No more than $10 million in reduced annual CAFD on a recurring basis that would result from changes in the Company's cost structure or any</w:t>
      </w:r>
      <w:r>
        <w:rPr>
          <w:rFonts w:ascii="Arial" w:cs="Arial" w:eastAsia="Arial" w:hAnsi="Arial"/>
          <w:sz w:val="13"/>
          <w:szCs w:val="13"/>
          <w:i w:val="1"/>
          <w:iCs w:val="1"/>
          <w:color w:val="auto"/>
        </w:rPr>
        <w:t xml:space="preserve"> </w:t>
      </w:r>
      <w:r>
        <w:rPr>
          <w:rFonts w:ascii="Arial" w:cs="Arial" w:eastAsia="Arial" w:hAnsi="Arial"/>
          <w:sz w:val="13"/>
          <w:szCs w:val="13"/>
          <w:color w:val="auto"/>
        </w:rPr>
        <w:t>impact from various consents.</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Enhanced ROFO pipeline </w:t>
      </w:r>
      <w:r>
        <w:rPr>
          <w:rFonts w:ascii="Arial" w:cs="Arial" w:eastAsia="Arial" w:hAnsi="Arial"/>
          <w:sz w:val="13"/>
          <w:szCs w:val="13"/>
          <w:color w:val="auto"/>
        </w:rPr>
        <w:t>— Upon closing, the Company will enter into a new ROFO agreement with GIP that immediately adds 550 MW to the current pipeline. The NRG ROFO Agreement will be amended to</w:t>
      </w:r>
      <w:r>
        <w:rPr>
          <w:rFonts w:ascii="Arial" w:cs="Arial" w:eastAsia="Arial" w:hAnsi="Arial"/>
          <w:sz w:val="13"/>
          <w:szCs w:val="13"/>
          <w:i w:val="1"/>
          <w:iCs w:val="1"/>
          <w:color w:val="auto"/>
        </w:rPr>
        <w:t xml:space="preserve"> </w:t>
      </w:r>
      <w:r>
        <w:rPr>
          <w:rFonts w:ascii="Arial" w:cs="Arial" w:eastAsia="Arial" w:hAnsi="Arial"/>
          <w:sz w:val="13"/>
          <w:szCs w:val="13"/>
          <w:color w:val="auto"/>
        </w:rPr>
        <w:t>remove the Ivanpah solar facility.</w:t>
      </w:r>
    </w:p>
    <w:p>
      <w:pPr>
        <w:spacing w:after="0" w:line="129"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Financial cooperation and support </w:t>
      </w:r>
      <w:r>
        <w:rPr>
          <w:rFonts w:ascii="Arial" w:cs="Arial" w:eastAsia="Arial" w:hAnsi="Arial"/>
          <w:sz w:val="13"/>
          <w:szCs w:val="13"/>
          <w:color w:val="auto"/>
        </w:rPr>
        <w:t>— GIP has arranged a $1.5 billion backstop credit facility to manage any change of control costs associated with the Company's corporate debt. GIP has also committed to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up to $400 million in financial support, if necessary, for the purchase of the Carlsbad Energy Center.</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Voting and Governance Agreement </w:t>
      </w:r>
      <w:r>
        <w:rPr>
          <w:rFonts w:ascii="Arial" w:cs="Arial" w:eastAsia="Arial" w:hAnsi="Arial"/>
          <w:sz w:val="13"/>
          <w:szCs w:val="13"/>
          <w:color w:val="auto"/>
        </w:rPr>
        <w:t>— As part of the NRG Transaction, the parties have agreed to enter into a voting and governance agreement, which would provide that:</w:t>
      </w:r>
    </w:p>
    <w:p>
      <w:pPr>
        <w:spacing w:after="0" w:line="132"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Chief Executive Officer of Yield, Inc. will at all times be a full-time Yield, Inc. employee appointed by the Board of Directors, or the Board, of Yield, Inc.;</w:t>
      </w:r>
    </w:p>
    <w:p>
      <w:pPr>
        <w:spacing w:after="0" w:line="13" w:lineRule="exact"/>
        <w:rPr>
          <w:rFonts w:ascii="Arial" w:cs="Arial" w:eastAsia="Arial" w:hAnsi="Arial"/>
          <w:sz w:val="13"/>
          <w:szCs w:val="13"/>
          <w:color w:val="auto"/>
        </w:rPr>
      </w:pPr>
    </w:p>
    <w:p>
      <w:pPr>
        <w:ind w:left="700" w:right="20" w:hanging="236"/>
        <w:spacing w:after="0" w:line="249"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parties thereto will use their commercially reasonable efforts to submit to Yield, Inc.’s stockholders at Yield, Inc.'s 2019 Annual Meeting of Stockholders a charter amendment to classify the Board into two classes (with the independent directors and directors designated by an affiliate of GIP allocated across the two classes); and</w:t>
      </w:r>
    </w:p>
    <w:p>
      <w:pPr>
        <w:ind w:left="700" w:right="20" w:hanging="236"/>
        <w:spacing w:after="0" w:line="259"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Board will be expanded to nine members at the closing of the NRG Transaction, comprised at that date of five directors designated by GIP, three independent directors and Yield, Inc.’s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80"/>
          </w:cols>
          <w:pgMar w:left="220" w:top="710" w:right="19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Significant Events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NRG Transaction</w:t>
      </w:r>
    </w:p>
    <w:p>
      <w:pPr>
        <w:spacing w:after="0" w:line="123" w:lineRule="exact"/>
        <w:rPr>
          <w:sz w:val="20"/>
          <w:szCs w:val="20"/>
          <w:color w:val="auto"/>
        </w:rPr>
      </w:pPr>
    </w:p>
    <w:p>
      <w:pPr>
        <w:ind w:left="460" w:hanging="229"/>
        <w:spacing w:after="0" w:line="271"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February 6, 2018, NRG entered into agreements with GIP for the sale of 100% of its interest in NRG Yield, Inc. and its renewable energy development and operations platform. In connection with this, the Company entered into a Consent and Indemnity Agreement with NRG and GIP. For further discussion, refer to Item 1 — Business.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Drop Down Assets Acquisitions</w:t>
      </w:r>
    </w:p>
    <w:p>
      <w:pPr>
        <w:spacing w:after="0" w:line="123" w:lineRule="exact"/>
        <w:rPr>
          <w:sz w:val="20"/>
          <w:szCs w:val="20"/>
          <w:color w:val="auto"/>
        </w:rPr>
      </w:pPr>
    </w:p>
    <w:p>
      <w:pPr>
        <w:jc w:val="both"/>
        <w:ind w:left="460"/>
        <w:spacing w:after="0" w:line="260" w:lineRule="auto"/>
        <w:rPr>
          <w:sz w:val="20"/>
          <w:szCs w:val="20"/>
          <w:color w:val="auto"/>
        </w:rPr>
      </w:pPr>
      <w:r>
        <w:rPr>
          <w:rFonts w:ascii="Arial" w:cs="Arial" w:eastAsia="Arial" w:hAnsi="Arial"/>
          <w:sz w:val="13"/>
          <w:szCs w:val="13"/>
          <w:color w:val="auto"/>
        </w:rPr>
        <w:t>On February 6, 2018, the Company entered into an agreement with NRG to purchase its interest in Carlsbad Energy Holdings LLC, which indirectly owns the Carlsbad project, a 527 MW natural gas fired project in Carlsbad, CA. The purchase price for the transaction is $365 million in cash consideration, subject to working capital and other adjustments. The transaction is expected to close in the fourth quarter of 2018 and is contingent upon the consummation of the NRG Transaction.</w:t>
      </w:r>
    </w:p>
    <w:p>
      <w:pPr>
        <w:spacing w:after="0" w:line="97" w:lineRule="exact"/>
        <w:rPr>
          <w:sz w:val="20"/>
          <w:szCs w:val="20"/>
          <w:color w:val="auto"/>
        </w:rPr>
      </w:pPr>
    </w:p>
    <w:p>
      <w:pPr>
        <w:ind w:left="460" w:hanging="229"/>
        <w:spacing w:after="0" w:line="271"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January 24, 2018, the Company entered into an agreement with NRG to acquire 100% of NRG's ownership interest in Buckthorn Solar for total consideration of $42 million, subject to adjustments, and is expected to close in the first quarter of 2018.</w:t>
      </w:r>
    </w:p>
    <w:p>
      <w:pPr>
        <w:spacing w:after="0" w:line="89" w:lineRule="exact"/>
        <w:rPr>
          <w:rFonts w:ascii="Arial" w:cs="Arial" w:eastAsia="Arial" w:hAnsi="Arial"/>
          <w:sz w:val="13"/>
          <w:szCs w:val="13"/>
          <w:color w:val="auto"/>
        </w:rPr>
      </w:pPr>
    </w:p>
    <w:p>
      <w:pPr>
        <w:ind w:left="460" w:hanging="229"/>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As discussed in Item 15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acquired the following:</w:t>
      </w:r>
    </w:p>
    <w:p>
      <w:pPr>
        <w:spacing w:after="0" w:line="122" w:lineRule="exact"/>
        <w:rPr>
          <w:rFonts w:ascii="Arial" w:cs="Arial" w:eastAsia="Arial" w:hAnsi="Arial"/>
          <w:sz w:val="13"/>
          <w:szCs w:val="13"/>
          <w:color w:val="auto"/>
        </w:rPr>
      </w:pPr>
    </w:p>
    <w:p>
      <w:pPr>
        <w:jc w:val="both"/>
        <w:ind w:left="940" w:hanging="243"/>
        <w:spacing w:after="0" w:line="260" w:lineRule="auto"/>
        <w:tabs>
          <w:tab w:leader="none" w:pos="9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On November 1, 2017, a 38 MW solar portfolio primarily comprised of assets from NRG's Solar Power Partners (SPP) funds and other projects developed by NRG, or the November 2017 Drop Down Assets, for cash consideration of $74 million plus assumed non-recourse debt of $26 million. During the quarter ended September 30, 2017, NRG recorded an impairment of $13 million related to the November 2017 Drop Down Assets.</w:t>
      </w:r>
    </w:p>
    <w:p>
      <w:pPr>
        <w:spacing w:after="0" w:line="97" w:lineRule="exact"/>
        <w:rPr>
          <w:rFonts w:ascii="Arial" w:cs="Arial" w:eastAsia="Arial" w:hAnsi="Arial"/>
          <w:sz w:val="13"/>
          <w:szCs w:val="13"/>
          <w:color w:val="auto"/>
        </w:rPr>
      </w:pPr>
    </w:p>
    <w:p>
      <w:pPr>
        <w:jc w:val="both"/>
        <w:ind w:left="940" w:hanging="243"/>
        <w:spacing w:after="0" w:line="260" w:lineRule="auto"/>
        <w:tabs>
          <w:tab w:leader="none" w:pos="9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On August 1, 2017, the remaining 25% interest in NRG Wind TE Holdco, a portfolio of 12 wind projects, from NRG for total cash consideration of $44 million. The purchase agreement also included potential additional payments to NRG dependent upon actual energy prices for merchant periods beginning in 2027, which were estimated and accrued as contingent consideration in the amount of $8 million as of December 31, 2017.</w:t>
      </w:r>
    </w:p>
    <w:p>
      <w:pPr>
        <w:spacing w:after="0" w:line="97" w:lineRule="exact"/>
        <w:rPr>
          <w:rFonts w:ascii="Arial" w:cs="Arial" w:eastAsia="Arial" w:hAnsi="Arial"/>
          <w:sz w:val="13"/>
          <w:szCs w:val="13"/>
          <w:color w:val="auto"/>
        </w:rPr>
      </w:pPr>
    </w:p>
    <w:p>
      <w:pPr>
        <w:ind w:left="940" w:hanging="243"/>
        <w:spacing w:after="0" w:line="314" w:lineRule="auto"/>
        <w:tabs>
          <w:tab w:leader="none" w:pos="9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On March 27, 2017, the following entities: Agua Caliente Borrower 2 LLC and NRG's interests in the Utah Solar Portfolio, for cash consideration of $132 million. The Company recorded the acquired interests as equity method investments. The Company also assumed non-recourse debt of $41 million and $287 million on Agua Caliente Borrower 2 LLC and the Utah Solar Portfolio.</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Losses</w:t>
      </w:r>
    </w:p>
    <w:p>
      <w:pPr>
        <w:spacing w:after="0" w:line="123" w:lineRule="exact"/>
        <w:rPr>
          <w:sz w:val="20"/>
          <w:szCs w:val="20"/>
          <w:color w:val="auto"/>
        </w:rPr>
      </w:pPr>
    </w:p>
    <w:p>
      <w:pPr>
        <w:jc w:val="both"/>
        <w:ind w:left="460" w:hanging="229"/>
        <w:spacing w:after="0" w:line="260"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During the fourth quarter of 2017, the Company recorded asset impairment losses of $31 million, with respect to Elbow Creek and Forward projects from the Renewables segment. For further discussion, refer to </w:t>
      </w:r>
      <w:r>
        <w:rPr>
          <w:rFonts w:ascii="Arial" w:cs="Arial" w:eastAsia="Arial" w:hAnsi="Arial"/>
          <w:sz w:val="13"/>
          <w:szCs w:val="13"/>
          <w:i w:val="1"/>
          <w:iCs w:val="1"/>
          <w:color w:val="auto"/>
        </w:rPr>
        <w:t xml:space="preserve">Management’s discussion of the results of operations for the years ended December 31, 2017 and 2016 and Critical Accounting Policies </w:t>
      </w:r>
      <w:r>
        <w:rPr>
          <w:rFonts w:ascii="Arial" w:cs="Arial" w:eastAsia="Arial" w:hAnsi="Arial"/>
          <w:sz w:val="13"/>
          <w:szCs w:val="13"/>
          <w:color w:val="auto"/>
        </w:rPr>
        <w:t>in this Item 7 below, as well as Item 15 — Note 9,</w:t>
      </w:r>
      <w:r>
        <w:rPr>
          <w:rFonts w:ascii="Arial" w:cs="Arial" w:eastAsia="Arial" w:hAnsi="Arial"/>
          <w:sz w:val="13"/>
          <w:szCs w:val="13"/>
          <w:i w:val="1"/>
          <w:iCs w:val="1"/>
          <w:color w:val="auto"/>
        </w:rPr>
        <w:t xml:space="preserve"> Asset Impairments</w:t>
      </w:r>
      <w:r>
        <w:rPr>
          <w:rFonts w:ascii="Arial" w:cs="Arial" w:eastAsia="Arial" w:hAnsi="Arial"/>
          <w:sz w:val="13"/>
          <w:szCs w:val="13"/>
          <w:color w:val="auto"/>
        </w:rPr>
        <w:t>,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23" w:lineRule="exact"/>
        <w:rPr>
          <w:sz w:val="20"/>
          <w:szCs w:val="20"/>
          <w:color w:val="auto"/>
        </w:rPr>
      </w:pPr>
    </w:p>
    <w:p>
      <w:pPr>
        <w:jc w:val="both"/>
        <w:ind w:left="460" w:hanging="229"/>
        <w:spacing w:after="0" w:line="292" w:lineRule="auto"/>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9" w:lineRule="exact"/>
        <w:rPr>
          <w:rFonts w:ascii="Arial" w:cs="Arial" w:eastAsia="Arial" w:hAnsi="Arial"/>
          <w:sz w:val="12"/>
          <w:szCs w:val="12"/>
          <w:color w:val="auto"/>
        </w:rPr>
      </w:pPr>
    </w:p>
    <w:p>
      <w:pPr>
        <w:jc w:val="both"/>
        <w:ind w:left="460" w:hanging="229"/>
        <w:spacing w:after="0" w:line="256"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3"/>
          <w:szCs w:val="13"/>
          <w:color w:val="231F20"/>
        </w:rPr>
        <w:t>The Series F Notes are secured</w:t>
      </w:r>
      <w:r>
        <w:rPr>
          <w:rFonts w:ascii="Arial" w:cs="Arial" w:eastAsia="Arial" w:hAnsi="Arial"/>
          <w:sz w:val="13"/>
          <w:szCs w:val="13"/>
          <w:color w:val="auto"/>
        </w:rPr>
        <w:t xml:space="preserve"> </w:t>
      </w:r>
      <w:r>
        <w:rPr>
          <w:rFonts w:ascii="Arial" w:cs="Arial" w:eastAsia="Arial" w:hAnsi="Arial"/>
          <w:sz w:val="13"/>
          <w:szCs w:val="13"/>
          <w:color w:val="231F20"/>
        </w:rPr>
        <w:t>by substantially all of the assets of NRG Energy Center Minneapolis LLC. NRG Thermal LLC has guaranteed the indebtedness and its guarantee is secured by a pledge of the equity interests in all of NRG Thermal LLC’s subsidiaries.</w:t>
      </w:r>
    </w:p>
    <w:p>
      <w:pPr>
        <w:spacing w:after="0" w:line="100" w:lineRule="exact"/>
        <w:rPr>
          <w:rFonts w:ascii="Arial" w:cs="Arial" w:eastAsia="Arial" w:hAnsi="Arial"/>
          <w:sz w:val="13"/>
          <w:szCs w:val="13"/>
          <w:color w:val="auto"/>
        </w:rPr>
      </w:pPr>
    </w:p>
    <w:p>
      <w:pPr>
        <w:ind w:left="460" w:hanging="229"/>
        <w:spacing w:after="0" w:line="271" w:lineRule="auto"/>
        <w:tabs>
          <w:tab w:leader="none" w:pos="460" w:val="left"/>
        </w:tabs>
        <w:numPr>
          <w:ilvl w:val="0"/>
          <w:numId w:val="17"/>
        </w:numPr>
        <w:rPr>
          <w:rFonts w:ascii="Arial" w:cs="Arial" w:eastAsia="Arial" w:hAnsi="Arial"/>
          <w:sz w:val="13"/>
          <w:szCs w:val="13"/>
          <w:i w:val="1"/>
          <w:iCs w:val="1"/>
          <w:color w:val="231F20"/>
        </w:rPr>
      </w:pPr>
      <w:r>
        <w:rPr>
          <w:rFonts w:ascii="Arial" w:cs="Arial" w:eastAsia="Arial" w:hAnsi="Arial"/>
          <w:sz w:val="13"/>
          <w:szCs w:val="13"/>
          <w:color w:val="auto"/>
        </w:rPr>
        <w:t xml:space="preserve">During the year ended December 31, 2017, NRG Yield, Inc. issued 1,921,866 shares of Class C common stock under the ATM Program for gross proceeds of $35 million and incurred commission fees of $346 thousand, as described in </w:t>
      </w:r>
      <w:r>
        <w:rPr>
          <w:rFonts w:ascii="Arial" w:cs="Arial" w:eastAsia="Arial" w:hAnsi="Arial"/>
          <w:sz w:val="13"/>
          <w:szCs w:val="13"/>
          <w:i w:val="1"/>
          <w:iCs w:val="1"/>
          <w:color w:val="auto"/>
        </w:rPr>
        <w:t>Sources of Liquidity</w:t>
      </w:r>
      <w:r>
        <w:rPr>
          <w:rFonts w:ascii="Arial" w:cs="Arial" w:eastAsia="Arial" w:hAnsi="Arial"/>
          <w:sz w:val="13"/>
          <w:szCs w:val="13"/>
          <w:color w:val="auto"/>
        </w:rPr>
        <w:t xml:space="preserve"> in this Item 7.</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60"/>
          </w:cols>
          <w:pgMar w:left="220" w:top="709" w:right="2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Environmental Matters and Regulatory Matters</w:t>
      </w:r>
    </w:p>
    <w:p>
      <w:pPr>
        <w:spacing w:after="0" w:line="127"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 xml:space="preserve">Details of environmental matters and regulatory matters are presented in Item 1 — </w:t>
      </w:r>
      <w:r>
        <w:rPr>
          <w:rFonts w:ascii="Arial" w:cs="Arial" w:eastAsia="Arial" w:hAnsi="Arial"/>
          <w:sz w:val="13"/>
          <w:szCs w:val="13"/>
          <w:i w:val="1"/>
          <w:iCs w:val="1"/>
          <w:color w:val="auto"/>
        </w:rPr>
        <w:t>Business, Regulatory Matters</w:t>
      </w:r>
      <w:r>
        <w:rPr>
          <w:rFonts w:ascii="Arial" w:cs="Arial" w:eastAsia="Arial" w:hAnsi="Arial"/>
          <w:sz w:val="13"/>
          <w:szCs w:val="13"/>
          <w:color w:val="auto"/>
        </w:rPr>
        <w:t xml:space="preserve"> and Item 1A— </w:t>
      </w:r>
      <w:r>
        <w:rPr>
          <w:rFonts w:ascii="Arial" w:cs="Arial" w:eastAsia="Arial" w:hAnsi="Arial"/>
          <w:sz w:val="13"/>
          <w:szCs w:val="13"/>
          <w:i w:val="1"/>
          <w:iCs w:val="1"/>
          <w:color w:val="auto"/>
        </w:rPr>
        <w:t>Risk Factors</w:t>
      </w:r>
      <w:r>
        <w:rPr>
          <w:rFonts w:ascii="Arial" w:cs="Arial" w:eastAsia="Arial" w:hAnsi="Arial"/>
          <w:sz w:val="13"/>
          <w:szCs w:val="13"/>
          <w:color w:val="auto"/>
        </w:rPr>
        <w:t>. Details of some of this information relate to costs that may impact the Company's financial results.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Trends Affecting Results of Operations and Future Business Performance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Wind and Solar Resource Availability</w:t>
      </w:r>
    </w:p>
    <w:p>
      <w:pPr>
        <w:spacing w:after="0" w:line="64"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Operational Matters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Walnut Creek Forced Outage</w:t>
      </w:r>
    </w:p>
    <w:p>
      <w:pPr>
        <w:spacing w:after="0" w:line="239"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the plant has performed reliably since then. The estimated cost of this outage is approximately $2 million after the recovery of insurance proceeds. Also, during 2017, the Company recorded a loss on disposal of assets of $14 million, in relation to the Unit 1 forced outage. In the third quarter of 2017, the Company, through Walnut Creek, executed an amendment to the contractual service agreement with the original equipment manufacturer to improve long term reliability. The amendment provides for the original equipment manufacturer to perform all required, currently available and future turbine reliability upgrades, and collateral damage reimbursement rights in exchange for an investment of $15 million that would be paid over the next five years, of which $8 million is expected to be paid in 2018.</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El Segundo Forced Outage</w:t>
      </w:r>
    </w:p>
    <w:p>
      <w:pPr>
        <w:spacing w:after="0" w:line="181" w:lineRule="exact"/>
        <w:rPr>
          <w:sz w:val="20"/>
          <w:szCs w:val="20"/>
          <w:color w:val="auto"/>
        </w:rPr>
      </w:pPr>
    </w:p>
    <w:p>
      <w:pPr>
        <w:ind w:right="440" w:firstLine="291"/>
        <w:spacing w:after="0" w:line="260" w:lineRule="auto"/>
        <w:rPr>
          <w:sz w:val="20"/>
          <w:szCs w:val="20"/>
          <w:color w:val="auto"/>
        </w:rPr>
      </w:pPr>
      <w:r>
        <w:rPr>
          <w:rFonts w:ascii="Arial" w:cs="Arial" w:eastAsia="Arial" w:hAnsi="Arial"/>
          <w:sz w:val="13"/>
          <w:szCs w:val="13"/>
          <w:color w:val="auto"/>
        </w:rPr>
        <w:t>In January 2017, the El Segundo Energy Center began a forced outage on Units 5 and 6 due to increasing vibrations on successive operations at Unit 5. In consultation with the Company’s operations and maintenance service provider, a subsidiary of NRG, the Company elected to replace the rotor on Unit 5. Both Unit 5 and 6 returned to service on February 24, 2017. In July 2017, the Company executed a warranty settlement agreement with the original equipment manufacturer that reduced total cost from $12 million to $5 million.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60"/>
          </w:cols>
          <w:pgMar w:left="220" w:top="710" w:right="219" w:bottom="1440" w:gutter="0" w:footer="0" w:header="0"/>
        </w:sectPr>
      </w:pPr>
    </w:p>
    <w:bookmarkStart w:id="39" w:name="page40"/>
    <w:bookmarkEnd w:id="39"/>
    <w:p>
      <w:pPr>
        <w:ind w:left="2"/>
        <w:spacing w:after="0"/>
        <w:rPr>
          <w:sz w:val="20"/>
          <w:szCs w:val="20"/>
          <w:color w:val="auto"/>
        </w:rPr>
      </w:pPr>
      <w:r>
        <w:rPr>
          <w:rFonts w:ascii="Arial" w:cs="Arial" w:eastAsia="Arial" w:hAnsi="Arial"/>
          <w:sz w:val="13"/>
          <w:szCs w:val="13"/>
          <w:b w:val="1"/>
          <w:bCs w:val="1"/>
          <w:color w:val="auto"/>
        </w:rPr>
        <w:t>Consolidated Results of Operations</w:t>
      </w:r>
    </w:p>
    <w:p>
      <w:pPr>
        <w:spacing w:after="0" w:line="12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2017 compared to 2016</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provides selected financial information:</w:t>
      </w:r>
    </w:p>
    <w:p>
      <w:pPr>
        <w:spacing w:after="0" w:line="11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w w:val="98"/>
              </w:rPr>
              <w:t>Year ended December 31,</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4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tcBorders>
              <w:bottom w:val="single" w:sz="8" w:color="CCEEFF"/>
            </w:tcBorders>
            <w:shd w:val="clear" w:color="auto" w:fill="CCEEFF"/>
          </w:tcPr>
          <w:p>
            <w:pPr>
              <w:spacing w:after="0"/>
              <w:rPr>
                <w:sz w:val="13"/>
                <w:szCs w:val="13"/>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2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Energy and capacity revenues</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1,078</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1,104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Contract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64"/>
        </w:trPr>
        <w:tc>
          <w:tcPr>
            <w:tcW w:w="20" w:type="dxa"/>
            <w:vAlign w:val="bottom"/>
          </w:tcPr>
          <w:p>
            <w:pPr>
              <w:spacing w:after="0"/>
              <w:rPr>
                <w:sz w:val="14"/>
                <w:szCs w:val="14"/>
                <w:color w:val="auto"/>
              </w:rPr>
            </w:pPr>
          </w:p>
        </w:tc>
        <w:tc>
          <w:tcPr>
            <w:tcW w:w="7480" w:type="dxa"/>
            <w:vAlign w:val="bottom"/>
            <w:gridSpan w:val="2"/>
          </w:tcPr>
          <w:p>
            <w:pPr>
              <w:ind w:left="180"/>
              <w:spacing w:after="0"/>
              <w:rPr>
                <w:sz w:val="20"/>
                <w:szCs w:val="20"/>
                <w:color w:val="auto"/>
              </w:rPr>
            </w:pPr>
            <w:r>
              <w:rPr>
                <w:rFonts w:ascii="Arial" w:cs="Arial" w:eastAsia="Arial" w:hAnsi="Arial"/>
                <w:sz w:val="13"/>
                <w:szCs w:val="13"/>
                <w:color w:val="auto"/>
              </w:rPr>
              <w:t>Total operating revenues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1,035</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Costs and Expenses</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Cost of fuels</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Emissions credit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Operations and maintenance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176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Other costs of operations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Impairment losses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General and administrative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Acquisition-related transaction and integration costs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480" w:type="dxa"/>
            <w:vAlign w:val="bottom"/>
            <w:gridSpan w:val="2"/>
          </w:tcPr>
          <w:p>
            <w:pPr>
              <w:ind w:left="240"/>
              <w:spacing w:after="0"/>
              <w:rPr>
                <w:sz w:val="20"/>
                <w:szCs w:val="20"/>
                <w:color w:val="auto"/>
              </w:rPr>
            </w:pPr>
            <w:r>
              <w:rPr>
                <w:rFonts w:ascii="Arial" w:cs="Arial" w:eastAsia="Arial" w:hAnsi="Arial"/>
                <w:sz w:val="13"/>
                <w:szCs w:val="13"/>
                <w:color w:val="auto"/>
              </w:rPr>
              <w:t>Total operating costs and expenses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726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811</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224</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59</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Other Income (Expense)</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Equity in earnings of unconsolidated affiliates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Other income, net</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Loss on debt extinguishment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Interest expense</w:t>
            </w:r>
          </w:p>
        </w:tc>
        <w:tc>
          <w:tcPr>
            <w:tcW w:w="2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(272)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Less: Net loss attributable to noncontrolling interests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(111)</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NRG Yield LLC</w:t>
            </w: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126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11</w:t>
            </w:r>
          </w:p>
        </w:tc>
        <w:tc>
          <w:tcPr>
            <w:tcW w:w="20" w:type="dxa"/>
            <w:vAlign w:val="bottom"/>
            <w:tcBorders>
              <w:top w:val="single" w:sz="8" w:color="auto"/>
              <w:bottom w:val="single" w:sz="8" w:color="auto"/>
            </w:tcBorders>
          </w:tcPr>
          <w:p>
            <w:pPr>
              <w:spacing w:after="0"/>
              <w:rPr>
                <w:sz w:val="17"/>
                <w:szCs w:val="17"/>
                <w:color w:val="auto"/>
              </w:rPr>
            </w:pPr>
          </w:p>
        </w:tc>
      </w:tr>
      <w:tr>
        <w:trPr>
          <w:trHeight w:val="38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7"/>
          </w:tcPr>
          <w:p>
            <w:pPr>
              <w:ind w:left="280"/>
              <w:spacing w:after="0"/>
              <w:rPr>
                <w:sz w:val="20"/>
                <w:szCs w:val="20"/>
                <w:color w:val="auto"/>
              </w:rPr>
            </w:pPr>
            <w:r>
              <w:rPr>
                <w:rFonts w:ascii="Arial" w:cs="Arial" w:eastAsia="Arial" w:hAnsi="Arial"/>
                <w:sz w:val="10"/>
                <w:szCs w:val="10"/>
                <w:b w:val="1"/>
                <w:bCs w:val="1"/>
                <w:color w:val="auto"/>
              </w:rPr>
              <w:t>Year ended 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Business metrics:</w:t>
            </w:r>
          </w:p>
        </w:tc>
        <w:tc>
          <w:tcPr>
            <w:tcW w:w="2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0"/>
                <w:szCs w:val="10"/>
                <w:b w:val="1"/>
                <w:bCs w:val="1"/>
                <w:color w:val="auto"/>
              </w:rPr>
              <w:t>2016</w:t>
            </w:r>
          </w:p>
        </w:tc>
        <w:tc>
          <w:tcPr>
            <w:tcW w:w="20" w:type="dxa"/>
            <w:vAlign w:val="bottom"/>
          </w:tcPr>
          <w:p>
            <w:pPr>
              <w:spacing w:after="0"/>
              <w:rPr>
                <w:sz w:val="16"/>
                <w:szCs w:val="16"/>
                <w:color w:val="auto"/>
              </w:rPr>
            </w:pPr>
          </w:p>
        </w:tc>
      </w:tr>
      <w:tr>
        <w:trPr>
          <w:trHeight w:val="188"/>
        </w:trPr>
        <w:tc>
          <w:tcPr>
            <w:tcW w:w="20" w:type="dxa"/>
            <w:vAlign w:val="bottom"/>
            <w:shd w:val="clear" w:color="auto" w:fill="CCEEFF"/>
          </w:tcPr>
          <w:p>
            <w:pPr>
              <w:spacing w:after="0"/>
              <w:rPr>
                <w:sz w:val="16"/>
                <w:szCs w:val="16"/>
                <w:color w:val="auto"/>
              </w:rPr>
            </w:pPr>
          </w:p>
        </w:tc>
        <w:tc>
          <w:tcPr>
            <w:tcW w:w="7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Renewables MWh generated/sold (in thousands) </w:t>
            </w:r>
            <w:r>
              <w:rPr>
                <w:rFonts w:ascii="Arial" w:cs="Arial" w:eastAsia="Arial" w:hAnsi="Arial"/>
                <w:sz w:val="18"/>
                <w:szCs w:val="18"/>
                <w:color w:val="auto"/>
                <w:vertAlign w:val="superscript"/>
              </w:rPr>
              <w:t>(a)</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7,291</w:t>
            </w: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80" w:type="dxa"/>
            <w:vAlign w:val="bottom"/>
            <w:gridSpan w:val="2"/>
          </w:tcPr>
          <w:p>
            <w:pPr>
              <w:spacing w:after="0" w:line="195" w:lineRule="exact"/>
              <w:rPr>
                <w:sz w:val="20"/>
                <w:szCs w:val="20"/>
                <w:color w:val="auto"/>
              </w:rPr>
            </w:pPr>
            <w:r>
              <w:rPr>
                <w:rFonts w:ascii="Arial" w:cs="Arial" w:eastAsia="Arial" w:hAnsi="Arial"/>
                <w:sz w:val="13"/>
                <w:szCs w:val="13"/>
                <w:color w:val="auto"/>
              </w:rPr>
              <w:t xml:space="preserve">Conventional MWh generated (in thousands) </w:t>
            </w:r>
            <w:r>
              <w:rPr>
                <w:rFonts w:ascii="Arial" w:cs="Arial" w:eastAsia="Arial" w:hAnsi="Arial"/>
                <w:sz w:val="18"/>
                <w:szCs w:val="18"/>
                <w:color w:val="auto"/>
                <w:vertAlign w:val="superscript"/>
              </w:rPr>
              <w:t>(a)(b)</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1,697</w:t>
            </w:r>
          </w:p>
        </w:tc>
        <w:tc>
          <w:tcPr>
            <w:tcW w:w="20" w:type="dxa"/>
            <w:vAlign w:val="bottom"/>
          </w:tcPr>
          <w:p>
            <w:pPr>
              <w:spacing w:after="0"/>
              <w:rPr>
                <w:sz w:val="16"/>
                <w:szCs w:val="16"/>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Thermal MWt sold (in thousands)</w:t>
            </w: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1,926</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1,966</w:t>
            </w:r>
          </w:p>
        </w:tc>
        <w:tc>
          <w:tcPr>
            <w:tcW w:w="20" w:type="dxa"/>
            <w:vAlign w:val="bottom"/>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3"/>
                <w:szCs w:val="13"/>
                <w:color w:val="auto"/>
              </w:rPr>
              <w:t xml:space="preserve">Thermal MWh sold (in thousands) </w:t>
            </w:r>
            <w:r>
              <w:rPr>
                <w:rFonts w:ascii="Arial" w:cs="Arial" w:eastAsia="Arial" w:hAnsi="Arial"/>
                <w:sz w:val="18"/>
                <w:szCs w:val="18"/>
                <w:color w:val="auto"/>
                <w:vertAlign w:val="superscript"/>
              </w:rPr>
              <w:t>(c)</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4185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40" w:lineRule="exact"/>
        <w:rPr>
          <w:sz w:val="20"/>
          <w:szCs w:val="20"/>
          <w:color w:val="auto"/>
        </w:rPr>
      </w:pPr>
    </w:p>
    <w:p>
      <w:pPr>
        <w:ind w:left="82" w:hanging="82"/>
        <w:spacing w:after="0"/>
        <w:tabs>
          <w:tab w:leader="none" w:pos="82" w:val="left"/>
        </w:tabs>
        <w:numPr>
          <w:ilvl w:val="0"/>
          <w:numId w:val="18"/>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ind w:left="82" w:hanging="82"/>
        <w:spacing w:after="0"/>
        <w:tabs>
          <w:tab w:leader="none" w:pos="82" w:val="left"/>
        </w:tabs>
        <w:numPr>
          <w:ilvl w:val="0"/>
          <w:numId w:val="18"/>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2" w:hanging="2"/>
        <w:spacing w:after="0" w:line="258" w:lineRule="auto"/>
        <w:tabs>
          <w:tab w:leader="none" w:pos="90" w:val="left"/>
        </w:tabs>
        <w:numPr>
          <w:ilvl w:val="0"/>
          <w:numId w:val="18"/>
        </w:numPr>
        <w:rPr>
          <w:rFonts w:ascii="Arial" w:cs="Arial" w:eastAsia="Arial" w:hAnsi="Arial"/>
          <w:sz w:val="6"/>
          <w:szCs w:val="6"/>
          <w:color w:val="auto"/>
        </w:rPr>
      </w:pPr>
      <w:r>
        <w:rPr>
          <w:rFonts w:ascii="Arial" w:cs="Arial" w:eastAsia="Arial" w:hAnsi="Arial"/>
          <w:sz w:val="10"/>
          <w:szCs w:val="10"/>
          <w:color w:val="auto"/>
        </w:rPr>
        <w:t xml:space="preserve">MWh sold do not include 72 and 204 MWh generated by NRG Dover, a subsidiary of the Company, under the PPA with NRG Power Marketing during the years ended December 31, 2017 and December 31, 2016, respectively, as further described in Item 15 — Note 13, </w:t>
      </w:r>
      <w:r>
        <w:rPr>
          <w:rFonts w:ascii="Arial" w:cs="Arial" w:eastAsia="Arial" w:hAnsi="Arial"/>
          <w:sz w:val="10"/>
          <w:szCs w:val="10"/>
          <w:i w:val="1"/>
          <w:iCs w:val="1"/>
          <w:color w:val="auto"/>
        </w:rPr>
        <w:t>Related Party Transactions</w:t>
      </w:r>
      <w:r>
        <w:rPr>
          <w:rFonts w:ascii="Arial" w:cs="Arial" w:eastAsia="Arial" w:hAnsi="Arial"/>
          <w:sz w:val="10"/>
          <w:szCs w:val="10"/>
          <w:color w:val="auto"/>
        </w:rPr>
        <w:t>, to the Consolidated Financial Statements.</w:t>
      </w:r>
    </w:p>
    <w:p>
      <w:pPr>
        <w:spacing w:after="0" w:line="390"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62"/>
          </w:cols>
          <w:pgMar w:left="218" w:top="710" w:right="4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Management’s discussion of the results of operations for the years ended December 31, 2017 and 2016</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Margin</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Gross Margin</w:t>
      </w:r>
    </w:p>
    <w:p>
      <w:pPr>
        <w:spacing w:after="0" w:line="123"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below tables present the composition of gross margin, as well as the reconciliation to economic gross margin for the years ended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Total</w:t>
            </w:r>
          </w:p>
        </w:tc>
      </w:tr>
      <w:tr>
        <w:trPr>
          <w:trHeight w:val="188"/>
        </w:trPr>
        <w:tc>
          <w:tcPr>
            <w:tcW w:w="366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2017</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680" w:type="dxa"/>
            <w:vAlign w:val="bottom"/>
            <w:gridSpan w:val="2"/>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5"/>
                <w:szCs w:val="15"/>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563</w:t>
            </w:r>
          </w:p>
        </w:tc>
        <w:tc>
          <w:tcPr>
            <w:tcW w:w="120" w:type="dxa"/>
            <w:vAlign w:val="bottom"/>
          </w:tcPr>
          <w:p>
            <w:pPr>
              <w:spacing w:after="0"/>
              <w:rPr>
                <w:sz w:val="15"/>
                <w:szCs w:val="15"/>
                <w:color w:val="auto"/>
              </w:rPr>
            </w:pPr>
          </w:p>
        </w:tc>
        <w:tc>
          <w:tcPr>
            <w:tcW w:w="800" w:type="dxa"/>
            <w:vAlign w:val="bottom"/>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174</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1,078</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(63)</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Gross margin</w:t>
            </w:r>
          </w:p>
        </w:tc>
        <w:tc>
          <w:tcPr>
            <w:tcW w:w="2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335</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501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946</w:t>
            </w:r>
          </w:p>
        </w:tc>
      </w:tr>
      <w:tr>
        <w:trPr>
          <w:trHeight w:val="16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Economic gross margin</w:t>
            </w:r>
          </w:p>
        </w:tc>
        <w:tc>
          <w:tcPr>
            <w:tcW w:w="368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563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1,015</w:t>
            </w:r>
          </w:p>
        </w:tc>
      </w:tr>
      <w:tr>
        <w:trPr>
          <w:trHeight w:val="194"/>
        </w:trPr>
        <w:tc>
          <w:tcPr>
            <w:tcW w:w="3660" w:type="dxa"/>
            <w:vAlign w:val="bottom"/>
            <w:tcBorders>
              <w:top w:val="single" w:sz="8" w:color="CCEEFF"/>
            </w:tcBorders>
          </w:tcPr>
          <w:p>
            <w:pPr>
              <w:spacing w:after="0"/>
              <w:rPr>
                <w:sz w:val="16"/>
                <w:szCs w:val="16"/>
                <w:color w:val="auto"/>
              </w:rPr>
            </w:pPr>
          </w:p>
        </w:tc>
        <w:tc>
          <w:tcPr>
            <w:tcW w:w="266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17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680" w:type="dxa"/>
            <w:vAlign w:val="bottom"/>
            <w:gridSpan w:val="2"/>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5"/>
                <w:szCs w:val="15"/>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tcPr>
          <w:p>
            <w:pPr>
              <w:spacing w:after="0"/>
              <w:rPr>
                <w:sz w:val="15"/>
                <w:szCs w:val="15"/>
                <w:color w:val="auto"/>
              </w:rPr>
            </w:pPr>
          </w:p>
        </w:tc>
        <w:tc>
          <w:tcPr>
            <w:tcW w:w="800" w:type="dxa"/>
            <w:vAlign w:val="bottom"/>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1,104</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Emissions credit amortization</w:t>
            </w:r>
          </w:p>
        </w:tc>
        <w:tc>
          <w:tcPr>
            <w:tcW w:w="2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w:t>
            </w:r>
          </w:p>
        </w:tc>
      </w:tr>
      <w:tr>
        <w:trPr>
          <w:trHeight w:val="164"/>
        </w:trPr>
        <w:tc>
          <w:tcPr>
            <w:tcW w:w="366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6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532</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Emissions credit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6</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Economic gross margin</w:t>
            </w:r>
          </w:p>
        </w:tc>
        <w:tc>
          <w:tcPr>
            <w:tcW w:w="368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1,043</w:t>
            </w:r>
          </w:p>
        </w:tc>
      </w:tr>
      <w:tr>
        <w:trPr>
          <w:trHeight w:val="479"/>
        </w:trPr>
        <w:tc>
          <w:tcPr>
            <w:tcW w:w="366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455"/>
              <w:spacing w:after="0"/>
              <w:rPr>
                <w:sz w:val="20"/>
                <w:szCs w:val="20"/>
                <w:color w:val="auto"/>
              </w:rPr>
            </w:pPr>
            <w:r>
              <w:rPr>
                <w:rFonts w:ascii="Arial" w:cs="Arial" w:eastAsia="Arial" w:hAnsi="Arial"/>
                <w:sz w:val="13"/>
                <w:szCs w:val="13"/>
                <w:color w:val="auto"/>
              </w:rPr>
              <w:t>41</w:t>
            </w: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sectPr>
      </w:pPr>
    </w:p>
    <w:bookmarkStart w:id="41" w:name="page42"/>
    <w:bookmarkEnd w:id="41"/>
    <w:p>
      <w:pPr>
        <w:ind w:left="280"/>
        <w:spacing w:after="0"/>
        <w:rPr>
          <w:sz w:val="20"/>
          <w:szCs w:val="20"/>
          <w:color w:val="auto"/>
        </w:rPr>
      </w:pPr>
      <w:r>
        <w:rPr>
          <w:rFonts w:ascii="Arial" w:cs="Arial" w:eastAsia="Arial" w:hAnsi="Arial"/>
          <w:sz w:val="13"/>
          <w:szCs w:val="13"/>
          <w:color w:val="auto"/>
        </w:rPr>
        <w:t>Gross margin decreased by $22 million and economic gross margin decreased by $28 million during the year ended December 31, 2017, compared to the same period in 2016, primarily due to: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 millions)</w:t>
            </w: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Renewables: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7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7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w w:val="92"/>
              </w:rPr>
              <w:t>A 7% decrease in volume generated by wind projects, due to lower wind resources at the Alta Wind and NRG Wind TE Holdco projects</w:t>
            </w: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Conventional:</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7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7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w w:val="89"/>
              </w:rPr>
              <w:t>Higher revenues due to 2016 higher priced peak season forced outages, as well as additional start-up revenue from Marsh Landing in 2017</w:t>
            </w: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6320" w:type="dxa"/>
            <w:vAlign w:val="bottom"/>
          </w:tcPr>
          <w:p>
            <w:pPr>
              <w:ind w:left="260"/>
              <w:spacing w:after="0"/>
              <w:rPr>
                <w:sz w:val="20"/>
                <w:szCs w:val="20"/>
                <w:color w:val="auto"/>
              </w:rPr>
            </w:pPr>
            <w:r>
              <w:rPr>
                <w:rFonts w:ascii="Arial" w:cs="Arial" w:eastAsia="Arial" w:hAnsi="Arial"/>
                <w:sz w:val="13"/>
                <w:szCs w:val="13"/>
                <w:b w:val="1"/>
                <w:bCs w:val="1"/>
                <w:color w:val="auto"/>
              </w:rPr>
              <w:t>Decrease in economic gross margin</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(28)</w:t>
            </w:r>
          </w:p>
        </w:tc>
      </w:tr>
      <w:tr>
        <w:trPr>
          <w:trHeight w:val="20"/>
        </w:trPr>
        <w:tc>
          <w:tcPr>
            <w:tcW w:w="93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93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3"/>
                <w:szCs w:val="13"/>
                <w:color w:val="auto"/>
                <w:w w:val="91"/>
              </w:rPr>
              <w:t>Emissions credit amortization of NOx allowances at Walnut Creek and El Segundo in compliance with amendments to the Regional Clean Air Incentives Market program in 2016</w:t>
            </w: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r>
      <w:tr>
        <w:trPr>
          <w:trHeight w:val="203"/>
        </w:trPr>
        <w:tc>
          <w:tcPr>
            <w:tcW w:w="6320" w:type="dxa"/>
            <w:vAlign w:val="bottom"/>
          </w:tcPr>
          <w:p>
            <w:pPr>
              <w:ind w:left="260"/>
              <w:spacing w:after="0"/>
              <w:rPr>
                <w:sz w:val="20"/>
                <w:szCs w:val="20"/>
                <w:color w:val="auto"/>
              </w:rPr>
            </w:pPr>
            <w:r>
              <w:rPr>
                <w:rFonts w:ascii="Arial" w:cs="Arial" w:eastAsia="Arial" w:hAnsi="Arial"/>
                <w:sz w:val="13"/>
                <w:szCs w:val="13"/>
                <w:b w:val="1"/>
                <w:bCs w:val="1"/>
                <w:color w:val="auto"/>
              </w:rPr>
              <w:t>Decrease in gross margin</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(22)</w:t>
            </w:r>
          </w:p>
        </w:tc>
      </w:tr>
      <w:tr>
        <w:trPr>
          <w:trHeight w:val="271"/>
        </w:trPr>
        <w:tc>
          <w:tcPr>
            <w:tcW w:w="6320" w:type="dxa"/>
            <w:vAlign w:val="bottom"/>
          </w:tcPr>
          <w:p>
            <w:pPr>
              <w:spacing w:after="0"/>
              <w:rPr>
                <w:sz w:val="20"/>
                <w:szCs w:val="20"/>
                <w:color w:val="auto"/>
              </w:rPr>
            </w:pPr>
            <w:r>
              <w:rPr>
                <w:rFonts w:ascii="Arial" w:cs="Arial" w:eastAsia="Arial" w:hAnsi="Arial"/>
                <w:sz w:val="13"/>
                <w:szCs w:val="13"/>
                <w:b w:val="1"/>
                <w:bCs w:val="1"/>
                <w:i w:val="1"/>
                <w:iCs w:val="1"/>
                <w:color w:val="auto"/>
              </w:rPr>
              <w:t>Operations and Maintenance Expense</w:t>
            </w: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00"/>
        </w:trPr>
        <w:tc>
          <w:tcPr>
            <w:tcW w:w="6320" w:type="dxa"/>
            <w:vAlign w:val="bottom"/>
          </w:tcPr>
          <w:p>
            <w:pPr>
              <w:spacing w:after="0"/>
              <w:rPr>
                <w:sz w:val="24"/>
                <w:szCs w:val="2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Conventional</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Renewables</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Thermal</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Total</w:t>
            </w:r>
          </w:p>
        </w:tc>
      </w:tr>
      <w:tr>
        <w:trPr>
          <w:trHeight w:val="188"/>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2017</w:t>
            </w:r>
          </w:p>
        </w:tc>
        <w:tc>
          <w:tcPr>
            <w:tcW w:w="110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96"/>
              </w:rPr>
              <w:t>52</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3"/>
                <w:szCs w:val="13"/>
                <w:color w:val="auto"/>
              </w:rPr>
              <w:t>48</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197</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color w:val="auto"/>
              </w:rPr>
              <w:t>Year ended December 31, 2016</w:t>
            </w:r>
          </w:p>
        </w:tc>
        <w:tc>
          <w:tcPr>
            <w:tcW w:w="1100" w:type="dxa"/>
            <w:vAlign w:val="bottom"/>
          </w:tcPr>
          <w:p>
            <w:pPr>
              <w:spacing w:after="0"/>
              <w:rPr>
                <w:sz w:val="15"/>
                <w:szCs w:val="15"/>
                <w:color w:val="auto"/>
              </w:rPr>
            </w:pPr>
          </w:p>
        </w:tc>
        <w:tc>
          <w:tcPr>
            <w:tcW w:w="300" w:type="dxa"/>
            <w:vAlign w:val="bottom"/>
          </w:tcPr>
          <w:p>
            <w:pPr>
              <w:jc w:val="right"/>
              <w:ind w:right="75"/>
              <w:spacing w:after="0"/>
              <w:rPr>
                <w:sz w:val="20"/>
                <w:szCs w:val="20"/>
                <w:color w:val="auto"/>
              </w:rPr>
            </w:pPr>
            <w:r>
              <w:rPr>
                <w:rFonts w:ascii="Arial" w:cs="Arial" w:eastAsia="Arial" w:hAnsi="Arial"/>
                <w:sz w:val="13"/>
                <w:szCs w:val="13"/>
                <w:color w:val="auto"/>
                <w:w w:val="96"/>
              </w:rPr>
              <w:t>32</w:t>
            </w:r>
          </w:p>
        </w:tc>
        <w:tc>
          <w:tcPr>
            <w:tcW w:w="3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3"/>
                <w:szCs w:val="13"/>
                <w:color w:val="auto"/>
              </w:rPr>
              <w:t>96</w:t>
            </w:r>
          </w:p>
        </w:tc>
        <w:tc>
          <w:tcPr>
            <w:tcW w:w="380" w:type="dxa"/>
            <w:vAlign w:val="bottom"/>
          </w:tcPr>
          <w:p>
            <w:pPr>
              <w:spacing w:after="0"/>
              <w:rPr>
                <w:sz w:val="15"/>
                <w:szCs w:val="15"/>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176</w:t>
            </w:r>
          </w:p>
        </w:tc>
      </w:tr>
    </w:tbl>
    <w:p>
      <w:pPr>
        <w:spacing w:after="0" w:line="167"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Operations and maintenance expense increased by $21 million during the year ended December 31, 2017, compared to the same period in 2016, due to the forced outages in the Conventional segment. The Company recorded higher operations and maintenance costs in Walnut Creek in connection with the Unit 1 forced outages that took place in April of 2017, including an increase of loss on disposal of assets of $12 million, as well as higher operations and maintenance costs in El Segundo due to the forced outages in Units 5 and Unit 6 that took place in January 2017.</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Losses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recorded impairment losses of $44 million and $185 million for the years ended December 31, 2017 and 2016, respectively.</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97"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97" w:lineRule="exact"/>
        <w:rPr>
          <w:sz w:val="20"/>
          <w:szCs w:val="20"/>
          <w:color w:val="auto"/>
        </w:rPr>
      </w:pPr>
    </w:p>
    <w:p>
      <w:pPr>
        <w:jc w:val="both"/>
        <w:ind w:right="20" w:firstLine="291"/>
        <w:spacing w:after="0" w:line="253" w:lineRule="auto"/>
        <w:rPr>
          <w:sz w:val="20"/>
          <w:szCs w:val="20"/>
          <w:color w:val="auto"/>
        </w:rPr>
      </w:pPr>
      <w:r>
        <w:rPr>
          <w:rFonts w:ascii="Arial" w:cs="Arial" w:eastAsia="Arial" w:hAnsi="Arial"/>
          <w:sz w:val="13"/>
          <w:szCs w:val="13"/>
          <w:color w:val="auto"/>
        </w:rPr>
        <w:t xml:space="preserve">During the fourth quarter of 2016, as the Company updated its estimated cash flows in connection with the preparation and review of the Company's annual budget, it was determined that the cash flows for the Elbow Creek and Goat Wind projects and the Forward project were below the carrying value of the related assets, primarily driven by declining merchant power prices in post-contract periods, and that the assets were considered impaired. The Company recorded impairment losses of $117 million, $60 million and $6 million for Elbow Creek, Goat Wind, and Forward, respectively. The other impairments of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 ending December 31, 2016. For further discussion see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9, </w:t>
      </w:r>
      <w:r>
        <w:rPr>
          <w:rFonts w:ascii="Arial" w:cs="Arial" w:eastAsia="Arial" w:hAnsi="Arial"/>
          <w:sz w:val="13"/>
          <w:szCs w:val="13"/>
          <w:i w:val="1"/>
          <w:iCs w:val="1"/>
          <w:color w:val="auto"/>
        </w:rPr>
        <w:t>Asset Impairments</w:t>
      </w:r>
      <w:r>
        <w:rPr>
          <w:rFonts w:ascii="Arial" w:cs="Arial" w:eastAsia="Arial" w:hAnsi="Arial"/>
          <w:sz w:val="13"/>
          <w:szCs w:val="13"/>
          <w:color w:val="auto"/>
        </w:rPr>
        <w:t>, to the Consolidated Financial Statements, as well as in Critical Accounting Policies and Estimates in this Item 7.</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80"/>
          </w:cols>
          <w:pgMar w:left="220" w:top="714" w:right="19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i w:val="1"/>
          <w:iCs w:val="1"/>
          <w:color w:val="auto"/>
        </w:rPr>
        <w:t>Equity in Earnings of Unconsolidated Affiliates</w:t>
      </w:r>
    </w:p>
    <w:p>
      <w:pPr>
        <w:spacing w:after="0" w:line="123"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Equity in earnings of unconsolidated affiliates increased by $11 million during the year ended December 31, 2017, compared to the same period in 2016, primarily due to higher earnings from the solar partnerships with NRG, as well as acquisition of the Utah Solar Portfolio in November 2016, partially offset by lower earnings from the San Juan Mesa investment.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increased by $21 million during the year ended December 31, 2017, compared to the same period in 2016 due to:</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39"/>
        </w:trPr>
        <w:tc>
          <w:tcPr>
            <w:tcW w:w="994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2"/>
                <w:szCs w:val="12"/>
                <w:color w:val="auto"/>
              </w:rPr>
            </w:pPr>
          </w:p>
        </w:tc>
      </w:tr>
      <w:tr>
        <w:trPr>
          <w:trHeight w:val="17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Assumption of the Utah Solar Portfolio debt in connection with the March 2017 Drop Down Assets</w:t>
            </w: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w:t>
            </w:r>
          </w:p>
        </w:tc>
      </w:tr>
      <w:tr>
        <w:trPr>
          <w:trHeight w:val="174"/>
        </w:trPr>
        <w:tc>
          <w:tcPr>
            <w:tcW w:w="9940" w:type="dxa"/>
            <w:vAlign w:val="bottom"/>
          </w:tcPr>
          <w:p>
            <w:pPr>
              <w:ind w:left="20"/>
              <w:spacing w:after="0"/>
              <w:rPr>
                <w:sz w:val="20"/>
                <w:szCs w:val="20"/>
                <w:color w:val="auto"/>
              </w:rPr>
            </w:pPr>
            <w:r>
              <w:rPr>
                <w:rFonts w:ascii="Arial" w:cs="Arial" w:eastAsia="Arial" w:hAnsi="Arial"/>
                <w:sz w:val="13"/>
                <w:szCs w:val="13"/>
                <w:color w:val="auto"/>
              </w:rPr>
              <w:t>Issuance of the 2026 Senior Notes in the third quarter of 2016</w:t>
            </w:r>
          </w:p>
        </w:tc>
        <w:tc>
          <w:tcPr>
            <w:tcW w:w="76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11</w:t>
            </w:r>
          </w:p>
        </w:tc>
      </w:tr>
      <w:tr>
        <w:trPr>
          <w:trHeight w:val="20"/>
        </w:trPr>
        <w:tc>
          <w:tcPr>
            <w:tcW w:w="9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new project level debt in the second half of 2016 and 2017 partially offset by the lower principal balances on project level debt in 2017</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r>
      <w:tr>
        <w:trPr>
          <w:trHeight w:val="174"/>
        </w:trPr>
        <w:tc>
          <w:tcPr>
            <w:tcW w:w="9940" w:type="dxa"/>
            <w:vAlign w:val="bottom"/>
          </w:tcPr>
          <w:p>
            <w:pPr>
              <w:ind w:left="20"/>
              <w:spacing w:after="0"/>
              <w:rPr>
                <w:sz w:val="20"/>
                <w:szCs w:val="20"/>
                <w:color w:val="auto"/>
              </w:rPr>
            </w:pPr>
            <w:r>
              <w:rPr>
                <w:rFonts w:ascii="Arial" w:cs="Arial" w:eastAsia="Arial" w:hAnsi="Arial"/>
                <w:sz w:val="13"/>
                <w:szCs w:val="13"/>
                <w:color w:val="auto"/>
              </w:rPr>
              <w:t>Higher borrowings in 2016 on the revolving credit facility</w:t>
            </w:r>
          </w:p>
        </w:tc>
        <w:tc>
          <w:tcPr>
            <w:tcW w:w="76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color w:val="auto"/>
              </w:rPr>
              <w:t>(5)</w:t>
            </w:r>
          </w:p>
        </w:tc>
      </w:tr>
      <w:tr>
        <w:trPr>
          <w:trHeight w:val="20"/>
        </w:trPr>
        <w:tc>
          <w:tcPr>
            <w:tcW w:w="9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4"/>
        </w:trPr>
        <w:tc>
          <w:tcPr>
            <w:tcW w:w="99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21</w:t>
            </w:r>
          </w:p>
        </w:tc>
      </w:tr>
      <w:tr>
        <w:trPr>
          <w:trHeight w:val="29"/>
        </w:trPr>
        <w:tc>
          <w:tcPr>
            <w:tcW w:w="99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Attributable to Noncontrolling Interests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For the year ended December 31, 2017, the Company had a loss of $75 million attributable to noncontrolling interests with respect to its tax equity financing arrangements and the application of the HLBV method.</w:t>
      </w:r>
    </w:p>
    <w:p>
      <w:pPr>
        <w:spacing w:after="0" w:line="146"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For the year ended December 31, 2016, the Company had a loss of $111 million attributable to noncontrolling interests with respect to its tax equity financing arrangements and the application of the HLBV method, which was primarily related to the impairment losses described above.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60"/>
          </w:cols>
          <w:pgMar w:left="220" w:top="714" w:right="219" w:bottom="1440" w:gutter="0" w:footer="0" w:header="0"/>
        </w:sectPr>
      </w:pPr>
    </w:p>
    <w:bookmarkStart w:id="43" w:name="page44"/>
    <w:bookmarkEnd w:id="43"/>
    <w:p>
      <w:pPr>
        <w:ind w:left="182"/>
        <w:spacing w:after="0"/>
        <w:rPr>
          <w:sz w:val="20"/>
          <w:szCs w:val="20"/>
          <w:color w:val="auto"/>
        </w:rPr>
      </w:pPr>
      <w:r>
        <w:rPr>
          <w:rFonts w:ascii="Arial" w:cs="Arial" w:eastAsia="Arial" w:hAnsi="Arial"/>
          <w:sz w:val="13"/>
          <w:szCs w:val="13"/>
          <w:b w:val="1"/>
          <w:bCs w:val="1"/>
          <w:color w:val="auto"/>
        </w:rPr>
        <w:t>Consolidated Results of Operations</w:t>
      </w:r>
    </w:p>
    <w:p>
      <w:pPr>
        <w:spacing w:after="0" w:line="127" w:lineRule="exact"/>
        <w:rPr>
          <w:sz w:val="20"/>
          <w:szCs w:val="20"/>
          <w:color w:val="auto"/>
        </w:rPr>
      </w:pPr>
    </w:p>
    <w:p>
      <w:pPr>
        <w:ind w:left="262"/>
        <w:spacing w:after="0"/>
        <w:rPr>
          <w:sz w:val="20"/>
          <w:szCs w:val="20"/>
          <w:color w:val="auto"/>
        </w:rPr>
      </w:pPr>
      <w:r>
        <w:rPr>
          <w:rFonts w:ascii="Arial" w:cs="Arial" w:eastAsia="Arial" w:hAnsi="Arial"/>
          <w:sz w:val="13"/>
          <w:szCs w:val="13"/>
          <w:b w:val="1"/>
          <w:bCs w:val="1"/>
          <w:i w:val="1"/>
          <w:iCs w:val="1"/>
          <w:color w:val="auto"/>
        </w:rPr>
        <w:t>2016 compared to 2015</w:t>
      </w:r>
    </w:p>
    <w:p>
      <w:pPr>
        <w:spacing w:after="0" w:line="123" w:lineRule="exact"/>
        <w:rPr>
          <w:sz w:val="20"/>
          <w:szCs w:val="20"/>
          <w:color w:val="auto"/>
        </w:rPr>
      </w:pPr>
    </w:p>
    <w:p>
      <w:pPr>
        <w:ind w:left="402"/>
        <w:spacing w:after="0"/>
        <w:rPr>
          <w:sz w:val="20"/>
          <w:szCs w:val="20"/>
          <w:color w:val="auto"/>
        </w:rPr>
      </w:pPr>
      <w:r>
        <w:rPr>
          <w:rFonts w:ascii="Arial" w:cs="Arial" w:eastAsia="Arial" w:hAnsi="Arial"/>
          <w:sz w:val="13"/>
          <w:szCs w:val="13"/>
          <w:color w:val="auto"/>
        </w:rPr>
        <w:t>The following table provides selected financial information:</w:t>
      </w:r>
    </w:p>
    <w:p>
      <w:pPr>
        <w:spacing w:after="0" w:line="11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59"/>
        </w:trPr>
        <w:tc>
          <w:tcPr>
            <w:tcW w:w="20" w:type="dxa"/>
            <w:vAlign w:val="bottom"/>
            <w:shd w:val="clear" w:color="auto" w:fill="CCEEFF"/>
          </w:tcPr>
          <w:p>
            <w:pPr>
              <w:spacing w:after="0"/>
              <w:rPr>
                <w:sz w:val="13"/>
                <w:szCs w:val="13"/>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1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97"/>
              <w:spacing w:after="0"/>
              <w:rPr>
                <w:sz w:val="20"/>
                <w:szCs w:val="20"/>
                <w:color w:val="auto"/>
              </w:rPr>
            </w:pPr>
            <w:r>
              <w:rPr>
                <w:rFonts w:ascii="Arial" w:cs="Arial" w:eastAsia="Arial" w:hAnsi="Arial"/>
                <w:sz w:val="10"/>
                <w:szCs w:val="10"/>
                <w:b w:val="1"/>
                <w:bCs w:val="1"/>
                <w:color w:val="auto"/>
              </w:rPr>
              <w:t>2015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0"/>
                <w:szCs w:val="10"/>
                <w:b w:val="1"/>
                <w:bCs w:val="1"/>
                <w:color w:val="auto"/>
              </w:rPr>
              <w:t>Change</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Energy and capacity revenues</w:t>
            </w: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1,104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1,024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80</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Contract amortization</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Mark-to-market economic hedging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r>
      <w:tr>
        <w:trPr>
          <w:trHeight w:val="164"/>
        </w:trPr>
        <w:tc>
          <w:tcPr>
            <w:tcW w:w="20" w:type="dxa"/>
            <w:vAlign w:val="bottom"/>
          </w:tcPr>
          <w:p>
            <w:pPr>
              <w:spacing w:after="0"/>
              <w:rPr>
                <w:sz w:val="14"/>
                <w:szCs w:val="14"/>
                <w:color w:val="auto"/>
              </w:rPr>
            </w:pPr>
          </w:p>
        </w:tc>
        <w:tc>
          <w:tcPr>
            <w:tcW w:w="7780" w:type="dxa"/>
            <w:vAlign w:val="bottom"/>
            <w:gridSpan w:val="2"/>
          </w:tcPr>
          <w:p>
            <w:pPr>
              <w:ind w:left="180"/>
              <w:spacing w:after="0"/>
              <w:rPr>
                <w:sz w:val="20"/>
                <w:szCs w:val="20"/>
                <w:color w:val="auto"/>
              </w:rPr>
            </w:pPr>
            <w:r>
              <w:rPr>
                <w:rFonts w:ascii="Arial" w:cs="Arial" w:eastAsia="Arial" w:hAnsi="Arial"/>
                <w:sz w:val="13"/>
                <w:szCs w:val="13"/>
                <w:color w:val="auto"/>
              </w:rPr>
              <w:t>Total operating revenues</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968</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Costs and Expenses</w:t>
            </w: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Cost of fuels</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Emissions credit amortization</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Operations and maintenance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Other costs of operations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Impairment losses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184</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General and administrative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Acquisition-related transaction and integration costs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64"/>
        </w:trPr>
        <w:tc>
          <w:tcPr>
            <w:tcW w:w="20" w:type="dxa"/>
            <w:vAlign w:val="bottom"/>
          </w:tcPr>
          <w:p>
            <w:pPr>
              <w:spacing w:after="0"/>
              <w:rPr>
                <w:sz w:val="14"/>
                <w:szCs w:val="14"/>
                <w:color w:val="auto"/>
              </w:rPr>
            </w:pPr>
          </w:p>
        </w:tc>
        <w:tc>
          <w:tcPr>
            <w:tcW w:w="7780" w:type="dxa"/>
            <w:vAlign w:val="bottom"/>
            <w:gridSpan w:val="2"/>
          </w:tcPr>
          <w:p>
            <w:pPr>
              <w:ind w:left="240"/>
              <w:spacing w:after="0"/>
              <w:rPr>
                <w:sz w:val="20"/>
                <w:szCs w:val="20"/>
                <w:color w:val="auto"/>
              </w:rPr>
            </w:pPr>
            <w:r>
              <w:rPr>
                <w:rFonts w:ascii="Arial" w:cs="Arial" w:eastAsia="Arial" w:hAnsi="Arial"/>
                <w:sz w:val="13"/>
                <w:szCs w:val="13"/>
                <w:color w:val="auto"/>
              </w:rPr>
              <w:t>Total operating costs and expenses</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640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328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(104)</w:t>
            </w:r>
          </w:p>
        </w:tc>
      </w:tr>
      <w:tr>
        <w:trPr>
          <w:trHeight w:val="164"/>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Other Income (Expense)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Equity in earnings of unconsolidated affiliates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Other income, net</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Loss on debt extinguishment</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other expense, net</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r>
      <w:tr>
        <w:trPr>
          <w:trHeight w:val="164"/>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95</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(80)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Less: Net (loss) income attributable to noncontrolling interests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(49)</w:t>
            </w:r>
          </w:p>
        </w:tc>
      </w:tr>
      <w:tr>
        <w:trPr>
          <w:trHeight w:val="203"/>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NRG Yield LLC</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(31)</w:t>
            </w:r>
          </w:p>
        </w:tc>
      </w:tr>
      <w:tr>
        <w:trPr>
          <w:trHeight w:val="38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0"/>
                <w:szCs w:val="10"/>
                <w:b w:val="1"/>
                <w:bCs w:val="1"/>
                <w:color w:val="auto"/>
              </w:rPr>
              <w:t>Year ended 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Business metrics:</w:t>
            </w: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2016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2015</w:t>
            </w:r>
          </w:p>
        </w:tc>
      </w:tr>
      <w:tr>
        <w:trPr>
          <w:trHeight w:val="188"/>
        </w:trPr>
        <w:tc>
          <w:tcPr>
            <w:tcW w:w="20" w:type="dxa"/>
            <w:vAlign w:val="bottom"/>
            <w:shd w:val="clear" w:color="auto" w:fill="CCEEFF"/>
          </w:tcPr>
          <w:p>
            <w:pPr>
              <w:spacing w:after="0"/>
              <w:rPr>
                <w:sz w:val="16"/>
                <w:szCs w:val="16"/>
                <w:color w:val="auto"/>
              </w:rPr>
            </w:pPr>
          </w:p>
        </w:tc>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Renewables MWh generated/sold (in thousands) </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6,463</w:t>
            </w:r>
          </w:p>
        </w:tc>
      </w:tr>
      <w:tr>
        <w:trPr>
          <w:trHeight w:val="194"/>
        </w:trPr>
        <w:tc>
          <w:tcPr>
            <w:tcW w:w="20" w:type="dxa"/>
            <w:vAlign w:val="bottom"/>
          </w:tcPr>
          <w:p>
            <w:pPr>
              <w:spacing w:after="0"/>
              <w:rPr>
                <w:sz w:val="16"/>
                <w:szCs w:val="16"/>
                <w:color w:val="auto"/>
              </w:rPr>
            </w:pPr>
          </w:p>
        </w:tc>
        <w:tc>
          <w:tcPr>
            <w:tcW w:w="7780" w:type="dxa"/>
            <w:vAlign w:val="bottom"/>
            <w:gridSpan w:val="2"/>
          </w:tcPr>
          <w:p>
            <w:pPr>
              <w:spacing w:after="0" w:line="195" w:lineRule="exact"/>
              <w:rPr>
                <w:sz w:val="20"/>
                <w:szCs w:val="20"/>
                <w:color w:val="auto"/>
              </w:rPr>
            </w:pPr>
            <w:r>
              <w:rPr>
                <w:rFonts w:ascii="Arial" w:cs="Arial" w:eastAsia="Arial" w:hAnsi="Arial"/>
                <w:sz w:val="13"/>
                <w:szCs w:val="13"/>
                <w:color w:val="auto"/>
              </w:rPr>
              <w:t xml:space="preserve">Conventional MWh generated (in thousands) </w:t>
            </w:r>
            <w:r>
              <w:rPr>
                <w:rFonts w:ascii="Arial" w:cs="Arial" w:eastAsia="Arial" w:hAnsi="Arial"/>
                <w:sz w:val="18"/>
                <w:szCs w:val="18"/>
                <w:color w:val="auto"/>
                <w:vertAlign w:val="superscript"/>
              </w:rPr>
              <w:t>(a)(b)</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1,697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2,487</w:t>
            </w: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Thermal MWt sold (in thousands)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1,966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1,946</w:t>
            </w:r>
          </w:p>
        </w:tc>
      </w:tr>
      <w:tr>
        <w:trPr>
          <w:trHeight w:val="244"/>
        </w:trPr>
        <w:tc>
          <w:tcPr>
            <w:tcW w:w="20" w:type="dxa"/>
            <w:vAlign w:val="bottom"/>
          </w:tcPr>
          <w:p>
            <w:pPr>
              <w:spacing w:after="0"/>
              <w:rPr>
                <w:sz w:val="21"/>
                <w:szCs w:val="21"/>
                <w:color w:val="auto"/>
              </w:rPr>
            </w:pPr>
          </w:p>
        </w:tc>
        <w:tc>
          <w:tcPr>
            <w:tcW w:w="7780" w:type="dxa"/>
            <w:vAlign w:val="bottom"/>
            <w:gridSpan w:val="2"/>
          </w:tcPr>
          <w:p>
            <w:pPr>
              <w:spacing w:after="0"/>
              <w:rPr>
                <w:sz w:val="20"/>
                <w:szCs w:val="20"/>
                <w:color w:val="auto"/>
              </w:rPr>
            </w:pPr>
            <w:r>
              <w:rPr>
                <w:rFonts w:ascii="Arial" w:cs="Arial" w:eastAsia="Arial" w:hAnsi="Arial"/>
                <w:sz w:val="13"/>
                <w:szCs w:val="13"/>
                <w:color w:val="auto"/>
              </w:rPr>
              <w:t xml:space="preserve">Thermal MWh sold (in thousands) </w:t>
            </w:r>
            <w:r>
              <w:rPr>
                <w:rFonts w:ascii="Arial" w:cs="Arial" w:eastAsia="Arial" w:hAnsi="Arial"/>
                <w:sz w:val="18"/>
                <w:szCs w:val="18"/>
                <w:color w:val="auto"/>
                <w:vertAlign w:val="superscript"/>
              </w:rPr>
              <w:t>(c)</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141859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79" w:lineRule="exact"/>
        <w:rPr>
          <w:sz w:val="20"/>
          <w:szCs w:val="20"/>
          <w:color w:val="auto"/>
        </w:rPr>
      </w:pPr>
    </w:p>
    <w:p>
      <w:pPr>
        <w:ind w:left="82" w:hanging="82"/>
        <w:spacing w:after="0"/>
        <w:tabs>
          <w:tab w:leader="none" w:pos="82" w:val="left"/>
        </w:tabs>
        <w:numPr>
          <w:ilvl w:val="0"/>
          <w:numId w:val="19"/>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ind w:left="82" w:hanging="82"/>
        <w:spacing w:after="0"/>
        <w:tabs>
          <w:tab w:leader="none" w:pos="82" w:val="left"/>
        </w:tabs>
        <w:numPr>
          <w:ilvl w:val="0"/>
          <w:numId w:val="19"/>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2" w:right="20" w:hanging="2"/>
        <w:spacing w:after="0" w:line="258" w:lineRule="auto"/>
        <w:tabs>
          <w:tab w:leader="none" w:pos="90" w:val="left"/>
        </w:tabs>
        <w:numPr>
          <w:ilvl w:val="0"/>
          <w:numId w:val="19"/>
        </w:numPr>
        <w:rPr>
          <w:rFonts w:ascii="Arial" w:cs="Arial" w:eastAsia="Arial" w:hAnsi="Arial"/>
          <w:sz w:val="6"/>
          <w:szCs w:val="6"/>
          <w:color w:val="auto"/>
        </w:rPr>
      </w:pPr>
      <w:r>
        <w:rPr>
          <w:rFonts w:ascii="Arial" w:cs="Arial" w:eastAsia="Arial" w:hAnsi="Arial"/>
          <w:sz w:val="10"/>
          <w:szCs w:val="10"/>
          <w:color w:val="auto"/>
        </w:rPr>
        <w:t xml:space="preserve">MWh sold do not include 204 MWh generated by NRG Dover, a subsidiary of the Company, under the PPA with NRG Power Marketing during the year ended December 31, 2016, respectively, as further described in Item 15 — Note 13, </w:t>
      </w:r>
      <w:r>
        <w:rPr>
          <w:rFonts w:ascii="Arial" w:cs="Arial" w:eastAsia="Arial" w:hAnsi="Arial"/>
          <w:sz w:val="10"/>
          <w:szCs w:val="10"/>
          <w:i w:val="1"/>
          <w:iCs w:val="1"/>
          <w:color w:val="auto"/>
        </w:rPr>
        <w:t>Related Party Transactions,</w:t>
      </w:r>
      <w:r>
        <w:rPr>
          <w:rFonts w:ascii="Arial" w:cs="Arial" w:eastAsia="Arial" w:hAnsi="Arial"/>
          <w:sz w:val="10"/>
          <w:szCs w:val="10"/>
          <w:color w:val="auto"/>
        </w:rPr>
        <w:t xml:space="preserve"> to the Consolidated Financial Statements</w:t>
      </w:r>
      <w:r>
        <w:rPr>
          <w:rFonts w:ascii="Arial" w:cs="Arial" w:eastAsia="Arial" w:hAnsi="Arial"/>
          <w:sz w:val="10"/>
          <w:szCs w:val="10"/>
          <w:i w:val="1"/>
          <w:iCs w:val="1"/>
          <w:color w:val="auto"/>
        </w:rPr>
        <w:t>.</w:t>
      </w:r>
    </w:p>
    <w:p>
      <w:pPr>
        <w:spacing w:after="0" w:line="26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82"/>
          </w:cols>
          <w:pgMar w:left="218" w:top="710" w:right="19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Management’s discussion of the results of operations for the years ended December 31, 2016 and 2015</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Margin</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Gross Margin</w:t>
      </w:r>
    </w:p>
    <w:p>
      <w:pPr>
        <w:spacing w:after="0" w:line="123" w:lineRule="exact"/>
        <w:rPr>
          <w:sz w:val="20"/>
          <w:szCs w:val="20"/>
          <w:color w:val="auto"/>
        </w:rPr>
      </w:pPr>
    </w:p>
    <w:p>
      <w:pPr>
        <w:jc w:val="both"/>
        <w:ind w:right="20" w:firstLine="291"/>
        <w:spacing w:after="0" w:line="253" w:lineRule="auto"/>
        <w:rPr>
          <w:sz w:val="20"/>
          <w:szCs w:val="20"/>
          <w:color w:val="auto"/>
        </w:rPr>
      </w:pPr>
      <w:r>
        <w:rPr>
          <w:rFonts w:ascii="Arial" w:cs="Arial" w:eastAsia="Arial" w:hAnsi="Arial"/>
          <w:sz w:val="13"/>
          <w:szCs w:val="13"/>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present the composition of gross margin, as well as the reconciliation to economic gross margin for the years ended December 31, 2016 and 2015: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Total</w:t>
            </w:r>
          </w:p>
        </w:tc>
      </w:tr>
      <w:tr>
        <w:trPr>
          <w:trHeight w:val="188"/>
        </w:trPr>
        <w:tc>
          <w:tcPr>
            <w:tcW w:w="414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2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20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5"/>
                <w:szCs w:val="15"/>
                <w:color w:val="auto"/>
              </w:rPr>
            </w:pP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tcPr>
          <w:p>
            <w:pPr>
              <w:spacing w:after="0"/>
              <w:rPr>
                <w:sz w:val="15"/>
                <w:szCs w:val="15"/>
                <w:color w:val="auto"/>
              </w:rPr>
            </w:pP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1,104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Emissions credit amortization</w:t>
            </w:r>
          </w:p>
        </w:tc>
        <w:tc>
          <w:tcPr>
            <w:tcW w:w="2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w:t>
            </w:r>
          </w:p>
        </w:tc>
      </w:tr>
      <w:tr>
        <w:trPr>
          <w:trHeight w:val="164"/>
        </w:trPr>
        <w:tc>
          <w:tcPr>
            <w:tcW w:w="414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180" w:type="dxa"/>
            <w:vAlign w:val="bottom"/>
          </w:tcPr>
          <w:p>
            <w:pPr>
              <w:spacing w:after="0"/>
              <w:rPr>
                <w:sz w:val="14"/>
                <w:szCs w:val="14"/>
                <w:color w:val="auto"/>
              </w:rPr>
            </w:pPr>
          </w:p>
        </w:tc>
        <w:tc>
          <w:tcPr>
            <w:tcW w:w="1020" w:type="dxa"/>
            <w:vAlign w:val="bottom"/>
            <w:tcBorders>
              <w:top w:val="single" w:sz="8" w:color="auto"/>
            </w:tcBorders>
          </w:tcPr>
          <w:p>
            <w:pPr>
              <w:jc w:val="right"/>
              <w:ind w:right="880"/>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532</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Emissions credit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6</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4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Economic gross margin</w:t>
            </w:r>
          </w:p>
        </w:tc>
        <w:tc>
          <w:tcPr>
            <w:tcW w:w="3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1,043</w:t>
            </w:r>
          </w:p>
        </w:tc>
      </w:tr>
      <w:tr>
        <w:trPr>
          <w:trHeight w:val="214"/>
        </w:trPr>
        <w:tc>
          <w:tcPr>
            <w:tcW w:w="41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7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2015</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20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5"/>
                <w:szCs w:val="15"/>
                <w:color w:val="auto"/>
              </w:rPr>
            </w:pP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507</w:t>
            </w:r>
          </w:p>
        </w:tc>
        <w:tc>
          <w:tcPr>
            <w:tcW w:w="120" w:type="dxa"/>
            <w:vAlign w:val="bottom"/>
          </w:tcPr>
          <w:p>
            <w:pPr>
              <w:spacing w:after="0"/>
              <w:rPr>
                <w:sz w:val="15"/>
                <w:szCs w:val="15"/>
                <w:color w:val="auto"/>
              </w:rPr>
            </w:pP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176</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1,024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(47)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Mark-to-market for economic hedging activities</w:t>
            </w:r>
          </w:p>
        </w:tc>
        <w:tc>
          <w:tcPr>
            <w:tcW w:w="2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64"/>
        </w:trPr>
        <w:tc>
          <w:tcPr>
            <w:tcW w:w="414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180" w:type="dxa"/>
            <w:vAlign w:val="bottom"/>
          </w:tcPr>
          <w:p>
            <w:pPr>
              <w:spacing w:after="0"/>
              <w:rPr>
                <w:sz w:val="14"/>
                <w:szCs w:val="14"/>
                <w:color w:val="auto"/>
              </w:rPr>
            </w:pPr>
          </w:p>
        </w:tc>
        <w:tc>
          <w:tcPr>
            <w:tcW w:w="1020" w:type="dxa"/>
            <w:vAlign w:val="bottom"/>
            <w:tcBorders>
              <w:top w:val="single" w:sz="8" w:color="auto"/>
            </w:tcBorders>
          </w:tcPr>
          <w:p>
            <w:pPr>
              <w:jc w:val="right"/>
              <w:ind w:right="880"/>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457</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105</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897</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Mark-to-market for economic hedging activities</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2</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4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Economic gross margin</w:t>
            </w:r>
          </w:p>
        </w:tc>
        <w:tc>
          <w:tcPr>
            <w:tcW w:w="3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506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953</w:t>
            </w:r>
          </w:p>
        </w:tc>
      </w:tr>
      <w:tr>
        <w:trPr>
          <w:trHeight w:val="440"/>
        </w:trPr>
        <w:tc>
          <w:tcPr>
            <w:tcW w:w="414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jc w:val="right"/>
              <w:ind w:right="455"/>
              <w:spacing w:after="0"/>
              <w:rPr>
                <w:sz w:val="20"/>
                <w:szCs w:val="20"/>
                <w:color w:val="auto"/>
              </w:rPr>
            </w:pPr>
            <w:r>
              <w:rPr>
                <w:rFonts w:ascii="Arial" w:cs="Arial" w:eastAsia="Arial" w:hAnsi="Arial"/>
                <w:sz w:val="13"/>
                <w:szCs w:val="13"/>
                <w:color w:val="auto"/>
              </w:rPr>
              <w:t>45</w:t>
            </w: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sectPr>
      </w:pPr>
    </w:p>
    <w:bookmarkStart w:id="45" w:name="page46"/>
    <w:bookmarkEnd w:id="45"/>
    <w:p>
      <w:pPr>
        <w:ind w:left="280"/>
        <w:spacing w:after="0"/>
        <w:rPr>
          <w:sz w:val="20"/>
          <w:szCs w:val="20"/>
          <w:color w:val="auto"/>
        </w:rPr>
      </w:pPr>
      <w:r>
        <w:rPr>
          <w:rFonts w:ascii="Arial" w:cs="Arial" w:eastAsia="Arial" w:hAnsi="Arial"/>
          <w:sz w:val="12"/>
          <w:szCs w:val="12"/>
          <w:color w:val="auto"/>
        </w:rPr>
        <w:t>Gross margin increased by $71 million and economic gross margin increased by $90 million during the year ended December 31, 2016, compared to the same period in 2015,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78105</wp:posOffset>
            </wp:positionV>
            <wp:extent cx="7211060" cy="123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060" cy="12319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Renewables:</w:t>
      </w:r>
    </w:p>
    <w:p>
      <w:pPr>
        <w:spacing w:after="0" w:line="49" w:lineRule="exact"/>
        <w:rPr>
          <w:sz w:val="20"/>
          <w:szCs w:val="20"/>
          <w:color w:val="auto"/>
        </w:rPr>
      </w:pPr>
    </w:p>
    <w:p>
      <w:pPr>
        <w:ind w:left="360" w:hanging="116"/>
        <w:spacing w:after="0" w:line="271" w:lineRule="auto"/>
        <w:rPr>
          <w:sz w:val="20"/>
          <w:szCs w:val="20"/>
          <w:color w:val="auto"/>
        </w:rPr>
      </w:pPr>
      <w:r>
        <w:rPr>
          <w:rFonts w:ascii="Arial" w:cs="Arial" w:eastAsia="Arial" w:hAnsi="Arial"/>
          <w:sz w:val="13"/>
          <w:szCs w:val="13"/>
          <w:color w:val="auto"/>
        </w:rPr>
        <w:t>26% increase in volume generated at the Alta wind projects, as well as a 7% increase in generation at other Wind projects. Additionally, there was an increase of $4 million in economic gross margin due to the acquisition of Spring Canyon in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635</wp:posOffset>
            </wp:positionV>
            <wp:extent cx="7211060" cy="123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060" cy="1231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Increase in average price per MWh due to higher pricing in the Alta X and XI PPAs which were effective in January 2016, compared with merchant prices in 2015</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Thermal:</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35"/>
        <w:spacing w:after="0"/>
        <w:rPr>
          <w:sz w:val="20"/>
          <w:szCs w:val="20"/>
          <w:color w:val="auto"/>
        </w:rPr>
      </w:pPr>
      <w:r>
        <w:rPr>
          <w:rFonts w:ascii="Arial" w:cs="Arial" w:eastAsia="Arial" w:hAnsi="Arial"/>
          <w:sz w:val="10"/>
          <w:szCs w:val="10"/>
          <w:b w:val="1"/>
          <w:bCs w:val="1"/>
          <w:color w:val="auto"/>
        </w:rPr>
        <w:t>(In millions)</w:t>
      </w:r>
    </w:p>
    <w:p>
      <w:pPr>
        <w:spacing w:after="0" w:line="194" w:lineRule="exact"/>
        <w:rPr>
          <w:sz w:val="20"/>
          <w:szCs w:val="20"/>
          <w:color w:val="auto"/>
        </w:rPr>
      </w:pPr>
    </w:p>
    <w:p>
      <w:pPr>
        <w:ind w:left="875" w:hanging="875"/>
        <w:spacing w:after="0"/>
        <w:tabs>
          <w:tab w:leader="none" w:pos="875" w:val="left"/>
        </w:tabs>
        <w:numPr>
          <w:ilvl w:val="0"/>
          <w:numId w:val="20"/>
        </w:numPr>
        <w:rPr>
          <w:rFonts w:ascii="Arial" w:cs="Arial" w:eastAsia="Arial" w:hAnsi="Arial"/>
          <w:sz w:val="10"/>
          <w:szCs w:val="10"/>
          <w:color w:val="auto"/>
        </w:rPr>
      </w:pPr>
      <w:r>
        <w:rPr>
          <w:rFonts w:ascii="Arial" w:cs="Arial" w:eastAsia="Arial" w:hAnsi="Arial"/>
          <w:sz w:val="10"/>
          <w:szCs w:val="10"/>
          <w:color w:val="auto"/>
        </w:rPr>
        <w:t>61</w:t>
      </w:r>
    </w:p>
    <w:p>
      <w:pPr>
        <w:spacing w:after="0" w:line="79" w:lineRule="exact"/>
        <w:rPr>
          <w:rFonts w:ascii="Arial" w:cs="Arial" w:eastAsia="Arial" w:hAnsi="Arial"/>
          <w:sz w:val="10"/>
          <w:szCs w:val="10"/>
          <w:color w:val="auto"/>
        </w:rPr>
      </w:pPr>
    </w:p>
    <w:p>
      <w:pPr>
        <w:ind w:left="875"/>
        <w:spacing w:after="0"/>
        <w:rPr>
          <w:rFonts w:ascii="Arial" w:cs="Arial" w:eastAsia="Arial" w:hAnsi="Arial"/>
          <w:sz w:val="10"/>
          <w:szCs w:val="10"/>
          <w:color w:val="auto"/>
        </w:rPr>
      </w:pPr>
      <w:r>
        <w:rPr>
          <w:rFonts w:ascii="Arial" w:cs="Arial" w:eastAsia="Arial" w:hAnsi="Arial"/>
          <w:sz w:val="10"/>
          <w:szCs w:val="10"/>
          <w:color w:val="auto"/>
        </w:rPr>
        <w:t>27</w:t>
      </w:r>
    </w:p>
    <w:p>
      <w:pPr>
        <w:spacing w:after="0" w:line="262" w:lineRule="exact"/>
        <w:rPr>
          <w:sz w:val="20"/>
          <w:szCs w:val="20"/>
          <w:color w:val="auto"/>
        </w:rPr>
      </w:pPr>
    </w:p>
    <w:p>
      <w:pPr>
        <w:sectPr>
          <w:pgSz w:w="11900" w:h="16838" w:orient="portrait"/>
          <w:cols w:equalWidth="0" w:num="2">
            <w:col w:w="10120" w:space="185"/>
            <w:col w:w="1175"/>
          </w:cols>
          <w:pgMar w:left="220" w:top="714" w:right="199" w:bottom="1440" w:gutter="0" w:footer="0" w:header="0"/>
        </w:sectPr>
      </w:pPr>
    </w:p>
    <w:tbl>
      <w:tblPr>
        <w:tblLayout w:type="fixed"/>
        <w:tblInd w:w="60" w:type="dxa"/>
        <w:tblCellMar>
          <w:top w:w="0" w:type="dxa"/>
          <w:left w:w="0" w:type="dxa"/>
          <w:bottom w:w="0" w:type="dxa"/>
          <w:right w:w="0" w:type="dxa"/>
        </w:tblCellMar>
      </w:tblPr>
      <w:tr>
        <w:trPr>
          <w:trHeight w:val="194"/>
        </w:trPr>
        <w:tc>
          <w:tcPr>
            <w:tcW w:w="10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Higher sales volume in 2016 as a result of milder weather in 2015, as well as the completion of a project for a new customer in the second half of the year</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b w:val="1"/>
                <w:bCs w:val="1"/>
                <w:color w:val="auto"/>
              </w:rPr>
              <w:t>Conventional:</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Lower revenues at Walnut Creek as a result of forced outages in 2016, partially offset by higher revenues at El Segundo in 2016 as a result of forced outages in 2015</w:t>
            </w: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w:t>
            </w:r>
          </w:p>
        </w:tc>
      </w:tr>
      <w:tr>
        <w:trPr>
          <w:trHeight w:val="164"/>
        </w:trPr>
        <w:tc>
          <w:tcPr>
            <w:tcW w:w="10220" w:type="dxa"/>
            <w:vAlign w:val="bottom"/>
          </w:tcPr>
          <w:p>
            <w:pPr>
              <w:ind w:left="200"/>
              <w:spacing w:after="0"/>
              <w:rPr>
                <w:sz w:val="20"/>
                <w:szCs w:val="20"/>
                <w:color w:val="auto"/>
              </w:rPr>
            </w:pPr>
            <w:r>
              <w:rPr>
                <w:rFonts w:ascii="Arial" w:cs="Arial" w:eastAsia="Arial" w:hAnsi="Arial"/>
                <w:sz w:val="13"/>
                <w:szCs w:val="13"/>
                <w:b w:val="1"/>
                <w:bCs w:val="1"/>
                <w:color w:val="auto"/>
              </w:rPr>
              <w:t>Increase in economic gross margin</w:t>
            </w:r>
          </w:p>
        </w:tc>
        <w:tc>
          <w:tcPr>
            <w:tcW w:w="480" w:type="dxa"/>
            <w:vAlign w:val="bottom"/>
            <w:tcBorders>
              <w:top w:val="single" w:sz="8" w:color="auto"/>
            </w:tcBorders>
          </w:tcPr>
          <w:p>
            <w:pPr>
              <w:jc w:val="right"/>
              <w:ind w:right="33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90</w:t>
            </w: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Higher contract amortization primarily for the Alta X and XI PPAs, which began in January 2016</w:t>
            </w:r>
          </w:p>
        </w:tc>
        <w:tc>
          <w:tcPr>
            <w:tcW w:w="4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(15)</w:t>
            </w:r>
          </w:p>
        </w:tc>
      </w:tr>
      <w:tr>
        <w:trPr>
          <w:trHeight w:val="174"/>
        </w:trPr>
        <w:tc>
          <w:tcPr>
            <w:tcW w:w="10220" w:type="dxa"/>
            <w:vAlign w:val="bottom"/>
          </w:tcPr>
          <w:p>
            <w:pPr>
              <w:ind w:left="200"/>
              <w:spacing w:after="0"/>
              <w:rPr>
                <w:sz w:val="20"/>
                <w:szCs w:val="20"/>
                <w:color w:val="auto"/>
              </w:rPr>
            </w:pPr>
            <w:r>
              <w:rPr>
                <w:rFonts w:ascii="Arial" w:cs="Arial" w:eastAsia="Arial" w:hAnsi="Arial"/>
                <w:sz w:val="13"/>
                <w:szCs w:val="13"/>
                <w:color w:val="auto"/>
              </w:rPr>
              <w:t>Emissions credit amortization of NOx allowances at Walnut Creek and El Segundo in compliance with amendments to the Regional Clean Air Incentives Market program</w:t>
            </w:r>
          </w:p>
        </w:tc>
        <w:tc>
          <w:tcPr>
            <w:tcW w:w="480" w:type="dxa"/>
            <w:vAlign w:val="bottom"/>
          </w:tcPr>
          <w:p>
            <w:pPr>
              <w:spacing w:after="0"/>
              <w:rPr>
                <w:sz w:val="15"/>
                <w:szCs w:val="15"/>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(6)</w:t>
            </w: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Unrealized losses on forward contracts prior to the start of the PPA for Elbow Creek which began October 2015</w:t>
            </w: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r>
      <w:tr>
        <w:trPr>
          <w:trHeight w:val="193"/>
        </w:trPr>
        <w:tc>
          <w:tcPr>
            <w:tcW w:w="10220" w:type="dxa"/>
            <w:vAlign w:val="bottom"/>
          </w:tcPr>
          <w:p>
            <w:pPr>
              <w:ind w:left="20"/>
              <w:spacing w:after="0"/>
              <w:rPr>
                <w:sz w:val="20"/>
                <w:szCs w:val="20"/>
                <w:color w:val="auto"/>
              </w:rPr>
            </w:pPr>
            <w:r>
              <w:rPr>
                <w:rFonts w:ascii="Arial" w:cs="Arial" w:eastAsia="Arial" w:hAnsi="Arial"/>
                <w:sz w:val="13"/>
                <w:szCs w:val="13"/>
                <w:b w:val="1"/>
                <w:bCs w:val="1"/>
                <w:color w:val="auto"/>
              </w:rPr>
              <w:t>Increase in gross margin</w:t>
            </w:r>
          </w:p>
        </w:tc>
        <w:tc>
          <w:tcPr>
            <w:tcW w:w="4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71</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Operations and Maintenance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320" w:type="dxa"/>
            <w:vAlign w:val="bottom"/>
          </w:tcPr>
          <w:p>
            <w:pPr>
              <w:spacing w:after="0"/>
              <w:rPr>
                <w:sz w:val="11"/>
                <w:szCs w:val="1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Conventional</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Thermal</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Total</w:t>
            </w:r>
          </w:p>
        </w:tc>
      </w:tr>
      <w:tr>
        <w:trPr>
          <w:trHeight w:val="188"/>
        </w:trPr>
        <w:tc>
          <w:tcPr>
            <w:tcW w:w="632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106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6"/>
              </w:rPr>
              <w:t>96</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48</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176</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color w:val="auto"/>
              </w:rPr>
              <w:t>Year ended December 31, 2015</w:t>
            </w:r>
          </w:p>
        </w:tc>
        <w:tc>
          <w:tcPr>
            <w:tcW w:w="10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jc w:val="right"/>
              <w:ind w:right="55"/>
              <w:spacing w:after="0"/>
              <w:rPr>
                <w:sz w:val="20"/>
                <w:szCs w:val="20"/>
                <w:color w:val="auto"/>
              </w:rPr>
            </w:pPr>
            <w:r>
              <w:rPr>
                <w:rFonts w:ascii="Arial" w:cs="Arial" w:eastAsia="Arial" w:hAnsi="Arial"/>
                <w:sz w:val="13"/>
                <w:szCs w:val="13"/>
                <w:color w:val="auto"/>
                <w:w w:val="96"/>
              </w:rPr>
              <w:t>99</w:t>
            </w:r>
          </w:p>
        </w:tc>
        <w:tc>
          <w:tcPr>
            <w:tcW w:w="94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51</w:t>
            </w:r>
          </w:p>
        </w:tc>
        <w:tc>
          <w:tcPr>
            <w:tcW w:w="380" w:type="dxa"/>
            <w:vAlign w:val="bottom"/>
          </w:tcPr>
          <w:p>
            <w:pPr>
              <w:spacing w:after="0"/>
              <w:rPr>
                <w:sz w:val="15"/>
                <w:szCs w:val="15"/>
                <w:color w:val="auto"/>
              </w:rPr>
            </w:pPr>
          </w:p>
        </w:tc>
        <w:tc>
          <w:tcPr>
            <w:tcW w:w="860" w:type="dxa"/>
            <w:vAlign w:val="bottom"/>
          </w:tcPr>
          <w:p>
            <w:pPr>
              <w:jc w:val="right"/>
              <w:ind w:right="60"/>
              <w:spacing w:after="0"/>
              <w:rPr>
                <w:sz w:val="20"/>
                <w:szCs w:val="20"/>
                <w:color w:val="auto"/>
              </w:rPr>
            </w:pPr>
            <w:r>
              <w:rPr>
                <w:rFonts w:ascii="Arial" w:cs="Arial" w:eastAsia="Arial" w:hAnsi="Arial"/>
                <w:sz w:val="13"/>
                <w:szCs w:val="13"/>
                <w:color w:val="auto"/>
              </w:rPr>
              <w:t>180</w:t>
            </w:r>
          </w:p>
        </w:tc>
      </w:tr>
    </w:tbl>
    <w:p>
      <w:pPr>
        <w:spacing w:after="0" w:line="12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Operations and maintenance expense decreased by $4 million during the year ended December 31, 2016, compared to the same period in 2015, driven by:</w:t>
      </w:r>
    </w:p>
    <w:p>
      <w:pPr>
        <w:spacing w:after="0" w:line="377" w:lineRule="exact"/>
        <w:rPr>
          <w:sz w:val="20"/>
          <w:szCs w:val="20"/>
          <w:color w:val="auto"/>
        </w:rPr>
      </w:pPr>
    </w:p>
    <w:p>
      <w:pPr>
        <w:ind w:left="10340"/>
        <w:spacing w:after="0"/>
        <w:rPr>
          <w:sz w:val="20"/>
          <w:szCs w:val="20"/>
          <w:color w:val="auto"/>
        </w:rPr>
      </w:pPr>
      <w:r>
        <w:rPr>
          <w:rFonts w:ascii="Arial" w:cs="Arial" w:eastAsia="Arial" w:hAnsi="Arial"/>
          <w:sz w:val="10"/>
          <w:szCs w:val="1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85355" cy="123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ectPr>
          <w:pgSz w:w="11900" w:h="16838" w:orient="portrait"/>
          <w:cols w:equalWidth="0" w:num="1">
            <w:col w:w="11480"/>
          </w:cols>
          <w:pgMar w:left="220" w:top="714" w:right="199" w:bottom="1440" w:gutter="0" w:footer="0" w:header="0"/>
          <w:type w:val="continuous"/>
        </w:sectPr>
      </w:pPr>
    </w:p>
    <w:p>
      <w:pPr>
        <w:spacing w:after="0" w:line="3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Increase in Conventional segment primarily due to Walnut Creek forced outages in 2016, compared to the forced outages at El Segundo in 2015</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Decrease in Renewables segment primarily due to insurance proceeds received at Wildorado in 2016 in connection with a 2014 wind outage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285355" cy="123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Decrease in Thermal segment primarily due to acceleration of maintenance work on thermal facilities into 2015</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Costs of Operations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957" w:hanging="957"/>
        <w:spacing w:after="0"/>
        <w:tabs>
          <w:tab w:leader="none" w:pos="9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2</w:t>
      </w:r>
    </w:p>
    <w:p>
      <w:pPr>
        <w:spacing w:after="0" w:line="44" w:lineRule="exact"/>
        <w:rPr>
          <w:rFonts w:ascii="Arial" w:cs="Arial" w:eastAsia="Arial" w:hAnsi="Arial"/>
          <w:sz w:val="13"/>
          <w:szCs w:val="13"/>
          <w:color w:val="auto"/>
        </w:rPr>
      </w:pPr>
    </w:p>
    <w:p>
      <w:pPr>
        <w:ind w:left="917"/>
        <w:spacing w:after="0"/>
        <w:rPr>
          <w:rFonts w:ascii="Arial" w:cs="Arial" w:eastAsia="Arial" w:hAnsi="Arial"/>
          <w:sz w:val="13"/>
          <w:szCs w:val="13"/>
          <w:color w:val="auto"/>
        </w:rPr>
      </w:pPr>
      <w:r>
        <w:rPr>
          <w:rFonts w:ascii="Arial" w:cs="Arial" w:eastAsia="Arial" w:hAnsi="Arial"/>
          <w:sz w:val="11"/>
          <w:szCs w:val="11"/>
          <w:color w:val="auto"/>
        </w:rPr>
        <w:t>(3)</w:t>
      </w:r>
    </w:p>
    <w:p>
      <w:pPr>
        <w:spacing w:after="0" w:line="67" w:lineRule="exact"/>
        <w:rPr>
          <w:rFonts w:ascii="Arial" w:cs="Arial" w:eastAsia="Arial" w:hAnsi="Arial"/>
          <w:sz w:val="13"/>
          <w:szCs w:val="13"/>
          <w:color w:val="auto"/>
        </w:rPr>
      </w:pPr>
    </w:p>
    <w:p>
      <w:pPr>
        <w:ind w:left="917"/>
        <w:spacing w:after="0"/>
        <w:rPr>
          <w:rFonts w:ascii="Arial" w:cs="Arial" w:eastAsia="Arial" w:hAnsi="Arial"/>
          <w:sz w:val="13"/>
          <w:szCs w:val="13"/>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2771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 cy="6350"/>
                    </a:xfrm>
                    <a:prstGeom prst="rect">
                      <a:avLst/>
                    </a:prstGeom>
                    <a:noFill/>
                  </pic:spPr>
                </pic:pic>
              </a:graphicData>
            </a:graphic>
          </wp:anchor>
        </w:drawing>
      </w:r>
    </w:p>
    <w:p>
      <w:pPr>
        <w:spacing w:after="0" w:line="58" w:lineRule="exact"/>
        <w:rPr>
          <w:sz w:val="20"/>
          <w:szCs w:val="20"/>
          <w:color w:val="auto"/>
        </w:rPr>
      </w:pPr>
    </w:p>
    <w:p>
      <w:pPr>
        <w:ind w:left="917" w:hanging="917"/>
        <w:spacing w:after="0"/>
        <w:tabs>
          <w:tab w:leader="none" w:pos="9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2771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 cy="6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48895</wp:posOffset>
            </wp:positionV>
            <wp:extent cx="72771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 cy="635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9623" w:space="720"/>
            <w:col w:w="1137"/>
          </w:cols>
          <w:pgMar w:left="220" w:top="714" w:right="199" w:bottom="1440" w:gutter="0" w:footer="0" w:header="0"/>
          <w:type w:val="continuous"/>
        </w:sectPr>
      </w:pPr>
    </w:p>
    <w:p>
      <w:pPr>
        <w:ind w:right="20" w:firstLine="291"/>
        <w:spacing w:after="0" w:line="271" w:lineRule="auto"/>
        <w:rPr>
          <w:sz w:val="20"/>
          <w:szCs w:val="20"/>
          <w:color w:val="auto"/>
        </w:rPr>
      </w:pPr>
      <w:r>
        <w:rPr>
          <w:rFonts w:ascii="Arial" w:cs="Arial" w:eastAsia="Arial" w:hAnsi="Arial"/>
          <w:sz w:val="13"/>
          <w:szCs w:val="13"/>
          <w:color w:val="auto"/>
        </w:rPr>
        <w:t>Other costs of operations decreased by $7 million during the year ended December 31, 2016, compared to the same period in 2015, primarily due to lower assessments for property taxes at Alta X and XI and NRG Wind TE Holdco.</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123" w:lineRule="exact"/>
        <w:rPr>
          <w:sz w:val="20"/>
          <w:szCs w:val="20"/>
          <w:color w:val="auto"/>
        </w:rPr>
      </w:pPr>
    </w:p>
    <w:p>
      <w:pPr>
        <w:ind w:right="20" w:firstLine="291"/>
        <w:spacing w:after="0" w:line="271" w:lineRule="auto"/>
        <w:rPr>
          <w:sz w:val="20"/>
          <w:szCs w:val="20"/>
          <w:color w:val="auto"/>
        </w:rPr>
      </w:pPr>
      <w:r>
        <w:rPr>
          <w:rFonts w:ascii="Arial" w:cs="Arial" w:eastAsia="Arial" w:hAnsi="Arial"/>
          <w:sz w:val="13"/>
          <w:szCs w:val="13"/>
          <w:color w:val="auto"/>
        </w:rPr>
        <w:t>General and administrative expenses increased by $4 million for the year ended December 31, 2016 compared to the same period in 2015, primarily due to new executive compensation in 2016, and an increase in base management fee for the Management Services Agreement with NRG in connection with the acquisition of the Drop Down Assets.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80"/>
          </w:cols>
          <w:pgMar w:left="220" w:top="714" w:right="1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b w:val="1"/>
          <w:bCs w:val="1"/>
          <w:i w:val="1"/>
          <w:iCs w:val="1"/>
          <w:color w:val="auto"/>
        </w:rPr>
        <w:t>Impairment Losses</w:t>
      </w:r>
    </w:p>
    <w:p>
      <w:pPr>
        <w:spacing w:after="0" w:line="123"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 xml:space="preserve">For the year ended December 31, 2016, the Company recorded impairment losses of $185 million, primarily due to the impairments of property, plant and equipment for Elbow Creek, Goat Wind, and Forward, as further described in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9, </w:t>
      </w:r>
      <w:r>
        <w:rPr>
          <w:rFonts w:ascii="Arial" w:cs="Arial" w:eastAsia="Arial" w:hAnsi="Arial"/>
          <w:sz w:val="13"/>
          <w:szCs w:val="13"/>
          <w:i w:val="1"/>
          <w:iCs w:val="1"/>
          <w:color w:val="auto"/>
        </w:rPr>
        <w:t>Asset Impairments</w:t>
      </w:r>
      <w:r>
        <w:rPr>
          <w:rFonts w:ascii="Arial" w:cs="Arial" w:eastAsia="Arial" w:hAnsi="Arial"/>
          <w:sz w:val="13"/>
          <w:szCs w:val="13"/>
          <w:color w:val="auto"/>
        </w:rPr>
        <w:t>,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as well as in </w:t>
      </w:r>
      <w:r>
        <w:rPr>
          <w:rFonts w:ascii="Arial" w:cs="Arial" w:eastAsia="Arial" w:hAnsi="Arial"/>
          <w:sz w:val="13"/>
          <w:szCs w:val="13"/>
          <w:i w:val="1"/>
          <w:iCs w:val="1"/>
          <w:color w:val="auto"/>
        </w:rPr>
        <w:t>Critical Accounting Policies and Estimates</w:t>
      </w:r>
      <w:r>
        <w:rPr>
          <w:rFonts w:ascii="Arial" w:cs="Arial" w:eastAsia="Arial" w:hAnsi="Arial"/>
          <w:sz w:val="13"/>
          <w:szCs w:val="13"/>
          <w:color w:val="auto"/>
        </w:rPr>
        <w:t xml:space="preserve"> in this Item 7 below. Because the projects were acquired from NRG and related to interests under common control by NRG, the property, plant and equipment for these assets was recorded at historical cost of $298 million rather than estimated fair value of $132 million at the acquisition date. The three projects were acquired as part of the November 2015 Drop Down Assets. As discussed in Item 15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historical cost for November 2015 Drop Down Assets was $369 million for the net assets, which was higher than the fair value paid of $207 million. The difference between the historical cost of net assets and the fair value paid for the November 2015 Drop Down Assets was recorded to contributed capital on the Company’s consolidated balance sheet.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Loss on Debt Extinguishment</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A loss on debt extinguishment of $9 million was recorded for the year ended December 31, 2015, driven by the refinancing of the El Segundo credit facility and the termination of the interest rate swaps for Alta Wind X and XI in connection with the sale of an economic interest in Alta TE Holdco to a financial institution as further described in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5, </w:t>
      </w:r>
      <w:r>
        <w:rPr>
          <w:rFonts w:ascii="Arial" w:cs="Arial" w:eastAsia="Arial" w:hAnsi="Arial"/>
          <w:sz w:val="13"/>
          <w:szCs w:val="13"/>
          <w:i w:val="1"/>
          <w:iCs w:val="1"/>
          <w:color w:val="auto"/>
        </w:rPr>
        <w:t>Investments Accounted for by the Equity Method and Variable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Interest Entities, </w:t>
      </w:r>
      <w:r>
        <w:rPr>
          <w:rFonts w:ascii="Arial" w:cs="Arial" w:eastAsia="Arial" w:hAnsi="Arial"/>
          <w:sz w:val="13"/>
          <w:szCs w:val="13"/>
          <w:color w:val="auto"/>
        </w:rPr>
        <w:t>to 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in Earnings of Unconsolidated Affiliates</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Equity in earnings of unconsolidated affiliates increased by $29 million during the year ended December 31, 2016, compared to the same period in 2015, primarily due to an increase in equity earnings from Desert Sunlight, which was acquired in June 2015, DGPV Holdco 1 and RPV Holdco, partially offset by losses from Elkhorn Ridge.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increased by $14 million during the year ended December 31, 2016, compared to the same period in 2015, due to:</w:t>
      </w: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134"/>
        </w:trPr>
        <w:tc>
          <w:tcPr>
            <w:tcW w:w="9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1"/>
                <w:szCs w:val="11"/>
                <w:color w:val="auto"/>
              </w:rPr>
            </w:pPr>
          </w:p>
        </w:tc>
      </w:tr>
      <w:tr>
        <w:trPr>
          <w:trHeight w:val="183"/>
        </w:trPr>
        <w:tc>
          <w:tcPr>
            <w:tcW w:w="9760" w:type="dxa"/>
            <w:vAlign w:val="bottom"/>
          </w:tcPr>
          <w:p>
            <w:pPr>
              <w:ind w:left="20"/>
              <w:spacing w:after="0"/>
              <w:rPr>
                <w:sz w:val="20"/>
                <w:szCs w:val="20"/>
                <w:color w:val="auto"/>
              </w:rPr>
            </w:pPr>
            <w:r>
              <w:rPr>
                <w:rFonts w:ascii="Arial" w:cs="Arial" w:eastAsia="Arial" w:hAnsi="Arial"/>
                <w:sz w:val="13"/>
                <w:szCs w:val="13"/>
                <w:color w:val="auto"/>
              </w:rPr>
              <w:t>Amortization of the fair value of interest rate swaps primarily acquired with the January 2015 Drop Down Assets and November 2015 Drop Down Assets</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10</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2026 Senior Notes in August 2016</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Utah Solar Portfolio debt assumed in connection with the March 2017 Drop Down Assets</w:t>
            </w:r>
          </w:p>
        </w:tc>
        <w:tc>
          <w:tcPr>
            <w:tcW w:w="7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6</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Intercompany debt issued with Yield, Inc. in 2015, due 2020</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Issuance of 2037 CVSR Holdco Notes in July 2016</w:t>
            </w:r>
          </w:p>
        </w:tc>
        <w:tc>
          <w:tcPr>
            <w:tcW w:w="7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4</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Higher revolving credit facility borrowings in 2016</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Repricing of project-level financing arrangements and lower principal balances</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4"/>
        </w:trPr>
        <w:tc>
          <w:tcPr>
            <w:tcW w:w="97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w:t>
            </w:r>
          </w:p>
        </w:tc>
      </w:tr>
      <w:tr>
        <w:trPr>
          <w:trHeight w:val="29"/>
        </w:trPr>
        <w:tc>
          <w:tcPr>
            <w:tcW w:w="97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Attributable to Noncontrolling Interests</w:t>
      </w:r>
    </w:p>
    <w:p>
      <w:pPr>
        <w:spacing w:after="0" w:line="123" w:lineRule="exact"/>
        <w:rPr>
          <w:sz w:val="20"/>
          <w:szCs w:val="20"/>
          <w:color w:val="auto"/>
        </w:rPr>
      </w:pPr>
    </w:p>
    <w:p>
      <w:pPr>
        <w:ind w:right="100" w:firstLine="291"/>
        <w:spacing w:after="0" w:line="260" w:lineRule="auto"/>
        <w:rPr>
          <w:sz w:val="20"/>
          <w:szCs w:val="20"/>
          <w:color w:val="auto"/>
        </w:rPr>
      </w:pPr>
      <w:r>
        <w:rPr>
          <w:rFonts w:ascii="Arial" w:cs="Arial" w:eastAsia="Arial" w:hAnsi="Arial"/>
          <w:sz w:val="13"/>
          <w:szCs w:val="13"/>
          <w:color w:val="auto"/>
        </w:rPr>
        <w:t>For the year ended December 31, 2016, the Company had a loss of $111 million attributable to noncontrolling interests with respect to its tax equity financing arrangements and the application of the HLBV method, which was primarily related to the impairment losses described above. For the year ended December 31, 2015, the Company had a loss of $62 million attributable to noncontrolling interests with respect to its tax equity financing arrangements and the application of the HLBV method.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80"/>
          </w:cols>
          <w:pgMar w:left="220" w:top="714" w:right="19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27" w:lineRule="exact"/>
        <w:rPr>
          <w:sz w:val="20"/>
          <w:szCs w:val="20"/>
          <w:color w:val="auto"/>
        </w:rPr>
      </w:pPr>
    </w:p>
    <w:p>
      <w:pPr>
        <w:jc w:val="both"/>
        <w:ind w:firstLine="291"/>
        <w:spacing w:after="0" w:line="285" w:lineRule="auto"/>
        <w:rPr>
          <w:sz w:val="20"/>
          <w:szCs w:val="20"/>
          <w:color w:val="auto"/>
        </w:rPr>
      </w:pPr>
      <w:r>
        <w:rPr>
          <w:rFonts w:ascii="Arial" w:cs="Arial" w:eastAsia="Arial" w:hAnsi="Arial"/>
          <w:sz w:val="12"/>
          <w:szCs w:val="12"/>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2"/>
          <w:szCs w:val="12"/>
          <w:color w:val="000000"/>
        </w:rPr>
        <w:t>As a normal part of the Company's business, depending on market conditions, the Company will from time to time consider opportunities to repay, redeem, repurchase or refinance its indebtedness. Changes</w:t>
      </w:r>
      <w:r>
        <w:rPr>
          <w:rFonts w:ascii="Arial" w:cs="Arial" w:eastAsia="Arial" w:hAnsi="Arial"/>
          <w:sz w:val="12"/>
          <w:szCs w:val="12"/>
          <w:color w:val="231F20"/>
        </w:rPr>
        <w:t xml:space="preserve"> </w:t>
      </w:r>
      <w:r>
        <w:rPr>
          <w:rFonts w:ascii="Arial" w:cs="Arial" w:eastAsia="Arial" w:hAnsi="Arial"/>
          <w:sz w:val="12"/>
          <w:szCs w:val="12"/>
          <w:color w:val="000000"/>
        </w:rPr>
        <w:t>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Current Liquidity Position</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As of </w:t>
      </w:r>
      <w:r>
        <w:rPr>
          <w:rFonts w:ascii="Arial" w:cs="Arial" w:eastAsia="Arial" w:hAnsi="Arial"/>
          <w:sz w:val="13"/>
          <w:szCs w:val="13"/>
          <w:color w:val="000000"/>
        </w:rPr>
        <w:t>December 31, 2017</w:t>
      </w:r>
      <w:r>
        <w:rPr>
          <w:rFonts w:ascii="Arial" w:cs="Arial" w:eastAsia="Arial" w:hAnsi="Arial"/>
          <w:sz w:val="13"/>
          <w:szCs w:val="13"/>
          <w:color w:val="231F20"/>
        </w:rPr>
        <w:t xml:space="preserve"> and 2016, the Company's liquidity was approximately $680 million and $932 million, respectively, comprised of cash, restricted cash, and availability under the Company's revolving credit facility.</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139"/>
        </w:trPr>
        <w:tc>
          <w:tcPr>
            <w:tcW w:w="600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0"/>
                <w:szCs w:val="10"/>
                <w:b w:val="1"/>
                <w:bCs w:val="1"/>
                <w:color w:val="auto"/>
              </w:rPr>
              <w:t>As of December 31,</w:t>
            </w:r>
          </w:p>
        </w:tc>
        <w:tc>
          <w:tcPr>
            <w:tcW w:w="1520" w:type="dxa"/>
            <w:vAlign w:val="bottom"/>
            <w:tcBorders>
              <w:bottom w:val="single" w:sz="8" w:color="auto"/>
            </w:tcBorders>
          </w:tcPr>
          <w:p>
            <w:pPr>
              <w:spacing w:after="0"/>
              <w:rPr>
                <w:sz w:val="12"/>
                <w:szCs w:val="12"/>
                <w:color w:val="auto"/>
              </w:rPr>
            </w:pPr>
          </w:p>
        </w:tc>
      </w:tr>
      <w:tr>
        <w:trPr>
          <w:trHeight w:val="184"/>
        </w:trPr>
        <w:tc>
          <w:tcPr>
            <w:tcW w:w="6000" w:type="dxa"/>
            <w:vAlign w:val="bottom"/>
          </w:tcPr>
          <w:p>
            <w:pPr>
              <w:spacing w:after="0"/>
              <w:rPr>
                <w:sz w:val="16"/>
                <w:szCs w:val="16"/>
                <w:color w:val="auto"/>
              </w:rPr>
            </w:pPr>
          </w:p>
        </w:tc>
        <w:tc>
          <w:tcPr>
            <w:tcW w:w="152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2017</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37"/>
              <w:spacing w:after="0"/>
              <w:rPr>
                <w:sz w:val="20"/>
                <w:szCs w:val="20"/>
                <w:color w:val="auto"/>
              </w:rPr>
            </w:pPr>
            <w:r>
              <w:rPr>
                <w:rFonts w:ascii="Arial" w:cs="Arial" w:eastAsia="Arial" w:hAnsi="Arial"/>
                <w:sz w:val="10"/>
                <w:szCs w:val="10"/>
                <w:b w:val="1"/>
                <w:bCs w:val="1"/>
                <w:color w:val="auto"/>
              </w:rPr>
              <w:t>2016</w:t>
            </w:r>
          </w:p>
        </w:tc>
      </w:tr>
      <w:tr>
        <w:trPr>
          <w:trHeight w:val="135"/>
        </w:trPr>
        <w:tc>
          <w:tcPr>
            <w:tcW w:w="60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0"/>
                <w:szCs w:val="10"/>
                <w:b w:val="1"/>
                <w:bCs w:val="1"/>
                <w:color w:val="auto"/>
              </w:rPr>
              <w:t>(In millions)</w:t>
            </w:r>
          </w:p>
        </w:tc>
        <w:tc>
          <w:tcPr>
            <w:tcW w:w="1520" w:type="dxa"/>
            <w:vAlign w:val="bottom"/>
            <w:tcBorders>
              <w:bottom w:val="single" w:sz="8" w:color="auto"/>
            </w:tcBorders>
          </w:tcPr>
          <w:p>
            <w:pPr>
              <w:spacing w:after="0"/>
              <w:rPr>
                <w:sz w:val="11"/>
                <w:szCs w:val="11"/>
                <w:color w:val="auto"/>
              </w:rPr>
            </w:pPr>
          </w:p>
        </w:tc>
      </w:tr>
      <w:tr>
        <w:trPr>
          <w:trHeight w:val="16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520" w:type="dxa"/>
            <w:vAlign w:val="bottom"/>
            <w:tcBorders>
              <w:bottom w:val="single" w:sz="8" w:color="CCEEFF"/>
            </w:tcBorders>
            <w:shd w:val="clear" w:color="auto" w:fill="CCEEFF"/>
          </w:tcPr>
          <w:p>
            <w:pPr>
              <w:jc w:val="right"/>
              <w:ind w:right="13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321</w:t>
            </w:r>
          </w:p>
        </w:tc>
      </w:tr>
      <w:tr>
        <w:trPr>
          <w:trHeight w:val="174"/>
        </w:trPr>
        <w:tc>
          <w:tcPr>
            <w:tcW w:w="6000" w:type="dxa"/>
            <w:vAlign w:val="bottom"/>
          </w:tcPr>
          <w:p>
            <w:pPr>
              <w:spacing w:after="0"/>
              <w:rPr>
                <w:sz w:val="20"/>
                <w:szCs w:val="20"/>
                <w:color w:val="auto"/>
              </w:rPr>
            </w:pPr>
            <w:r>
              <w:rPr>
                <w:rFonts w:ascii="Arial" w:cs="Arial" w:eastAsia="Arial" w:hAnsi="Arial"/>
                <w:sz w:val="13"/>
                <w:szCs w:val="13"/>
                <w:color w:val="auto"/>
              </w:rPr>
              <w:t>Restricted cash - operating</w:t>
            </w:r>
          </w:p>
        </w:tc>
        <w:tc>
          <w:tcPr>
            <w:tcW w:w="152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37"/>
              <w:spacing w:after="0"/>
              <w:rPr>
                <w:sz w:val="20"/>
                <w:szCs w:val="20"/>
                <w:color w:val="auto"/>
              </w:rPr>
            </w:pPr>
            <w:r>
              <w:rPr>
                <w:rFonts w:ascii="Arial" w:cs="Arial" w:eastAsia="Arial" w:hAnsi="Arial"/>
                <w:sz w:val="13"/>
                <w:szCs w:val="13"/>
                <w:color w:val="auto"/>
              </w:rPr>
              <w:t>76</w:t>
            </w:r>
          </w:p>
        </w:tc>
      </w:tr>
      <w:tr>
        <w:trPr>
          <w:trHeight w:val="20"/>
        </w:trPr>
        <w:tc>
          <w:tcPr>
            <w:tcW w:w="6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Restricted cash - reserves</w:t>
            </w:r>
          </w:p>
        </w:tc>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r>
      <w:tr>
        <w:trPr>
          <w:trHeight w:val="164"/>
        </w:trPr>
        <w:tc>
          <w:tcPr>
            <w:tcW w:w="6000" w:type="dxa"/>
            <w:vAlign w:val="bottom"/>
          </w:tcPr>
          <w:p>
            <w:pPr>
              <w:ind w:left="100"/>
              <w:spacing w:after="0"/>
              <w:rPr>
                <w:sz w:val="20"/>
                <w:szCs w:val="20"/>
                <w:color w:val="auto"/>
              </w:rPr>
            </w:pPr>
            <w:r>
              <w:rPr>
                <w:rFonts w:ascii="Arial" w:cs="Arial" w:eastAsia="Arial" w:hAnsi="Arial"/>
                <w:sz w:val="13"/>
                <w:szCs w:val="13"/>
                <w:color w:val="auto"/>
              </w:rPr>
              <w:t>Total</w:t>
            </w:r>
          </w:p>
        </w:tc>
        <w:tc>
          <w:tcPr>
            <w:tcW w:w="15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497</w:t>
            </w:r>
          </w:p>
        </w:tc>
      </w:tr>
      <w:tr>
        <w:trPr>
          <w:trHeight w:val="20"/>
        </w:trPr>
        <w:tc>
          <w:tcPr>
            <w:tcW w:w="6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credit facility availability</w:t>
            </w:r>
          </w:p>
        </w:tc>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366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435</w:t>
            </w:r>
          </w:p>
        </w:tc>
      </w:tr>
      <w:tr>
        <w:trPr>
          <w:trHeight w:val="193"/>
        </w:trPr>
        <w:tc>
          <w:tcPr>
            <w:tcW w:w="6000" w:type="dxa"/>
            <w:vAlign w:val="bottom"/>
          </w:tcPr>
          <w:p>
            <w:pPr>
              <w:ind w:left="100"/>
              <w:spacing w:after="0"/>
              <w:rPr>
                <w:sz w:val="20"/>
                <w:szCs w:val="20"/>
                <w:color w:val="auto"/>
              </w:rPr>
            </w:pPr>
            <w:r>
              <w:rPr>
                <w:rFonts w:ascii="Arial" w:cs="Arial" w:eastAsia="Arial" w:hAnsi="Arial"/>
                <w:sz w:val="13"/>
                <w:szCs w:val="13"/>
                <w:color w:val="auto"/>
              </w:rPr>
              <w:t>Total liquidity</w:t>
            </w:r>
          </w:p>
        </w:tc>
        <w:tc>
          <w:tcPr>
            <w:tcW w:w="1520" w:type="dxa"/>
            <w:vAlign w:val="bottom"/>
            <w:tcBorders>
              <w:top w:val="single" w:sz="8" w:color="auto"/>
              <w:bottom w:val="single" w:sz="8" w:color="auto"/>
            </w:tcBorders>
          </w:tcPr>
          <w:p>
            <w:pPr>
              <w:jc w:val="right"/>
              <w:ind w:right="1380"/>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932</w:t>
            </w:r>
          </w:p>
        </w:tc>
      </w:tr>
    </w:tbl>
    <w:p>
      <w:pPr>
        <w:spacing w:after="0" w:line="108"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The Company's liquidity includes $168 million and $176 million of restricted cash balances as of December 31, 2017 and </w:t>
      </w:r>
      <w:r>
        <w:rPr>
          <w:rFonts w:ascii="Arial" w:cs="Arial" w:eastAsia="Arial" w:hAnsi="Arial"/>
          <w:sz w:val="13"/>
          <w:szCs w:val="13"/>
          <w:color w:val="000000"/>
        </w:rPr>
        <w:t>2016</w:t>
      </w:r>
      <w:r>
        <w:rPr>
          <w:rFonts w:ascii="Arial" w:cs="Arial" w:eastAsia="Arial" w:hAnsi="Arial"/>
          <w:sz w:val="13"/>
          <w:szCs w:val="13"/>
          <w:color w:val="231F20"/>
        </w:rPr>
        <w:t xml:space="preserve">, respectively. Restricted cash consists primarily of funds to satisfy the requirements of certain debt arrangements and funds held within the Company's projects that are restricted in their use. </w:t>
      </w:r>
      <w:r>
        <w:rPr>
          <w:rFonts w:ascii="Arial" w:cs="Arial" w:eastAsia="Arial" w:hAnsi="Arial"/>
          <w:sz w:val="13"/>
          <w:szCs w:val="13"/>
          <w:color w:val="000000"/>
        </w:rPr>
        <w:t>Of these funds as of December 31, 2017, approximately $25 million is designated for current debt service payments,</w:t>
      </w:r>
      <w:r>
        <w:rPr>
          <w:rFonts w:ascii="Arial" w:cs="Arial" w:eastAsia="Arial" w:hAnsi="Arial"/>
          <w:sz w:val="13"/>
          <w:szCs w:val="13"/>
          <w:color w:val="231F20"/>
        </w:rPr>
        <w:t xml:space="preserve"> </w:t>
      </w:r>
      <w:r>
        <w:rPr>
          <w:rFonts w:ascii="Arial" w:cs="Arial" w:eastAsia="Arial" w:hAnsi="Arial"/>
          <w:sz w:val="13"/>
          <w:szCs w:val="13"/>
          <w:color w:val="000000"/>
        </w:rPr>
        <w:t>$25 million is 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100"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The Company's various financing arrangements are described in Item 15 </w:t>
      </w:r>
      <w:r>
        <w:rPr>
          <w:rFonts w:ascii="Arial" w:cs="Arial" w:eastAsia="Arial" w:hAnsi="Arial"/>
          <w:sz w:val="13"/>
          <w:szCs w:val="13"/>
          <w:color w:val="000000"/>
        </w:rPr>
        <w:t>—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to the Consolidated Financial Statements</w:t>
      </w:r>
      <w:r>
        <w:rPr>
          <w:rFonts w:ascii="Arial" w:cs="Arial" w:eastAsia="Arial" w:hAnsi="Arial"/>
          <w:sz w:val="13"/>
          <w:szCs w:val="13"/>
          <w:i w:val="1"/>
          <w:iCs w:val="1"/>
          <w:color w:val="231F20"/>
        </w:rPr>
        <w:t>.</w:t>
      </w:r>
      <w:r>
        <w:rPr>
          <w:rFonts w:ascii="Arial" w:cs="Arial" w:eastAsia="Arial" w:hAnsi="Arial"/>
          <w:sz w:val="13"/>
          <w:szCs w:val="13"/>
          <w:color w:val="231F20"/>
        </w:rPr>
        <w:t xml:space="preserve"> As of </w:t>
      </w:r>
      <w:r>
        <w:rPr>
          <w:rFonts w:ascii="Arial" w:cs="Arial" w:eastAsia="Arial" w:hAnsi="Arial"/>
          <w:sz w:val="13"/>
          <w:szCs w:val="13"/>
          <w:color w:val="000000"/>
        </w:rPr>
        <w:t>December 31, 2017</w:t>
      </w:r>
      <w:r>
        <w:rPr>
          <w:rFonts w:ascii="Arial" w:cs="Arial" w:eastAsia="Arial" w:hAnsi="Arial"/>
          <w:sz w:val="13"/>
          <w:szCs w:val="13"/>
          <w:color w:val="231F20"/>
        </w:rPr>
        <w:t>, $55 million of borrowings and $74 million of letters of credit were outstanding under the revolving credit facility.</w:t>
      </w:r>
    </w:p>
    <w:p>
      <w:pPr>
        <w:spacing w:after="0" w:line="9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60"/>
          </w:cols>
          <w:pgMar w:left="220" w:top="710" w:right="2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i w:val="1"/>
          <w:iCs w:val="1"/>
          <w:color w:val="auto"/>
        </w:rPr>
        <w:t>NRG Transaction and Related Liquidity Considerations</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On February 6, 2018, NRG entered into agreements for the sale of 100% of its interest in NRG Yield, Inc. and its renewable energy development and operations platform, or the NRG Transaction. In connection with this, the Company entered into a Consent and Indemnity Agreement with NRG and Global Infrastructure Partners. For further discussion of the NRG Transaction and the related ROFO impacts, refer to Item 1 — Business, as well as, Item 15 — Note 1, </w:t>
      </w:r>
      <w:r>
        <w:rPr>
          <w:rFonts w:ascii="Arial" w:cs="Arial" w:eastAsia="Arial" w:hAnsi="Arial"/>
          <w:sz w:val="13"/>
          <w:szCs w:val="13"/>
          <w:i w:val="1"/>
          <w:iCs w:val="1"/>
          <w:color w:val="auto"/>
        </w:rPr>
        <w:t>Nature of Business</w:t>
      </w:r>
      <w:r>
        <w:rPr>
          <w:rFonts w:ascii="Arial" w:cs="Arial" w:eastAsia="Arial" w:hAnsi="Arial"/>
          <w:sz w:val="13"/>
          <w:szCs w:val="13"/>
          <w:color w:val="auto"/>
        </w:rPr>
        <w:t>.</w:t>
      </w:r>
    </w:p>
    <w:p>
      <w:pPr>
        <w:spacing w:after="0" w:line="97"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As part of the Consent and Indemnity Agreement, GIP has arranged a $1.5 billion backstop credit facility to manage any change of control costs associated with NRG Yield's corporate debt. In addition, GIP has committed to provide $400 million in financing support for the Carlsbad Energy Center transaction, which would be exercised if necessary.</w:t>
      </w:r>
    </w:p>
    <w:p>
      <w:pPr>
        <w:spacing w:after="0" w:line="90"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Credit Ratings</w:t>
      </w:r>
    </w:p>
    <w:p>
      <w:pPr>
        <w:spacing w:after="0" w:line="123"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2017, the Company's 2024 Senior Notes and 2026 Senior Notes are rated BB by S&amp;P and Ba2 by Moody's. The ratings outlook is stable.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On February 7, 2018, S&amp;P and Moody's reaffirmed the ratings outlook as stable.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Sources of Liquidity</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The Company's principal sources of liquidity include cash on hand, cash generated from operations, borrowings under new and existing financing arrangements and the issuance of additional equity and debt securities by Yield, Inc. or the Company as appropriate given market conditions. As described in </w:t>
      </w:r>
      <w:r>
        <w:rPr>
          <w:rFonts w:ascii="Arial" w:cs="Arial" w:eastAsia="Arial" w:hAnsi="Arial"/>
          <w:sz w:val="13"/>
          <w:szCs w:val="13"/>
          <w:color w:val="000000"/>
        </w:rPr>
        <w:t>Item 15—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xml:space="preserve">, to the Consolidated Financial Statements, and above in </w:t>
      </w:r>
      <w:r>
        <w:rPr>
          <w:rFonts w:ascii="Arial" w:cs="Arial" w:eastAsia="Arial" w:hAnsi="Arial"/>
          <w:sz w:val="13"/>
          <w:szCs w:val="13"/>
          <w:i w:val="1"/>
          <w:iCs w:val="1"/>
          <w:color w:val="000000"/>
        </w:rPr>
        <w:t>Significant Events During the</w:t>
      </w:r>
      <w:r>
        <w:rPr>
          <w:rFonts w:ascii="Arial" w:cs="Arial" w:eastAsia="Arial" w:hAnsi="Arial"/>
          <w:sz w:val="13"/>
          <w:szCs w:val="13"/>
          <w:color w:val="231F20"/>
        </w:rPr>
        <w:t xml:space="preserve"> </w:t>
      </w:r>
      <w:r>
        <w:rPr>
          <w:rFonts w:ascii="Arial" w:cs="Arial" w:eastAsia="Arial" w:hAnsi="Arial"/>
          <w:sz w:val="13"/>
          <w:szCs w:val="13"/>
          <w:i w:val="1"/>
          <w:iCs w:val="1"/>
          <w:color w:val="000000"/>
        </w:rPr>
        <w:t xml:space="preserve">Year Ended December 31, 2017, </w:t>
      </w:r>
      <w:r>
        <w:rPr>
          <w:rFonts w:ascii="Arial" w:cs="Arial" w:eastAsia="Arial" w:hAnsi="Arial"/>
          <w:sz w:val="13"/>
          <w:szCs w:val="13"/>
          <w:color w:val="231F20"/>
        </w:rPr>
        <w:t>the Company's financing arrangements consist of the revolving credit facility, the 2024 Senior Notes, the 2026 Senior Notes, its intercompany borrowings with Yield, Inc. and project-level</w:t>
      </w:r>
      <w:r>
        <w:rPr>
          <w:rFonts w:ascii="Arial" w:cs="Arial" w:eastAsia="Arial" w:hAnsi="Arial"/>
          <w:sz w:val="13"/>
          <w:szCs w:val="13"/>
          <w:i w:val="1"/>
          <w:iCs w:val="1"/>
          <w:color w:val="000000"/>
        </w:rPr>
        <w:t xml:space="preserve"> </w:t>
      </w:r>
      <w:r>
        <w:rPr>
          <w:rFonts w:ascii="Arial" w:cs="Arial" w:eastAsia="Arial" w:hAnsi="Arial"/>
          <w:sz w:val="13"/>
          <w:szCs w:val="13"/>
          <w:color w:val="231F20"/>
        </w:rPr>
        <w:t>financings for its various assets.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At-the-Market Equity Offering Program</w:t>
      </w:r>
    </w:p>
    <w:p>
      <w:pPr>
        <w:spacing w:after="0" w:line="152" w:lineRule="exact"/>
        <w:rPr>
          <w:sz w:val="20"/>
          <w:szCs w:val="20"/>
          <w:color w:val="auto"/>
        </w:rPr>
      </w:pPr>
    </w:p>
    <w:p>
      <w:pPr>
        <w:jc w:val="both"/>
        <w:ind w:right="20" w:firstLine="233"/>
        <w:spacing w:after="0" w:line="253" w:lineRule="auto"/>
        <w:rPr>
          <w:sz w:val="20"/>
          <w:szCs w:val="20"/>
          <w:color w:val="auto"/>
        </w:rPr>
      </w:pPr>
      <w:r>
        <w:rPr>
          <w:rFonts w:ascii="Arial" w:cs="Arial" w:eastAsia="Arial" w:hAnsi="Arial"/>
          <w:sz w:val="13"/>
          <w:szCs w:val="13"/>
          <w:color w:val="231F20"/>
        </w:rPr>
        <w:t xml:space="preserve">In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As of December 31, 2017, Yield, Inc. issued 1,921,866 shares of Class C common stock under the ATM Program for gross proceeds of $35 million and incurred commission fees of $346 thousand. </w:t>
      </w:r>
      <w:r>
        <w:rPr>
          <w:rFonts w:ascii="Arial" w:cs="Arial" w:eastAsia="Arial" w:hAnsi="Arial"/>
          <w:sz w:val="13"/>
          <w:szCs w:val="13"/>
          <w:color w:val="000000"/>
        </w:rPr>
        <w:t>At December 31, 2017, approximately $115 million of Class C common stock remains available for issuance under the ATM Program.</w:t>
      </w:r>
      <w:r>
        <w:rPr>
          <w:rFonts w:ascii="Arial" w:cs="Arial" w:eastAsia="Arial" w:hAnsi="Arial"/>
          <w:sz w:val="13"/>
          <w:szCs w:val="13"/>
          <w:color w:val="231F20"/>
        </w:rPr>
        <w:t xml:space="preserve"> Yield, Inc. used the net proceeds to acquire 1,921,866 Class C units from Yield LLC.</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Thermal Financing</w:t>
      </w:r>
    </w:p>
    <w:p>
      <w:pPr>
        <w:spacing w:after="0" w:line="123" w:lineRule="exact"/>
        <w:rPr>
          <w:sz w:val="20"/>
          <w:szCs w:val="20"/>
          <w:color w:val="auto"/>
        </w:rPr>
      </w:pPr>
    </w:p>
    <w:p>
      <w:pPr>
        <w:jc w:val="both"/>
        <w:ind w:right="20" w:firstLine="233"/>
        <w:spacing w:after="0" w:line="329" w:lineRule="auto"/>
        <w:rPr>
          <w:sz w:val="20"/>
          <w:szCs w:val="20"/>
          <w:color w:val="auto"/>
        </w:rPr>
      </w:pPr>
      <w:r>
        <w:rPr>
          <w:rFonts w:ascii="Arial" w:cs="Arial" w:eastAsia="Arial" w:hAnsi="Arial"/>
          <w:sz w:val="11"/>
          <w:szCs w:val="11"/>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1"/>
          <w:szCs w:val="11"/>
          <w:color w:val="231F20"/>
        </w:rPr>
        <w:t>The Series F Notes are secured by substantially all</w:t>
      </w:r>
      <w:r>
        <w:rPr>
          <w:rFonts w:ascii="Arial" w:cs="Arial" w:eastAsia="Arial" w:hAnsi="Arial"/>
          <w:sz w:val="11"/>
          <w:szCs w:val="11"/>
          <w:color w:val="auto"/>
        </w:rPr>
        <w:t xml:space="preserve"> </w:t>
      </w:r>
      <w:r>
        <w:rPr>
          <w:rFonts w:ascii="Arial" w:cs="Arial" w:eastAsia="Arial" w:hAnsi="Arial"/>
          <w:sz w:val="11"/>
          <w:szCs w:val="11"/>
          <w:color w:val="231F20"/>
        </w:rPr>
        <w:t>of the assets of NRG Energy Center Minneapolis LLC. NRG Thermal LLC has guaranteed the indebtedness and its guarantee is secured by a pledge of the equity interests in all of NRG Thermal LLC’s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80"/>
          </w:cols>
          <w:pgMar w:left="220" w:top="714" w:right="19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i w:val="1"/>
          <w:iCs w:val="1"/>
          <w:color w:val="231F20"/>
        </w:rPr>
        <w:t>Uses of Liquidity</w:t>
      </w:r>
    </w:p>
    <w:p>
      <w:pPr>
        <w:spacing w:after="0" w:line="123" w:lineRule="exact"/>
        <w:rPr>
          <w:sz w:val="20"/>
          <w:szCs w:val="20"/>
          <w:color w:val="auto"/>
        </w:rPr>
      </w:pPr>
    </w:p>
    <w:p>
      <w:pPr>
        <w:jc w:val="both"/>
        <w:ind w:right="20" w:firstLine="350"/>
        <w:spacing w:after="0" w:line="271" w:lineRule="auto"/>
        <w:rPr>
          <w:sz w:val="20"/>
          <w:szCs w:val="20"/>
          <w:color w:val="auto"/>
        </w:rPr>
      </w:pPr>
      <w:r>
        <w:rPr>
          <w:rFonts w:ascii="Arial" w:cs="Arial" w:eastAsia="Arial" w:hAnsi="Arial"/>
          <w:sz w:val="13"/>
          <w:szCs w:val="13"/>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3"/>
          <w:szCs w:val="13"/>
          <w:color w:val="000000"/>
        </w:rPr>
        <w:t>Item 15 —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xml:space="preserve"> to the Consolidated Financial Statements; (ii) capital expenditures; (iii) acquisitions and investments; and (iv) distributions.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Debt Service Obligations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Principal payments on debt as of December 31, 2017, are due in the following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There -</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59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12"/>
                <w:szCs w:val="12"/>
                <w:color w:val="auto"/>
              </w:rPr>
            </w:pPr>
          </w:p>
        </w:tc>
        <w:tc>
          <w:tcPr>
            <w:tcW w:w="560" w:type="dxa"/>
            <w:vAlign w:val="bottom"/>
          </w:tcPr>
          <w:p>
            <w:pPr>
              <w:jc w:val="right"/>
              <w:ind w:right="18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after</w:t>
            </w:r>
          </w:p>
        </w:tc>
        <w:tc>
          <w:tcPr>
            <w:tcW w:w="14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Total</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debt - affiliate, due 2019</w:t>
            </w:r>
          </w:p>
        </w:tc>
        <w:tc>
          <w:tcPr>
            <w:tcW w:w="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337</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Long-term debt - affiliate, due 2020</w:t>
            </w:r>
          </w:p>
        </w:tc>
        <w:tc>
          <w:tcPr>
            <w:tcW w:w="1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281</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NRG Yield Operating LLC Senior Notes, due 2024</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NRG Yield Operating LLC Senior Notes, due 2026</w:t>
            </w:r>
          </w:p>
        </w:tc>
        <w:tc>
          <w:tcPr>
            <w:tcW w:w="1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350</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NRG Yield LLC and NRG Yield Operating LLC Revolving Credit Facility, due 2019</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r>
      <w:tr>
        <w:trPr>
          <w:trHeight w:val="150"/>
        </w:trPr>
        <w:tc>
          <w:tcPr>
            <w:tcW w:w="20" w:type="dxa"/>
            <w:vAlign w:val="bottom"/>
          </w:tcPr>
          <w:p>
            <w:pPr>
              <w:spacing w:after="0"/>
              <w:rPr>
                <w:sz w:val="13"/>
                <w:szCs w:val="13"/>
                <w:color w:val="auto"/>
              </w:rPr>
            </w:pPr>
          </w:p>
        </w:tc>
        <w:tc>
          <w:tcPr>
            <w:tcW w:w="5960" w:type="dxa"/>
            <w:vAlign w:val="bottom"/>
            <w:gridSpan w:val="2"/>
          </w:tcPr>
          <w:p>
            <w:pPr>
              <w:ind w:left="80"/>
              <w:spacing w:after="0"/>
              <w:rPr>
                <w:sz w:val="20"/>
                <w:szCs w:val="20"/>
                <w:color w:val="auto"/>
              </w:rPr>
            </w:pPr>
            <w:r>
              <w:rPr>
                <w:rFonts w:ascii="Arial" w:cs="Arial" w:eastAsia="Arial" w:hAnsi="Arial"/>
                <w:sz w:val="12"/>
                <w:szCs w:val="12"/>
                <w:color w:val="auto"/>
              </w:rPr>
              <w:t>Total Corporate-level debt</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850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1,523</w:t>
            </w:r>
          </w:p>
        </w:tc>
      </w:tr>
      <w:tr>
        <w:trPr>
          <w:trHeight w:val="24"/>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Project-level debt:</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Agua Caliente Borrower 2, due 2038</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41</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Alpine, due 2022</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135</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Alta Wind I - V lease financing arrangements, due 2034 and 2035</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708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926</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CVSR, due 2037</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746</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CVSR Holdco Notes, due 2037</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194</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El Segundo Energy Center,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400</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Energy Center Minneapolis, due 2025</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83</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Energy Center Minneapolis Series D Notes, due 2031</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125</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Laredo Ridge, due 2028</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95</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Marsh Landing,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318</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Tapestry, due 2021</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162</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Utah Solar Portfolio, due 2022</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278</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Viento, due 2023</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163</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Walnut Creek,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267</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443</w:t>
            </w:r>
          </w:p>
        </w:tc>
      </w:tr>
      <w:tr>
        <w:trPr>
          <w:trHeight w:val="24"/>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 project-level debt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369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4,376</w:t>
            </w:r>
          </w:p>
        </w:tc>
      </w:tr>
      <w:tr>
        <w:trPr>
          <w:trHeight w:val="18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Total debt</w:t>
            </w: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714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650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653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3,121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5,899</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127" w:lineRule="exact"/>
        <w:rPr>
          <w:sz w:val="20"/>
          <w:szCs w:val="20"/>
          <w:color w:val="auto"/>
        </w:rPr>
      </w:pPr>
    </w:p>
    <w:p>
      <w:pPr>
        <w:jc w:val="both"/>
        <w:ind w:right="20" w:firstLine="291"/>
        <w:spacing w:after="0" w:line="277" w:lineRule="auto"/>
        <w:rPr>
          <w:sz w:val="20"/>
          <w:szCs w:val="20"/>
          <w:color w:val="auto"/>
        </w:rPr>
      </w:pPr>
      <w:r>
        <w:rPr>
          <w:rFonts w:ascii="Arial" w:cs="Arial" w:eastAsia="Arial" w:hAnsi="Arial"/>
          <w:sz w:val="12"/>
          <w:szCs w:val="12"/>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For the years ended </w:t>
      </w:r>
      <w:r>
        <w:rPr>
          <w:rFonts w:ascii="Arial" w:cs="Arial" w:eastAsia="Arial" w:hAnsi="Arial"/>
          <w:sz w:val="12"/>
          <w:szCs w:val="12"/>
          <w:color w:val="000000"/>
        </w:rPr>
        <w:t>December 31, 2017</w:t>
      </w:r>
      <w:r>
        <w:rPr>
          <w:rFonts w:ascii="Arial" w:cs="Arial" w:eastAsia="Arial" w:hAnsi="Arial"/>
          <w:sz w:val="12"/>
          <w:szCs w:val="12"/>
          <w:color w:val="231F20"/>
        </w:rPr>
        <w:t xml:space="preserve">, 2016, and 2015, the Company used approximately $31 million, $20 million, and $29 million, respectively, to fund capital expenditures, including maintenance </w:t>
      </w:r>
      <w:r>
        <w:rPr>
          <w:rFonts w:ascii="Arial" w:cs="Arial" w:eastAsia="Arial" w:hAnsi="Arial"/>
          <w:sz w:val="12"/>
          <w:szCs w:val="12"/>
          <w:color w:val="000000"/>
        </w:rPr>
        <w:t>capital</w:t>
      </w:r>
      <w:r>
        <w:rPr>
          <w:rFonts w:ascii="Arial" w:cs="Arial" w:eastAsia="Arial" w:hAnsi="Arial"/>
          <w:sz w:val="12"/>
          <w:szCs w:val="12"/>
          <w:color w:val="231F20"/>
        </w:rPr>
        <w:t xml:space="preserve"> expenditures </w:t>
      </w:r>
      <w:r>
        <w:rPr>
          <w:rFonts w:ascii="Arial" w:cs="Arial" w:eastAsia="Arial" w:hAnsi="Arial"/>
          <w:sz w:val="12"/>
          <w:szCs w:val="12"/>
          <w:color w:val="000000"/>
        </w:rPr>
        <w:t>of $27 million, $16 million and $20 million, respectively. Growth capital expenditures in 2017 were in primarily in the Thermal segment and relate to servicing new customers in district</w:t>
      </w:r>
      <w:r>
        <w:rPr>
          <w:rFonts w:ascii="Arial" w:cs="Arial" w:eastAsia="Arial" w:hAnsi="Arial"/>
          <w:sz w:val="12"/>
          <w:szCs w:val="12"/>
          <w:color w:val="231F20"/>
        </w:rPr>
        <w:t xml:space="preserve"> </w:t>
      </w:r>
      <w:r>
        <w:rPr>
          <w:rFonts w:ascii="Arial" w:cs="Arial" w:eastAsia="Arial" w:hAnsi="Arial"/>
          <w:sz w:val="12"/>
          <w:szCs w:val="12"/>
          <w:color w:val="000000"/>
        </w:rPr>
        <w:t xml:space="preserve">energy centers. Growth capital expenditures in 2016 and 2015 primarily related to the servicing new customers in district energy centers within the Thermal segment and construction of the Company's solar generating assets. </w:t>
      </w:r>
      <w:r>
        <w:rPr>
          <w:rFonts w:ascii="Arial" w:cs="Arial" w:eastAsia="Arial" w:hAnsi="Arial"/>
          <w:sz w:val="12"/>
          <w:szCs w:val="12"/>
          <w:color w:val="231F20"/>
        </w:rPr>
        <w:t>The Company develops annual capital spending plans based on projected requirements for maintenance and growth capital. The Company estimates $32 million of maintenance expenditures for 2018.</w:t>
      </w:r>
      <w:r>
        <w:rPr>
          <w:rFonts w:ascii="Arial" w:cs="Arial" w:eastAsia="Arial" w:hAnsi="Arial"/>
          <w:sz w:val="12"/>
          <w:szCs w:val="12"/>
          <w:color w:val="000000"/>
        </w:rPr>
        <w:t xml:space="preserve"> These estimates are subject to continuing review and adjustment and actual capital expenditures may vary from these estimates.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 and Investments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80"/>
          </w:cols>
          <w:pgMar w:left="220" w:top="714" w:right="199" w:bottom="1440" w:gutter="0" w:footer="0" w:header="0"/>
        </w:sectPr>
      </w:pPr>
    </w:p>
    <w:bookmarkStart w:id="50" w:name="page51"/>
    <w:bookmarkEnd w:id="50"/>
    <w:p>
      <w:pPr>
        <w:jc w:val="both"/>
        <w:ind w:right="20" w:firstLine="291"/>
        <w:spacing w:after="0" w:line="314" w:lineRule="auto"/>
        <w:rPr>
          <w:sz w:val="20"/>
          <w:szCs w:val="20"/>
          <w:color w:val="auto"/>
        </w:rPr>
      </w:pPr>
      <w:r>
        <w:rPr>
          <w:rFonts w:ascii="Arial" w:cs="Arial" w:eastAsia="Arial" w:hAnsi="Arial"/>
          <w:sz w:val="12"/>
          <w:szCs w:val="12"/>
          <w:color w:val="auto"/>
        </w:rPr>
        <w:t>The Company intends to acquire generation and thermal infrastructure assets developed and constructed by NRG or other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66"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On February 24, 2017, the Company amended and restated the ROFO Agreement, expanding the ROFO Assets pipeline with the addition of 234 net MW of utility-scale solar projects, consisting of Buckthorn Solar, a 154 net MW solar facility in Texas, and Hawaii solar projects, which have a combined capacity of 80 net MW.</w:t>
      </w:r>
    </w:p>
    <w:p>
      <w:pPr>
        <w:spacing w:after="0" w:line="9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On February 6, 2018, the Company entered into an agreement with NRG to purchase 100% of the membership 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97"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On January 24, 2018, the Company entered into an agreement with NRG to purchase 100% of NRG's ownership interest in Buckthorn Solar pursuant to the ROFO Agreement for cash consideration of $42 million, subject to other adjustments. The transaction is expected to close during the first quarter of 2018.</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As discussed in Item 1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Company completed the following acquisitions in 2017:</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November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1, 2017, the Company acquired a 38 MW solar portfolio primarily comprised of assets from NRG's Solar Power Partners (SPP) funds and other projects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developed by NRG, for cash consideration of $74 million, including a working capital adjustment of $3 million, plus assumed non-recourse debt of $26 million.</w:t>
      </w:r>
    </w:p>
    <w:p>
      <w:pPr>
        <w:spacing w:after="0" w:line="81" w:lineRule="exact"/>
        <w:rPr>
          <w:sz w:val="20"/>
          <w:szCs w:val="20"/>
          <w:color w:val="auto"/>
        </w:rPr>
      </w:pPr>
    </w:p>
    <w:p>
      <w:pPr>
        <w:jc w:val="both"/>
        <w:ind w:right="20" w:firstLine="291"/>
        <w:spacing w:after="0" w:line="321"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NRG Wind TE Holdco, a portfolio of 12 wind projects, from NRG for total cash consideration of $44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including a working capital adjustment of $3 million. The transaction also includes potential additional payments to NRG dependent upon actual energy prices for merchant periods beginning in 2027.</w:t>
      </w:r>
    </w:p>
    <w:p>
      <w:pPr>
        <w:spacing w:after="0" w:line="58" w:lineRule="exact"/>
        <w:rPr>
          <w:sz w:val="20"/>
          <w:szCs w:val="20"/>
          <w:color w:val="auto"/>
        </w:rPr>
      </w:pPr>
    </w:p>
    <w:p>
      <w:pPr>
        <w:jc w:val="both"/>
        <w:ind w:right="20" w:firstLine="291"/>
        <w:spacing w:after="0" w:line="295"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$132 million,</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Investment Partnership with NRG</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On September 26, 2017, the Company entered into an additional partnership with NRG by forming NRG DGPV Holdco 3 LLC, or DGPV Holdco 3, in which the Company would invest up to $50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During the year ended December 31, 2017, the Company invested $64 million in distributed generation partnerships with NRG.</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Cash Distributions to Yield, Inc. and NRG</w:t>
      </w:r>
    </w:p>
    <w:p>
      <w:pPr>
        <w:spacing w:after="0" w:line="127"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Distributions on units </w:t>
      </w:r>
      <w:r>
        <w:rPr>
          <w:rFonts w:ascii="Arial" w:cs="Arial" w:eastAsia="Arial" w:hAnsi="Arial"/>
          <w:sz w:val="12"/>
          <w:szCs w:val="12"/>
          <w:color w:val="000000"/>
        </w:rPr>
        <w:t>are subject to available capital, market conditions, and compliance with associated</w:t>
      </w:r>
      <w:r>
        <w:rPr>
          <w:rFonts w:ascii="Arial" w:cs="Arial" w:eastAsia="Arial" w:hAnsi="Arial"/>
          <w:sz w:val="12"/>
          <w:szCs w:val="12"/>
          <w:color w:val="231F20"/>
        </w:rPr>
        <w:t xml:space="preserve"> </w:t>
      </w:r>
      <w:r>
        <w:rPr>
          <w:rFonts w:ascii="Arial" w:cs="Arial" w:eastAsia="Arial" w:hAnsi="Arial"/>
          <w:sz w:val="12"/>
          <w:szCs w:val="12"/>
          <w:color w:val="000000"/>
        </w:rPr>
        <w:t>laws, regulations and other contractual obligations. The Company expects that, based on current circumstances, comparable distributions will continue to be paid in the foreseeable future.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80"/>
          </w:cols>
          <w:pgMar w:left="220" w:top="714" w:right="199" w:bottom="1440" w:gutter="0" w:footer="0" w:header="0"/>
        </w:sectPr>
      </w:pPr>
    </w:p>
    <w:bookmarkStart w:id="51" w:name="page52"/>
    <w:bookmarkEnd w:id="51"/>
    <w:p>
      <w:pPr>
        <w:ind w:left="16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0"/>
                <w:szCs w:val="10"/>
                <w:b w:val="1"/>
                <w:bCs w:val="1"/>
                <w:color w:val="auto"/>
              </w:rPr>
              <w:t>Fourth Quarter 2017</w:t>
            </w:r>
          </w:p>
        </w:tc>
        <w:tc>
          <w:tcPr>
            <w:tcW w:w="16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160" w:type="dxa"/>
            <w:vAlign w:val="bottom"/>
          </w:tcPr>
          <w:p>
            <w:pPr>
              <w:jc w:val="right"/>
              <w:ind w:right="180"/>
              <w:spacing w:after="0"/>
              <w:rPr>
                <w:sz w:val="20"/>
                <w:szCs w:val="20"/>
                <w:color w:val="auto"/>
              </w:rPr>
            </w:pPr>
            <w:r>
              <w:rPr>
                <w:rFonts w:ascii="Arial" w:cs="Arial" w:eastAsia="Arial" w:hAnsi="Arial"/>
                <w:sz w:val="10"/>
                <w:szCs w:val="10"/>
                <w:b w:val="1"/>
                <w:bCs w:val="1"/>
                <w:color w:val="auto"/>
              </w:rPr>
              <w:t>First Quarter 2017</w:t>
            </w:r>
          </w:p>
        </w:tc>
      </w:tr>
      <w:tr>
        <w:trPr>
          <w:trHeight w:val="168"/>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Distributions per Class A and Class B unit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0.26</w:t>
            </w:r>
          </w:p>
        </w:tc>
      </w:tr>
      <w:tr>
        <w:trPr>
          <w:trHeight w:val="174"/>
        </w:trPr>
        <w:tc>
          <w:tcPr>
            <w:tcW w:w="5520" w:type="dxa"/>
            <w:vAlign w:val="bottom"/>
          </w:tcPr>
          <w:p>
            <w:pPr>
              <w:spacing w:after="0"/>
              <w:rPr>
                <w:sz w:val="20"/>
                <w:szCs w:val="20"/>
                <w:color w:val="auto"/>
              </w:rPr>
            </w:pPr>
            <w:r>
              <w:rPr>
                <w:rFonts w:ascii="Arial" w:cs="Arial" w:eastAsia="Arial" w:hAnsi="Arial"/>
                <w:sz w:val="13"/>
                <w:szCs w:val="13"/>
                <w:b w:val="1"/>
                <w:bCs w:val="1"/>
                <w:color w:val="auto"/>
              </w:rPr>
              <w:t>Distributions per Class C and Class D unit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40"/>
              <w:spacing w:after="0"/>
              <w:rPr>
                <w:sz w:val="20"/>
                <w:szCs w:val="20"/>
                <w:color w:val="auto"/>
              </w:rPr>
            </w:pPr>
            <w:r>
              <w:rPr>
                <w:rFonts w:ascii="Arial" w:cs="Arial" w:eastAsia="Arial" w:hAnsi="Arial"/>
                <w:sz w:val="13"/>
                <w:szCs w:val="13"/>
                <w:color w:val="auto"/>
              </w:rPr>
              <w:t>0.26</w:t>
            </w:r>
          </w:p>
        </w:tc>
      </w:tr>
    </w:tbl>
    <w:p>
      <w:pPr>
        <w:spacing w:after="0" w:line="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unit payable on March 15, 2018.</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40"/>
          </w:cols>
          <w:pgMar w:left="340" w:top="714"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Cash Flow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Year Ended December 31, 2017 Compared to Year Ended December 31, 2016</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reflects the changes in cash flows for the year ended December 31, 2017, compared to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0"/>
                <w:szCs w:val="10"/>
                <w:b w:val="1"/>
                <w:bCs w:val="1"/>
                <w:color w:val="auto"/>
              </w:rPr>
              <w:t>Change</w:t>
            </w:r>
          </w:p>
        </w:tc>
      </w:tr>
      <w:tr>
        <w:trPr>
          <w:trHeight w:val="188"/>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516</w:t>
            </w:r>
          </w:p>
        </w:tc>
        <w:tc>
          <w:tcPr>
            <w:tcW w:w="44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577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(61)</w:t>
            </w:r>
          </w:p>
        </w:tc>
      </w:tr>
      <w:tr>
        <w:trPr>
          <w:trHeight w:val="174"/>
        </w:trPr>
        <w:tc>
          <w:tcPr>
            <w:tcW w:w="814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(283)</w:t>
            </w:r>
          </w:p>
        </w:tc>
        <w:tc>
          <w:tcPr>
            <w:tcW w:w="440" w:type="dxa"/>
            <w:vAlign w:val="bottom"/>
          </w:tcPr>
          <w:p>
            <w:pPr>
              <w:spacing w:after="0"/>
              <w:rPr>
                <w:sz w:val="15"/>
                <w:szCs w:val="15"/>
                <w:color w:val="auto"/>
              </w:rPr>
            </w:pPr>
          </w:p>
        </w:tc>
        <w:tc>
          <w:tcPr>
            <w:tcW w:w="740" w:type="dxa"/>
            <w:vAlign w:val="bottom"/>
            <w:gridSpan w:val="2"/>
          </w:tcPr>
          <w:p>
            <w:pPr>
              <w:jc w:val="right"/>
              <w:ind w:right="55"/>
              <w:spacing w:after="0"/>
              <w:rPr>
                <w:sz w:val="20"/>
                <w:szCs w:val="20"/>
                <w:color w:val="auto"/>
              </w:rPr>
            </w:pPr>
            <w:r>
              <w:rPr>
                <w:rFonts w:ascii="Arial" w:cs="Arial" w:eastAsia="Arial" w:hAnsi="Arial"/>
                <w:sz w:val="13"/>
                <w:szCs w:val="13"/>
                <w:color w:val="auto"/>
              </w:rPr>
              <w:t>(131)</w:t>
            </w:r>
          </w:p>
        </w:tc>
        <w:tc>
          <w:tcPr>
            <w:tcW w:w="160" w:type="dxa"/>
            <w:vAlign w:val="bottom"/>
          </w:tcPr>
          <w:p>
            <w:pPr>
              <w:spacing w:after="0"/>
              <w:rPr>
                <w:sz w:val="15"/>
                <w:szCs w:val="15"/>
                <w:color w:val="auto"/>
              </w:rPr>
            </w:pPr>
          </w:p>
        </w:tc>
        <w:tc>
          <w:tcPr>
            <w:tcW w:w="920" w:type="dxa"/>
            <w:vAlign w:val="bottom"/>
            <w:gridSpan w:val="3"/>
          </w:tcPr>
          <w:p>
            <w:pPr>
              <w:jc w:val="right"/>
              <w:ind w:right="15"/>
              <w:spacing w:after="0"/>
              <w:rPr>
                <w:sz w:val="20"/>
                <w:szCs w:val="20"/>
                <w:color w:val="auto"/>
              </w:rPr>
            </w:pPr>
            <w:r>
              <w:rPr>
                <w:rFonts w:ascii="Arial" w:cs="Arial" w:eastAsia="Arial" w:hAnsi="Arial"/>
                <w:sz w:val="13"/>
                <w:szCs w:val="13"/>
                <w:color w:val="auto"/>
              </w:rPr>
              <w:t>(152)</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(416)</w:t>
            </w: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(202)</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(214)</w:t>
            </w:r>
          </w:p>
        </w:tc>
      </w:tr>
      <w:tr>
        <w:trPr>
          <w:trHeight w:val="310"/>
        </w:trPr>
        <w:tc>
          <w:tcPr>
            <w:tcW w:w="8140" w:type="dxa"/>
            <w:vAlign w:val="bottom"/>
          </w:tcPr>
          <w:p>
            <w:pPr>
              <w:ind w:left="120"/>
              <w:spacing w:after="0"/>
              <w:rPr>
                <w:sz w:val="20"/>
                <w:szCs w:val="20"/>
                <w:color w:val="auto"/>
              </w:rPr>
            </w:pPr>
            <w:r>
              <w:rPr>
                <w:rFonts w:ascii="Arial" w:cs="Arial" w:eastAsia="Arial" w:hAnsi="Arial"/>
                <w:sz w:val="13"/>
                <w:szCs w:val="13"/>
                <w:b w:val="1"/>
                <w:bCs w:val="1"/>
                <w:i w:val="1"/>
                <w:iCs w:val="1"/>
                <w:color w:val="auto"/>
              </w:rPr>
              <w:t>Net Cash Provided By Operating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8140" w:type="dxa"/>
            <w:vAlign w:val="bottom"/>
          </w:tcPr>
          <w:p>
            <w:pPr>
              <w:ind w:left="20"/>
              <w:spacing w:after="0"/>
              <w:rPr>
                <w:sz w:val="20"/>
                <w:szCs w:val="20"/>
                <w:color w:val="auto"/>
              </w:rPr>
            </w:pPr>
            <w:r>
              <w:rPr>
                <w:rFonts w:ascii="Arial" w:cs="Arial" w:eastAsia="Arial" w:hAnsi="Arial"/>
                <w:sz w:val="13"/>
                <w:szCs w:val="13"/>
                <w:color w:val="auto"/>
              </w:rPr>
              <w:t>Changes to net cash provided by operating activities were driven by: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95"/>
              <w:spacing w:after="0"/>
              <w:rPr>
                <w:sz w:val="20"/>
                <w:szCs w:val="20"/>
                <w:color w:val="auto"/>
              </w:rPr>
            </w:pPr>
            <w:r>
              <w:rPr>
                <w:rFonts w:ascii="Arial" w:cs="Arial" w:eastAsia="Arial" w:hAnsi="Arial"/>
                <w:sz w:val="10"/>
                <w:szCs w:val="10"/>
                <w:b w:val="1"/>
                <w:bCs w:val="1"/>
                <w:color w:val="auto"/>
                <w:w w:val="96"/>
              </w:rPr>
              <w:t>(In millions)</w:t>
            </w:r>
          </w:p>
        </w:tc>
      </w:tr>
      <w:tr>
        <w:trPr>
          <w:trHeight w:val="17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rPr>
              <w:t>Decrease in operating income adjusted for non-cash items driven by primarily by lower revenues in the Renewables segment in 2017 compared to 2016</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(63)</w:t>
            </w:r>
          </w:p>
        </w:tc>
      </w:tr>
      <w:tr>
        <w:trPr>
          <w:trHeight w:val="166"/>
        </w:trPr>
        <w:tc>
          <w:tcPr>
            <w:tcW w:w="9660" w:type="dxa"/>
            <w:vAlign w:val="bottom"/>
            <w:gridSpan w:val="4"/>
          </w:tcPr>
          <w:p>
            <w:pPr>
              <w:ind w:left="20"/>
              <w:spacing w:after="0"/>
              <w:rPr>
                <w:sz w:val="20"/>
                <w:szCs w:val="20"/>
                <w:color w:val="auto"/>
              </w:rPr>
            </w:pPr>
            <w:r>
              <w:rPr>
                <w:rFonts w:ascii="Arial" w:cs="Arial" w:eastAsia="Arial" w:hAnsi="Arial"/>
                <w:sz w:val="13"/>
                <w:szCs w:val="13"/>
                <w:color w:val="auto"/>
                <w:w w:val="91"/>
              </w:rPr>
              <w:t>Decrease in working capital driven primarily by the timing of accounts receivable collections, and inventory build up in the Renewables segment in connection with the transition to self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3"/>
        </w:trPr>
        <w:tc>
          <w:tcPr>
            <w:tcW w:w="8140" w:type="dxa"/>
            <w:vAlign w:val="bottom"/>
          </w:tcPr>
          <w:p>
            <w:pPr>
              <w:ind w:left="140"/>
              <w:spacing w:after="0"/>
              <w:rPr>
                <w:sz w:val="20"/>
                <w:szCs w:val="20"/>
                <w:color w:val="auto"/>
              </w:rPr>
            </w:pPr>
            <w:r>
              <w:rPr>
                <w:rFonts w:ascii="Arial" w:cs="Arial" w:eastAsia="Arial" w:hAnsi="Arial"/>
                <w:sz w:val="13"/>
                <w:szCs w:val="13"/>
                <w:color w:val="auto"/>
              </w:rPr>
              <w:t>operations, as well as higher prepaid expenses in 2017 compared to 2016</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5"/>
              <w:spacing w:after="0"/>
              <w:rPr>
                <w:sz w:val="20"/>
                <w:szCs w:val="20"/>
                <w:color w:val="auto"/>
              </w:rPr>
            </w:pPr>
            <w:r>
              <w:rPr>
                <w:rFonts w:ascii="Arial" w:cs="Arial" w:eastAsia="Arial" w:hAnsi="Arial"/>
                <w:sz w:val="13"/>
                <w:szCs w:val="13"/>
                <w:color w:val="auto"/>
              </w:rPr>
              <w:t>(12)</w:t>
            </w:r>
          </w:p>
        </w:tc>
      </w:tr>
      <w:tr>
        <w:trPr>
          <w:trHeight w:val="20"/>
        </w:trPr>
        <w:tc>
          <w:tcPr>
            <w:tcW w:w="10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w w:val="92"/>
              </w:rPr>
              <w:t>Higher distributions from unconsolidated affiliates primarily due to the acquisition of the Utah Solar Portfolio, which was acquired by the Company in March 2017 and by NRG in November 2016</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14</w:t>
            </w:r>
          </w:p>
        </w:tc>
      </w:tr>
      <w:tr>
        <w:trPr>
          <w:trHeight w:val="164"/>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15"/>
              <w:spacing w:after="0"/>
              <w:rPr>
                <w:sz w:val="20"/>
                <w:szCs w:val="20"/>
                <w:color w:val="auto"/>
              </w:rPr>
            </w:pPr>
            <w:r>
              <w:rPr>
                <w:rFonts w:ascii="Arial" w:cs="Arial" w:eastAsia="Arial" w:hAnsi="Arial"/>
                <w:sz w:val="13"/>
                <w:szCs w:val="13"/>
                <w:color w:val="auto"/>
              </w:rPr>
              <w:t>(61)</w:t>
            </w:r>
          </w:p>
        </w:tc>
      </w:tr>
      <w:tr>
        <w:trPr>
          <w:trHeight w:val="29"/>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ectPr>
          <w:pgSz w:w="11900" w:h="16838" w:orient="portrait"/>
          <w:cols w:equalWidth="0" w:num="1">
            <w:col w:w="11480"/>
          </w:cols>
          <w:pgMar w:left="220" w:top="710" w:right="19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285355" cy="123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pacing w:after="0" w:line="25" w:lineRule="exact"/>
        <w:rPr>
          <w:sz w:val="20"/>
          <w:szCs w:val="20"/>
          <w:color w:val="auto"/>
        </w:rPr>
      </w:pPr>
    </w:p>
    <w:p>
      <w:pPr>
        <w:ind w:left="20" w:right="217"/>
        <w:spacing w:after="0" w:line="311" w:lineRule="auto"/>
        <w:rPr>
          <w:sz w:val="20"/>
          <w:szCs w:val="20"/>
          <w:color w:val="auto"/>
        </w:rPr>
      </w:pPr>
      <w:r>
        <w:rPr>
          <w:rFonts w:ascii="Arial" w:cs="Arial" w:eastAsia="Arial" w:hAnsi="Arial"/>
          <w:sz w:val="13"/>
          <w:szCs w:val="13"/>
          <w:color w:val="auto"/>
        </w:rPr>
        <w:t>Payments for the acquisition of the March 2017, August 2017, and November 2017 Drop Down Assets in 2017 compared to the payments made for the CVSR Drop Down in 2016 Higher return of investment from unconsolidated affiliates combined with lower investments primarily in DGPV HoldCo entities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85355" cy="123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ind w:left="20" w:right="2317"/>
        <w:spacing w:after="0" w:line="438" w:lineRule="auto"/>
        <w:rPr>
          <w:sz w:val="20"/>
          <w:szCs w:val="20"/>
          <w:color w:val="auto"/>
        </w:rPr>
      </w:pPr>
      <w:r>
        <w:rPr>
          <w:rFonts w:ascii="Arial" w:cs="Arial" w:eastAsia="Arial" w:hAnsi="Arial"/>
          <w:sz w:val="11"/>
          <w:szCs w:val="11"/>
          <w:color w:val="auto"/>
        </w:rPr>
        <w:t>Higher capital expenditures primarily related to maintenance capital expenditures at Walnut Creek as a result of the forced outages in 2017 Higher insurance proceeds in 2017 in the Conventional segment compared to the insurance proceeds in 2016 in the Renewables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7285355"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355" cy="135890"/>
                    </a:xfrm>
                    <a:prstGeom prst="rect">
                      <a:avLst/>
                    </a:prstGeom>
                    <a:noFill/>
                  </pic:spPr>
                </pic:pic>
              </a:graphicData>
            </a:graphic>
          </wp:anchor>
        </w:drawing>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Net Cash Used In Financing Activities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43"/>
        <w:spacing w:after="0"/>
        <w:rPr>
          <w:sz w:val="20"/>
          <w:szCs w:val="20"/>
          <w:color w:val="auto"/>
        </w:rPr>
      </w:pPr>
      <w:r>
        <w:rPr>
          <w:rFonts w:ascii="Arial" w:cs="Arial" w:eastAsia="Arial" w:hAnsi="Arial"/>
          <w:sz w:val="10"/>
          <w:szCs w:val="10"/>
          <w:b w:val="1"/>
          <w:bCs w:val="1"/>
          <w:u w:val="single" w:color="auto"/>
          <w:color w:val="auto"/>
        </w:rPr>
        <w:t>(In millions)</w:t>
      </w:r>
    </w:p>
    <w:p>
      <w:pPr>
        <w:spacing w:after="0" w:line="39" w:lineRule="exact"/>
        <w:rPr>
          <w:sz w:val="20"/>
          <w:szCs w:val="20"/>
          <w:color w:val="auto"/>
        </w:rPr>
      </w:pPr>
    </w:p>
    <w:p>
      <w:pPr>
        <w:ind w:left="883" w:hanging="883"/>
        <w:spacing w:after="0"/>
        <w:tabs>
          <w:tab w:leader="none" w:pos="883" w:val="left"/>
        </w:tabs>
        <w:numPr>
          <w:ilvl w:val="0"/>
          <w:numId w:val="23"/>
        </w:numPr>
        <w:rPr>
          <w:rFonts w:ascii="Arial" w:cs="Arial" w:eastAsia="Arial" w:hAnsi="Arial"/>
          <w:sz w:val="11"/>
          <w:szCs w:val="11"/>
          <w:color w:val="auto"/>
        </w:rPr>
      </w:pPr>
      <w:r>
        <w:rPr>
          <w:rFonts w:ascii="Arial" w:cs="Arial" w:eastAsia="Arial" w:hAnsi="Arial"/>
          <w:sz w:val="11"/>
          <w:szCs w:val="11"/>
          <w:color w:val="auto"/>
        </w:rPr>
        <w:t>(173)</w:t>
      </w:r>
    </w:p>
    <w:p>
      <w:pPr>
        <w:spacing w:after="0" w:line="67" w:lineRule="exact"/>
        <w:rPr>
          <w:rFonts w:ascii="Arial" w:cs="Arial" w:eastAsia="Arial" w:hAnsi="Arial"/>
          <w:sz w:val="11"/>
          <w:szCs w:val="11"/>
          <w:color w:val="auto"/>
        </w:rPr>
      </w:pPr>
    </w:p>
    <w:p>
      <w:pPr>
        <w:ind w:left="1003"/>
        <w:spacing w:after="0"/>
        <w:rPr>
          <w:rFonts w:ascii="Arial" w:cs="Arial" w:eastAsia="Arial" w:hAnsi="Arial"/>
          <w:sz w:val="11"/>
          <w:szCs w:val="11"/>
          <w:color w:val="auto"/>
        </w:rPr>
      </w:pPr>
      <w:r>
        <w:rPr>
          <w:rFonts w:ascii="Arial" w:cs="Arial" w:eastAsia="Arial" w:hAnsi="Arial"/>
          <w:sz w:val="13"/>
          <w:szCs w:val="13"/>
          <w:color w:val="auto"/>
        </w:rPr>
        <w:t>29</w:t>
      </w:r>
    </w:p>
    <w:p>
      <w:pPr>
        <w:spacing w:after="0" w:line="45"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(11)</w:t>
      </w:r>
    </w:p>
    <w:p>
      <w:pPr>
        <w:spacing w:after="0" w:line="45"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3</w:t>
      </w:r>
    </w:p>
    <w:p>
      <w:pPr>
        <w:spacing w:after="0" w:line="55" w:lineRule="exact"/>
        <w:rPr>
          <w:sz w:val="20"/>
          <w:szCs w:val="20"/>
          <w:color w:val="auto"/>
        </w:rPr>
      </w:pPr>
    </w:p>
    <w:p>
      <w:pPr>
        <w:ind w:left="883" w:hanging="883"/>
        <w:spacing w:after="0"/>
        <w:tabs>
          <w:tab w:leader="none" w:pos="883" w:val="left"/>
        </w:tabs>
        <w:numPr>
          <w:ilvl w:val="0"/>
          <w:numId w:val="24"/>
        </w:numPr>
        <w:rPr>
          <w:rFonts w:ascii="Arial" w:cs="Arial" w:eastAsia="Arial" w:hAnsi="Arial"/>
          <w:sz w:val="11"/>
          <w:szCs w:val="11"/>
          <w:color w:val="auto"/>
        </w:rPr>
      </w:pPr>
      <w:r>
        <w:rPr>
          <w:rFonts w:ascii="Arial" w:cs="Arial" w:eastAsia="Arial" w:hAnsi="Arial"/>
          <w:sz w:val="11"/>
          <w:szCs w:val="1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9565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543" w:lineRule="exact"/>
        <w:rPr>
          <w:sz w:val="20"/>
          <w:szCs w:val="20"/>
          <w:color w:val="auto"/>
        </w:rPr>
      </w:pPr>
    </w:p>
    <w:p>
      <w:pPr>
        <w:sectPr>
          <w:pgSz w:w="11900" w:h="16838" w:orient="portrait"/>
          <w:cols w:equalWidth="0" w:num="2">
            <w:col w:w="9517" w:space="720"/>
            <w:col w:w="1243"/>
          </w:cols>
          <w:pgMar w:left="220" w:top="710" w:right="19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0220" w:type="dxa"/>
            <w:vAlign w:val="bottom"/>
          </w:tcPr>
          <w:p>
            <w:pPr>
              <w:ind w:left="20"/>
              <w:spacing w:after="0"/>
              <w:rPr>
                <w:sz w:val="20"/>
                <w:szCs w:val="20"/>
                <w:color w:val="auto"/>
              </w:rPr>
            </w:pPr>
            <w:r>
              <w:rPr>
                <w:rFonts w:ascii="Arial" w:cs="Arial" w:eastAsia="Arial" w:hAnsi="Arial"/>
                <w:sz w:val="13"/>
                <w:szCs w:val="13"/>
                <w:color w:val="auto"/>
              </w:rPr>
              <w:t>Changes in net cash used in financing activities were driven by:</w:t>
            </w:r>
          </w:p>
        </w:tc>
        <w:tc>
          <w:tcPr>
            <w:tcW w:w="220" w:type="dxa"/>
            <w:vAlign w:val="bottom"/>
          </w:tcPr>
          <w:p>
            <w:pPr>
              <w:spacing w:after="0"/>
              <w:rPr>
                <w:sz w:val="14"/>
                <w:szCs w:val="14"/>
                <w:color w:val="auto"/>
              </w:rPr>
            </w:pPr>
          </w:p>
        </w:tc>
        <w:tc>
          <w:tcPr>
            <w:tcW w:w="1040" w:type="dxa"/>
            <w:vAlign w:val="bottom"/>
            <w:gridSpan w:val="3"/>
          </w:tcPr>
          <w:p>
            <w:pPr>
              <w:jc w:val="right"/>
              <w:ind w:right="295"/>
              <w:spacing w:after="0"/>
              <w:rPr>
                <w:sz w:val="20"/>
                <w:szCs w:val="20"/>
                <w:color w:val="auto"/>
              </w:rPr>
            </w:pPr>
            <w:r>
              <w:rPr>
                <w:rFonts w:ascii="Arial" w:cs="Arial" w:eastAsia="Arial" w:hAnsi="Arial"/>
                <w:sz w:val="10"/>
                <w:szCs w:val="10"/>
                <w:b w:val="1"/>
                <w:bCs w:val="1"/>
                <w:color w:val="auto"/>
              </w:rPr>
              <w:t>(In millions)</w:t>
            </w: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in net contributions from noncontrolling interests due to higher production-based payments in 2017 compared to 2016</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Lower net payments of distributions to NRG for the Drop Down Assets relating to the pre-acquisition period in 2017 compared to 2016</w:t>
            </w:r>
          </w:p>
        </w:tc>
        <w:tc>
          <w:tcPr>
            <w:tcW w:w="22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3"/>
                <w:szCs w:val="13"/>
                <w:color w:val="auto"/>
              </w:rPr>
              <w:t>164</w:t>
            </w:r>
          </w:p>
        </w:tc>
      </w:tr>
      <w:tr>
        <w:trPr>
          <w:trHeight w:val="20"/>
        </w:trPr>
        <w:tc>
          <w:tcPr>
            <w:tcW w:w="10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the issuance of Class C units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33</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Net payments of $306 million under the revolving credit facility in 2016 compared to proceeds of $55 million in 2017</w:t>
            </w:r>
          </w:p>
        </w:tc>
        <w:tc>
          <w:tcPr>
            <w:tcW w:w="22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3"/>
                <w:szCs w:val="13"/>
                <w:color w:val="auto"/>
              </w:rPr>
              <w:t>361</w:t>
            </w:r>
          </w:p>
        </w:tc>
      </w:tr>
      <w:tr>
        <w:trPr>
          <w:trHeight w:val="20"/>
        </w:trPr>
        <w:tc>
          <w:tcPr>
            <w:tcW w:w="10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Higher borrowing in 2016, primarily related to the 2026 Senior Notes and CVSR Holdco Notes due 2037 partially offset by higher repayments of long-term debt in 2017</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(751)</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Increase in distributions paid to unit holders</w:t>
            </w:r>
          </w:p>
        </w:tc>
        <w:tc>
          <w:tcPr>
            <w:tcW w:w="220" w:type="dxa"/>
            <w:vAlign w:val="bottom"/>
          </w:tcPr>
          <w:p>
            <w:pPr>
              <w:spacing w:after="0"/>
              <w:rPr>
                <w:sz w:val="15"/>
                <w:szCs w:val="15"/>
                <w:color w:val="auto"/>
              </w:rPr>
            </w:pPr>
          </w:p>
        </w:tc>
        <w:tc>
          <w:tcPr>
            <w:tcW w:w="1040" w:type="dxa"/>
            <w:vAlign w:val="bottom"/>
            <w:gridSpan w:val="3"/>
          </w:tcPr>
          <w:p>
            <w:pPr>
              <w:jc w:val="right"/>
              <w:ind w:right="15"/>
              <w:spacing w:after="0"/>
              <w:rPr>
                <w:sz w:val="20"/>
                <w:szCs w:val="20"/>
                <w:color w:val="auto"/>
              </w:rPr>
            </w:pPr>
            <w:r>
              <w:rPr>
                <w:rFonts w:ascii="Arial" w:cs="Arial" w:eastAsia="Arial" w:hAnsi="Arial"/>
                <w:sz w:val="13"/>
                <w:szCs w:val="13"/>
                <w:color w:val="auto"/>
              </w:rPr>
              <w:t>(29)</w:t>
            </w:r>
          </w:p>
        </w:tc>
      </w:tr>
      <w:tr>
        <w:trPr>
          <w:trHeight w:val="20"/>
        </w:trPr>
        <w:tc>
          <w:tcPr>
            <w:tcW w:w="10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9"/>
        </w:trPr>
        <w:tc>
          <w:tcPr>
            <w:tcW w:w="10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(214)</w:t>
            </w:r>
          </w:p>
        </w:tc>
      </w:tr>
      <w:tr>
        <w:trPr>
          <w:trHeight w:val="435"/>
        </w:trPr>
        <w:tc>
          <w:tcPr>
            <w:tcW w:w="10220" w:type="dxa"/>
            <w:vAlign w:val="bottom"/>
            <w:tcBorders>
              <w:top w:val="single" w:sz="8" w:color="CCEEFF"/>
            </w:tcBorders>
          </w:tcPr>
          <w:p>
            <w:pPr>
              <w:ind w:left="5660"/>
              <w:spacing w:after="0"/>
              <w:rPr>
                <w:sz w:val="20"/>
                <w:szCs w:val="20"/>
                <w:color w:val="auto"/>
              </w:rPr>
            </w:pPr>
            <w:r>
              <w:rPr>
                <w:rFonts w:ascii="Arial" w:cs="Arial" w:eastAsia="Arial" w:hAnsi="Arial"/>
                <w:sz w:val="13"/>
                <w:szCs w:val="13"/>
                <w:color w:val="auto"/>
              </w:rPr>
              <w:t>53</w:t>
            </w: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i w:val="1"/>
          <w:iCs w:val="1"/>
          <w:color w:val="auto"/>
        </w:rPr>
        <w:t>Year Ended December 31, 2016 Compared to Year Ended December 31, 2015</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reflects the changes in cash flows for the year ended December 31, 2016, compared to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12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0"/>
                <w:szCs w:val="10"/>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6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577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64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3"/>
                <w:szCs w:val="13"/>
                <w:color w:val="auto"/>
                <w:w w:val="98"/>
              </w:rPr>
              <w:t>(131)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(1,098)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55"/>
              <w:spacing w:after="0"/>
              <w:rPr>
                <w:sz w:val="20"/>
                <w:szCs w:val="20"/>
                <w:color w:val="auto"/>
              </w:rPr>
            </w:pPr>
            <w:r>
              <w:rPr>
                <w:rFonts w:ascii="Arial" w:cs="Arial" w:eastAsia="Arial" w:hAnsi="Arial"/>
                <w:sz w:val="13"/>
                <w:szCs w:val="13"/>
                <w:color w:val="auto"/>
              </w:rPr>
              <w:t>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8"/>
              </w:rPr>
              <w:t>(202)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(556)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3"/>
                <w:szCs w:val="13"/>
                <w:b w:val="1"/>
                <w:bCs w:val="1"/>
                <w:i w:val="1"/>
                <w:iCs w:val="1"/>
                <w:color w:val="auto"/>
              </w:rPr>
              <w:t>Net Cash Provided By Operating Activities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to net cash provided by operating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Increase in operating income adjusted for non-cash items driven by higher revenues mainly in the Renewables segment in 2016 compared to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120</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in working capital driven primarily by the timing of accounts receivable collections in 2015 compared to 2016</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Lower distributions from unconsolidated affiliates</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35"/>
              <w:spacing w:after="0"/>
              <w:rPr>
                <w:sz w:val="20"/>
                <w:szCs w:val="20"/>
                <w:color w:val="auto"/>
              </w:rPr>
            </w:pPr>
            <w:r>
              <w:rPr>
                <w:rFonts w:ascii="Arial" w:cs="Arial" w:eastAsia="Arial" w:hAnsi="Arial"/>
                <w:sz w:val="13"/>
                <w:szCs w:val="13"/>
                <w:color w:val="auto"/>
              </w:rPr>
              <w:t>153</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20" w:type="dxa"/>
            <w:vAlign w:val="bottom"/>
            <w:vMerge w:val="restart"/>
          </w:tcPr>
          <w:p>
            <w:pPr>
              <w:ind w:left="100"/>
              <w:spacing w:after="0"/>
              <w:rPr>
                <w:sz w:val="20"/>
                <w:szCs w:val="20"/>
                <w:color w:val="auto"/>
              </w:rPr>
            </w:pPr>
            <w:r>
              <w:rPr>
                <w:rFonts w:ascii="Arial" w:cs="Arial" w:eastAsia="Arial" w:hAnsi="Arial"/>
                <w:sz w:val="13"/>
                <w:szCs w:val="13"/>
                <w:b w:val="1"/>
                <w:bCs w:val="1"/>
                <w:i w:val="1"/>
                <w:iCs w:val="1"/>
                <w:color w:val="auto"/>
              </w:rPr>
              <w:t>Net Cash Used In Investing Activities</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to net cash used in investing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Payments to acquire businesses, net of cash acquired,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300" w:type="dxa"/>
            <w:vAlign w:val="bottom"/>
            <w:gridSpan w:val="5"/>
          </w:tcPr>
          <w:p>
            <w:pPr>
              <w:ind w:left="20"/>
              <w:spacing w:after="0"/>
              <w:rPr>
                <w:sz w:val="20"/>
                <w:szCs w:val="20"/>
                <w:color w:val="auto"/>
              </w:rPr>
            </w:pPr>
            <w:r>
              <w:rPr>
                <w:rFonts w:ascii="Arial" w:cs="Arial" w:eastAsia="Arial" w:hAnsi="Arial"/>
                <w:sz w:val="13"/>
                <w:szCs w:val="13"/>
                <w:color w:val="auto"/>
                <w:w w:val="93"/>
              </w:rPr>
              <w:t>Higher payments for the acquisition of the January 2015 and November 2015 Drop Down Assets in 2015 compared to the payments made for the CVSR Drop Down in 2016</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621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90"/>
              </w:rPr>
              <w:t>Decrease in capital expenditures primarily due to the completion of a project in the Thermal segment in 2015, as well as lower maintenance capital expenditures in 2016</w:t>
            </w: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Higher net investments in unconsolidated affiliates in 2015, primarily due to investment in Desert Sunlight</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35"/>
              <w:spacing w:after="0"/>
              <w:rPr>
                <w:sz w:val="20"/>
                <w:szCs w:val="20"/>
                <w:color w:val="auto"/>
              </w:rPr>
            </w:pPr>
            <w:r>
              <w:rPr>
                <w:rFonts w:ascii="Arial" w:cs="Arial" w:eastAsia="Arial" w:hAnsi="Arial"/>
                <w:sz w:val="13"/>
                <w:szCs w:val="13"/>
                <w:color w:val="auto"/>
              </w:rPr>
              <w:t>967</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20" w:type="dxa"/>
            <w:vAlign w:val="bottom"/>
            <w:vMerge w:val="restart"/>
          </w:tcPr>
          <w:p>
            <w:pPr>
              <w:ind w:left="100"/>
              <w:spacing w:after="0"/>
              <w:rPr>
                <w:sz w:val="20"/>
                <w:szCs w:val="20"/>
                <w:color w:val="auto"/>
              </w:rPr>
            </w:pPr>
            <w:r>
              <w:rPr>
                <w:rFonts w:ascii="Arial" w:cs="Arial" w:eastAsia="Arial" w:hAnsi="Arial"/>
                <w:sz w:val="13"/>
                <w:szCs w:val="13"/>
                <w:b w:val="1"/>
                <w:bCs w:val="1"/>
                <w:i w:val="1"/>
                <w:iCs w:val="1"/>
                <w:color w:val="auto"/>
              </w:rPr>
              <w:t>Net Cash (Used In) Provided By Financing Activities</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in net cash provided by financing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Higher payments of distributions to NRG from Drop Down Assets prior to the acquisition dates</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(105)</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40" w:type="dxa"/>
            <w:vAlign w:val="bottom"/>
            <w:gridSpan w:val="9"/>
          </w:tcPr>
          <w:p>
            <w:pPr>
              <w:ind w:left="20"/>
              <w:spacing w:after="0"/>
              <w:rPr>
                <w:sz w:val="20"/>
                <w:szCs w:val="20"/>
                <w:color w:val="auto"/>
              </w:rPr>
            </w:pPr>
            <w:r>
              <w:rPr>
                <w:rFonts w:ascii="Arial" w:cs="Arial" w:eastAsia="Arial" w:hAnsi="Arial"/>
                <w:sz w:val="13"/>
                <w:szCs w:val="13"/>
                <w:color w:val="auto"/>
                <w:w w:val="94"/>
              </w:rPr>
              <w:t xml:space="preserve">Proceeds from sale of an economic interest in Alta TE Holdco in 2015, as further described in Item 15 — Note 5, </w:t>
            </w:r>
            <w:r>
              <w:rPr>
                <w:rFonts w:ascii="Arial" w:cs="Arial" w:eastAsia="Arial" w:hAnsi="Arial"/>
                <w:sz w:val="13"/>
                <w:szCs w:val="13"/>
                <w:i w:val="1"/>
                <w:iCs w:val="1"/>
                <w:color w:val="auto"/>
                <w:w w:val="94"/>
              </w:rPr>
              <w:t>Investments Accounted for by the Equity Method and Variable Interest Entities</w:t>
            </w:r>
            <w:r>
              <w:rPr>
                <w:rFonts w:ascii="Arial" w:cs="Arial" w:eastAsia="Arial" w:hAnsi="Arial"/>
                <w:sz w:val="13"/>
                <w:szCs w:val="13"/>
                <w:color w:val="auto"/>
                <w:w w:val="94"/>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tcPr>
          <w:p>
            <w:pPr>
              <w:ind w:left="120"/>
              <w:spacing w:after="0"/>
              <w:rPr>
                <w:sz w:val="20"/>
                <w:szCs w:val="20"/>
                <w:color w:val="auto"/>
              </w:rPr>
            </w:pPr>
            <w:r>
              <w:rPr>
                <w:rFonts w:ascii="Arial" w:cs="Arial" w:eastAsia="Arial" w:hAnsi="Arial"/>
                <w:sz w:val="13"/>
                <w:szCs w:val="13"/>
                <w:color w:val="auto"/>
              </w:rPr>
              <w:t>compared to lower net contributions from tax equity investors in 2016</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Proceeds from the issuance of Class C units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Increase in distributions paid to unit holders</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repayments of $306 million under the revolving credit facility in 2016 compared to the net borrowings of $306 million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40" w:type="dxa"/>
            <w:vAlign w:val="bottom"/>
            <w:gridSpan w:val="9"/>
          </w:tcPr>
          <w:p>
            <w:pPr>
              <w:ind w:left="20"/>
              <w:spacing w:after="0"/>
              <w:rPr>
                <w:sz w:val="20"/>
                <w:szCs w:val="20"/>
                <w:color w:val="auto"/>
              </w:rPr>
            </w:pPr>
            <w:r>
              <w:rPr>
                <w:rFonts w:ascii="Arial" w:cs="Arial" w:eastAsia="Arial" w:hAnsi="Arial"/>
                <w:sz w:val="13"/>
                <w:szCs w:val="13"/>
                <w:color w:val="auto"/>
                <w:w w:val="93"/>
              </w:rPr>
              <w:t>Issuance of the Series D Notes in October 2016, 2026 Senior Notes in August 2016, and CVSR Holdco Notes, due 2037 in July 2016, partially offset by lower debt principal payments throughout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tcPr>
          <w:p>
            <w:pPr>
              <w:ind w:left="120"/>
              <w:spacing w:after="0"/>
              <w:rPr>
                <w:sz w:val="20"/>
                <w:szCs w:val="20"/>
                <w:color w:val="auto"/>
              </w:rPr>
            </w:pPr>
            <w:r>
              <w:rPr>
                <w:rFonts w:ascii="Arial" w:cs="Arial" w:eastAsia="Arial" w:hAnsi="Arial"/>
                <w:sz w:val="13"/>
                <w:szCs w:val="13"/>
                <w:color w:val="auto"/>
              </w:rPr>
              <w:t>2016, compared to 2015</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919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Higher debt issuance costs paid in 2016</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(556)</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140" w:type="dxa"/>
            <w:vAlign w:val="bottom"/>
            <w:gridSpan w:val="2"/>
            <w:vMerge w:val="restart"/>
          </w:tcPr>
          <w:p>
            <w:pPr>
              <w:ind w:left="5660"/>
              <w:spacing w:after="0"/>
              <w:rPr>
                <w:sz w:val="20"/>
                <w:szCs w:val="20"/>
                <w:color w:val="auto"/>
              </w:rPr>
            </w:pPr>
            <w:r>
              <w:rPr>
                <w:rFonts w:ascii="Arial" w:cs="Arial" w:eastAsia="Arial" w:hAnsi="Arial"/>
                <w:sz w:val="13"/>
                <w:szCs w:val="13"/>
                <w:color w:val="auto"/>
              </w:rPr>
              <w:t>54</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81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986" w:right="199" w:bottom="1440" w:gutter="0" w:footer="0" w:header="0"/>
        </w:sectPr>
      </w:pPr>
    </w:p>
    <w:bookmarkStart w:id="54" w:name="page55"/>
    <w:bookmarkEnd w:id="54"/>
    <w:p>
      <w:pPr>
        <w:ind w:left="2"/>
        <w:spacing w:after="0"/>
        <w:rPr>
          <w:sz w:val="20"/>
          <w:szCs w:val="20"/>
          <w:color w:val="auto"/>
        </w:rPr>
      </w:pPr>
      <w:r>
        <w:rPr>
          <w:rFonts w:ascii="Arial" w:cs="Arial" w:eastAsia="Arial" w:hAnsi="Arial"/>
          <w:sz w:val="13"/>
          <w:szCs w:val="13"/>
          <w:b w:val="1"/>
          <w:bCs w:val="1"/>
          <w:color w:val="auto"/>
        </w:rPr>
        <w:t>Off-Balance Sheet Arrangements</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Obligations under Certain Guarantee Contracts</w:t>
      </w:r>
    </w:p>
    <w:p>
      <w:pPr>
        <w:spacing w:after="0" w:line="103" w:lineRule="exact"/>
        <w:rPr>
          <w:sz w:val="20"/>
          <w:szCs w:val="20"/>
          <w:color w:val="auto"/>
        </w:rPr>
      </w:pPr>
    </w:p>
    <w:p>
      <w:pPr>
        <w:ind w:left="282"/>
        <w:spacing w:after="0"/>
        <w:rPr>
          <w:sz w:val="20"/>
          <w:szCs w:val="20"/>
          <w:color w:val="auto"/>
        </w:rPr>
      </w:pPr>
      <w:r>
        <w:rPr>
          <w:rFonts w:ascii="Arial" w:cs="Arial" w:eastAsia="Arial" w:hAnsi="Arial"/>
          <w:sz w:val="13"/>
          <w:szCs w:val="13"/>
          <w:color w:val="231F20"/>
        </w:rPr>
        <w:t>The Company may enter into guarantee arrangements in the normal course of business to facilitate commercial transactions with third parties.</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Retained or Contingent Interests</w:t>
      </w:r>
    </w:p>
    <w:p>
      <w:pPr>
        <w:spacing w:after="0" w:line="103" w:lineRule="exact"/>
        <w:rPr>
          <w:sz w:val="20"/>
          <w:szCs w:val="20"/>
          <w:color w:val="auto"/>
        </w:rPr>
      </w:pPr>
    </w:p>
    <w:p>
      <w:pPr>
        <w:ind w:left="302"/>
        <w:spacing w:after="0"/>
        <w:rPr>
          <w:sz w:val="20"/>
          <w:szCs w:val="20"/>
          <w:color w:val="auto"/>
        </w:rPr>
      </w:pPr>
      <w:r>
        <w:rPr>
          <w:rFonts w:ascii="Arial" w:cs="Arial" w:eastAsia="Arial" w:hAnsi="Arial"/>
          <w:sz w:val="13"/>
          <w:szCs w:val="13"/>
          <w:color w:val="auto"/>
        </w:rPr>
        <w:t>The Company does not have any material retained or contingent interests in assets transferred to an unconsolidated entity.</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Obligations Arising Out of a Variable Interest in an Unconsolidated Entity</w:t>
      </w:r>
    </w:p>
    <w:p>
      <w:pPr>
        <w:spacing w:after="0" w:line="103" w:lineRule="exact"/>
        <w:rPr>
          <w:sz w:val="20"/>
          <w:szCs w:val="20"/>
          <w:color w:val="auto"/>
        </w:rPr>
      </w:pPr>
    </w:p>
    <w:p>
      <w:pPr>
        <w:jc w:val="both"/>
        <w:ind w:left="2" w:right="20" w:firstLine="291"/>
        <w:spacing w:after="0" w:line="318" w:lineRule="auto"/>
        <w:rPr>
          <w:sz w:val="20"/>
          <w:szCs w:val="20"/>
          <w:color w:val="auto"/>
        </w:rPr>
      </w:pPr>
      <w:r>
        <w:rPr>
          <w:rFonts w:ascii="Arial" w:cs="Arial" w:eastAsia="Arial" w:hAnsi="Arial"/>
          <w:sz w:val="11"/>
          <w:szCs w:val="11"/>
          <w:i w:val="1"/>
          <w:iCs w:val="1"/>
          <w:color w:val="auto"/>
        </w:rPr>
        <w:t xml:space="preserve">Variable interest in equity investments </w:t>
      </w:r>
      <w:r>
        <w:rPr>
          <w:rFonts w:ascii="Arial" w:cs="Arial" w:eastAsia="Arial" w:hAnsi="Arial"/>
          <w:sz w:val="11"/>
          <w:szCs w:val="11"/>
          <w:color w:val="auto"/>
        </w:rPr>
        <w:t>— As of December 31, 2017, the Company has several investments with an ownership interest percentage of 50% or less in energy and energy-related entities that are accounted</w:t>
      </w:r>
      <w:r>
        <w:rPr>
          <w:rFonts w:ascii="Arial" w:cs="Arial" w:eastAsia="Arial" w:hAnsi="Arial"/>
          <w:sz w:val="11"/>
          <w:szCs w:val="11"/>
          <w:i w:val="1"/>
          <w:iCs w:val="1"/>
          <w:color w:val="auto"/>
        </w:rPr>
        <w:t xml:space="preserve"> </w:t>
      </w:r>
      <w:r>
        <w:rPr>
          <w:rFonts w:ascii="Arial" w:cs="Arial" w:eastAsia="Arial" w:hAnsi="Arial"/>
          <w:sz w:val="11"/>
          <w:szCs w:val="11"/>
          <w:color w:val="auto"/>
        </w:rPr>
        <w:t>for under the equity method. NRG DGPV Holdco 1 LLC</w:t>
      </w:r>
      <w:r>
        <w:rPr>
          <w:rFonts w:ascii="Arial" w:cs="Arial" w:eastAsia="Arial" w:hAnsi="Arial"/>
          <w:sz w:val="11"/>
          <w:szCs w:val="11"/>
          <w:i w:val="1"/>
          <w:iCs w:val="1"/>
          <w:color w:val="auto"/>
        </w:rPr>
        <w:t>,</w:t>
      </w:r>
      <w:r>
        <w:rPr>
          <w:rFonts w:ascii="Arial" w:cs="Arial" w:eastAsia="Arial" w:hAnsi="Arial"/>
          <w:sz w:val="11"/>
          <w:szCs w:val="11"/>
          <w:color w:val="auto"/>
        </w:rPr>
        <w:t xml:space="preserve"> NRG DGPV Holdco 2 LLC, NRG DGPV Holdco 3 LLC, NRG RPV Holdco 1 LLC and GenConn are variable interest entities for which the Company is not the primary beneficiary. The Company's pro-rata share of non-recourse debt held by unconsolidated affiliates was approximately $777 million as of December 31, 2017. This indebtedness may restrict the ability of these subsidiaries to issue dividends or distributions to the Company. See also Item 15 — Note 5, </w:t>
      </w:r>
      <w:r>
        <w:rPr>
          <w:rFonts w:ascii="Arial" w:cs="Arial" w:eastAsia="Arial" w:hAnsi="Arial"/>
          <w:sz w:val="11"/>
          <w:szCs w:val="11"/>
          <w:i w:val="1"/>
          <w:iCs w:val="1"/>
          <w:color w:val="auto"/>
        </w:rPr>
        <w:t>Investments Accounted for by the Equity Method and Variable Interest Entities</w:t>
      </w:r>
      <w:r>
        <w:rPr>
          <w:rFonts w:ascii="Arial" w:cs="Arial" w:eastAsia="Arial" w:hAnsi="Arial"/>
          <w:sz w:val="11"/>
          <w:szCs w:val="11"/>
          <w:color w:val="auto"/>
        </w:rPr>
        <w:t>, to the Consolidated Financial Statements.</w:t>
      </w:r>
    </w:p>
    <w:p>
      <w:pPr>
        <w:spacing w:after="0" w:line="44" w:lineRule="exact"/>
        <w:rPr>
          <w:sz w:val="20"/>
          <w:szCs w:val="20"/>
          <w:color w:val="auto"/>
        </w:rPr>
      </w:pPr>
    </w:p>
    <w:p>
      <w:pPr>
        <w:ind w:left="22"/>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107" w:lineRule="exact"/>
        <w:rPr>
          <w:sz w:val="20"/>
          <w:szCs w:val="20"/>
          <w:color w:val="auto"/>
        </w:rPr>
      </w:pPr>
    </w:p>
    <w:p>
      <w:pPr>
        <w:jc w:val="both"/>
        <w:ind w:left="2" w:firstLine="311"/>
        <w:spacing w:after="0" w:line="314" w:lineRule="auto"/>
        <w:rPr>
          <w:sz w:val="20"/>
          <w:szCs w:val="20"/>
          <w:color w:val="auto"/>
        </w:rPr>
      </w:pPr>
      <w:r>
        <w:rPr>
          <w:rFonts w:ascii="Arial" w:cs="Arial" w:eastAsia="Arial" w:hAnsi="Arial"/>
          <w:sz w:val="12"/>
          <w:szCs w:val="12"/>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Arial" w:cs="Arial" w:eastAsia="Arial" w:hAnsi="Arial"/>
          <w:sz w:val="12"/>
          <w:szCs w:val="12"/>
          <w:color w:val="231F20"/>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and Note 14,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Consolidated Financial Statements for additional discussion.</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By Remaining Maturity at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Contractual Cash Obligations</w:t>
            </w:r>
          </w:p>
        </w:tc>
        <w:tc>
          <w:tcPr>
            <w:tcW w:w="260" w:type="dxa"/>
            <w:vAlign w:val="bottom"/>
          </w:tcPr>
          <w:p>
            <w:pPr>
              <w:spacing w:after="0"/>
              <w:rPr>
                <w:sz w:val="9"/>
                <w:szCs w:val="9"/>
                <w:color w:val="auto"/>
              </w:rPr>
            </w:pPr>
          </w:p>
        </w:tc>
        <w:tc>
          <w:tcPr>
            <w:tcW w:w="1020" w:type="dxa"/>
            <w:vAlign w:val="bottom"/>
            <w:gridSpan w:val="2"/>
          </w:tcPr>
          <w:p>
            <w:pPr>
              <w:ind w:left="180"/>
              <w:spacing w:after="0" w:line="104" w:lineRule="exact"/>
              <w:rPr>
                <w:sz w:val="20"/>
                <w:szCs w:val="20"/>
                <w:color w:val="auto"/>
              </w:rPr>
            </w:pPr>
            <w:r>
              <w:rPr>
                <w:rFonts w:ascii="Arial" w:cs="Arial" w:eastAsia="Arial" w:hAnsi="Arial"/>
                <w:sz w:val="10"/>
                <w:szCs w:val="10"/>
                <w:b w:val="1"/>
                <w:bCs w:val="1"/>
                <w:color w:val="auto"/>
              </w:rPr>
              <w:t>Under</w:t>
            </w:r>
          </w:p>
        </w:tc>
        <w:tc>
          <w:tcPr>
            <w:tcW w:w="220" w:type="dxa"/>
            <w:vAlign w:val="bottom"/>
          </w:tcPr>
          <w:p>
            <w:pPr>
              <w:spacing w:after="0"/>
              <w:rPr>
                <w:sz w:val="9"/>
                <w:szCs w:val="9"/>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1-3 Years</w:t>
            </w:r>
          </w:p>
        </w:tc>
        <w:tc>
          <w:tcPr>
            <w:tcW w:w="200" w:type="dxa"/>
            <w:vAlign w:val="bottom"/>
          </w:tcPr>
          <w:p>
            <w:pPr>
              <w:spacing w:after="0"/>
              <w:rPr>
                <w:sz w:val="9"/>
                <w:szCs w:val="9"/>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3-5 Years</w:t>
            </w:r>
          </w:p>
        </w:tc>
        <w:tc>
          <w:tcPr>
            <w:tcW w:w="300" w:type="dxa"/>
            <w:vAlign w:val="bottom"/>
          </w:tcPr>
          <w:p>
            <w:pPr>
              <w:spacing w:after="0"/>
              <w:rPr>
                <w:sz w:val="9"/>
                <w:szCs w:val="9"/>
                <w:color w:val="auto"/>
              </w:rPr>
            </w:pPr>
          </w:p>
        </w:tc>
        <w:tc>
          <w:tcPr>
            <w:tcW w:w="960" w:type="dxa"/>
            <w:vAlign w:val="bottom"/>
            <w:gridSpan w:val="2"/>
          </w:tcPr>
          <w:p>
            <w:pPr>
              <w:jc w:val="center"/>
              <w:ind w:right="420"/>
              <w:spacing w:after="0" w:line="104" w:lineRule="exact"/>
              <w:rPr>
                <w:sz w:val="20"/>
                <w:szCs w:val="20"/>
                <w:color w:val="auto"/>
              </w:rPr>
            </w:pPr>
            <w:r>
              <w:rPr>
                <w:rFonts w:ascii="Arial" w:cs="Arial" w:eastAsia="Arial" w:hAnsi="Arial"/>
                <w:sz w:val="10"/>
                <w:szCs w:val="10"/>
                <w:b w:val="1"/>
                <w:bCs w:val="1"/>
                <w:color w:val="auto"/>
                <w:w w:val="96"/>
              </w:rPr>
              <w:t>Over</w:t>
            </w:r>
          </w:p>
        </w:tc>
        <w:tc>
          <w:tcPr>
            <w:tcW w:w="28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Total</w:t>
            </w:r>
          </w:p>
        </w:tc>
        <w:tc>
          <w:tcPr>
            <w:tcW w:w="280" w:type="dxa"/>
            <w:vAlign w:val="bottom"/>
          </w:tcPr>
          <w:p>
            <w:pPr>
              <w:spacing w:after="0"/>
              <w:rPr>
                <w:sz w:val="9"/>
                <w:szCs w:val="9"/>
                <w:color w:val="auto"/>
              </w:rPr>
            </w:pPr>
          </w:p>
        </w:tc>
        <w:tc>
          <w:tcPr>
            <w:tcW w:w="860" w:type="dxa"/>
            <w:vAlign w:val="bottom"/>
            <w:vMerge w:val="restart"/>
          </w:tcPr>
          <w:p>
            <w:pPr>
              <w:jc w:val="right"/>
              <w:ind w:right="3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1 Year</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5 Years</w:t>
            </w:r>
          </w:p>
        </w:tc>
        <w:tc>
          <w:tcPr>
            <w:tcW w:w="2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right"/>
              <w:ind w:right="55"/>
              <w:spacing w:after="0"/>
              <w:rPr>
                <w:sz w:val="20"/>
                <w:szCs w:val="20"/>
                <w:color w:val="auto"/>
              </w:rPr>
            </w:pPr>
            <w:r>
              <w:rPr>
                <w:rFonts w:ascii="Arial" w:cs="Arial" w:eastAsia="Arial" w:hAnsi="Arial"/>
                <w:sz w:val="10"/>
                <w:szCs w:val="10"/>
                <w:b w:val="1"/>
                <w:bCs w:val="1"/>
                <w:color w:val="auto"/>
              </w:rPr>
              <w:t>(In millions)</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Long-term debt (including estimated interest)</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593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1,856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3"/>
                <w:szCs w:val="13"/>
                <w:color w:val="auto"/>
              </w:rPr>
              <w:t>1,500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3,907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7,856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26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Fuel purchase and transportation obligations</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spacing w:after="0" w:line="195" w:lineRule="exact"/>
              <w:rPr>
                <w:sz w:val="20"/>
                <w:szCs w:val="20"/>
                <w:color w:val="auto"/>
              </w:rPr>
            </w:pPr>
            <w:r>
              <w:rPr>
                <w:rFonts w:ascii="Arial" w:cs="Arial" w:eastAsia="Arial" w:hAnsi="Arial"/>
                <w:sz w:val="13"/>
                <w:szCs w:val="13"/>
                <w:color w:val="auto"/>
              </w:rPr>
              <w:t xml:space="preserve">Other liabilities </w:t>
            </w:r>
            <w:r>
              <w:rPr>
                <w:rFonts w:ascii="Arial" w:cs="Arial" w:eastAsia="Arial" w:hAnsi="Arial"/>
                <w:sz w:val="18"/>
                <w:szCs w:val="18"/>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642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1,553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4,179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8,301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8,701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141605</wp:posOffset>
            </wp:positionV>
            <wp:extent cx="138811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110" cy="6350"/>
                    </a:xfrm>
                    <a:prstGeom prst="rect">
                      <a:avLst/>
                    </a:prstGeom>
                    <a:noFill/>
                  </pic:spPr>
                </pic:pic>
              </a:graphicData>
            </a:graphic>
          </wp:anchor>
        </w:drawing>
      </w:r>
    </w:p>
    <w:p>
      <w:pPr>
        <w:spacing w:after="0" w:line="228" w:lineRule="exact"/>
        <w:rPr>
          <w:sz w:val="20"/>
          <w:szCs w:val="20"/>
          <w:color w:val="auto"/>
        </w:rPr>
      </w:pPr>
    </w:p>
    <w:p>
      <w:pPr>
        <w:ind w:left="122" w:hanging="122"/>
        <w:spacing w:after="0"/>
        <w:tabs>
          <w:tab w:leader="none" w:pos="122" w:val="left"/>
        </w:tabs>
        <w:numPr>
          <w:ilvl w:val="0"/>
          <w:numId w:val="25"/>
        </w:numPr>
        <w:rPr>
          <w:rFonts w:ascii="Arial" w:cs="Arial" w:eastAsia="Arial" w:hAnsi="Arial"/>
          <w:sz w:val="14"/>
          <w:szCs w:val="14"/>
          <w:color w:val="auto"/>
          <w:vertAlign w:val="superscript"/>
        </w:rPr>
      </w:pPr>
      <w:r>
        <w:rPr>
          <w:rFonts w:ascii="Arial" w:cs="Arial" w:eastAsia="Arial" w:hAnsi="Arial"/>
          <w:sz w:val="9"/>
          <w:szCs w:val="9"/>
          <w:color w:val="auto"/>
        </w:rPr>
        <w:t>Includes water right agreements, service and maintenance agreements, and LTSA commitments.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Fair Value of Derivative Instruments</w:t>
      </w:r>
    </w:p>
    <w:p>
      <w:pPr>
        <w:spacing w:after="0" w:line="127"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0" w:lineRule="exact"/>
        <w:rPr>
          <w:sz w:val="20"/>
          <w:szCs w:val="20"/>
          <w:color w:val="auto"/>
        </w:rPr>
      </w:pPr>
    </w:p>
    <w:p>
      <w:pPr>
        <w:jc w:val="both"/>
        <w:ind w:left="2" w:firstLine="350"/>
        <w:spacing w:after="0" w:line="292" w:lineRule="auto"/>
        <w:rPr>
          <w:sz w:val="20"/>
          <w:szCs w:val="20"/>
          <w:color w:val="auto"/>
        </w:rPr>
      </w:pPr>
      <w:r>
        <w:rPr>
          <w:rFonts w:ascii="Arial" w:cs="Arial" w:eastAsia="Arial" w:hAnsi="Arial"/>
          <w:sz w:val="12"/>
          <w:szCs w:val="12"/>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2"/>
          <w:szCs w:val="12"/>
          <w:color w:val="000000"/>
        </w:rPr>
        <w:t>December 31, 2017</w:t>
      </w:r>
      <w:r>
        <w:rPr>
          <w:rFonts w:ascii="Arial" w:cs="Arial" w:eastAsia="Arial" w:hAnsi="Arial"/>
          <w:sz w:val="12"/>
          <w:szCs w:val="12"/>
          <w:color w:val="231F20"/>
        </w:rPr>
        <w:t xml:space="preserve">, based on their level within the fair value hierarchy defined in ASC 820; and indicate the maturities of contracts at </w:t>
      </w:r>
      <w:r>
        <w:rPr>
          <w:rFonts w:ascii="Arial" w:cs="Arial" w:eastAsia="Arial" w:hAnsi="Arial"/>
          <w:sz w:val="12"/>
          <w:szCs w:val="12"/>
          <w:color w:val="000000"/>
        </w:rPr>
        <w:t>December 31, 2017</w:t>
      </w:r>
      <w:r>
        <w:rPr>
          <w:rFonts w:ascii="Arial" w:cs="Arial" w:eastAsia="Arial" w:hAnsi="Arial"/>
          <w:sz w:val="12"/>
          <w:szCs w:val="12"/>
          <w:color w:val="231F20"/>
        </w:rPr>
        <w:t xml:space="preserve">. For a full discussion of the Company's valuation methodology of its contracts, see </w:t>
      </w:r>
      <w:r>
        <w:rPr>
          <w:rFonts w:ascii="Arial" w:cs="Arial" w:eastAsia="Arial" w:hAnsi="Arial"/>
          <w:sz w:val="12"/>
          <w:szCs w:val="12"/>
          <w:i w:val="1"/>
          <w:iCs w:val="1"/>
          <w:color w:val="231F20"/>
        </w:rPr>
        <w:t>Derivative Fair Value Measurements</w:t>
      </w:r>
      <w:r>
        <w:rPr>
          <w:rFonts w:ascii="Arial" w:cs="Arial" w:eastAsia="Arial" w:hAnsi="Arial"/>
          <w:sz w:val="12"/>
          <w:szCs w:val="12"/>
          <w:color w:val="231F20"/>
        </w:rPr>
        <w:t xml:space="preserve"> in </w:t>
      </w:r>
      <w:r>
        <w:rPr>
          <w:rFonts w:ascii="Arial" w:cs="Arial" w:eastAsia="Arial" w:hAnsi="Arial"/>
          <w:sz w:val="12"/>
          <w:szCs w:val="12"/>
          <w:color w:val="000000"/>
        </w:rPr>
        <w:t>Item 15 — 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w:t>
      </w:r>
    </w:p>
    <w:p>
      <w:pPr>
        <w:spacing w:after="0" w:line="109"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gridSpan w:val="2"/>
          </w:tcPr>
          <w:p>
            <w:pPr>
              <w:spacing w:after="0"/>
              <w:rPr>
                <w:sz w:val="20"/>
                <w:szCs w:val="20"/>
                <w:color w:val="auto"/>
              </w:rPr>
            </w:pPr>
            <w:r>
              <w:rPr>
                <w:rFonts w:ascii="Arial" w:cs="Arial" w:eastAsia="Arial" w:hAnsi="Arial"/>
                <w:sz w:val="10"/>
                <w:szCs w:val="10"/>
                <w:b w:val="1"/>
                <w:bCs w:val="1"/>
                <w:color w:val="auto"/>
              </w:rPr>
              <w:t>Derivative Activity (Losses)/Gains</w:t>
            </w:r>
          </w:p>
        </w:tc>
        <w:tc>
          <w:tcPr>
            <w:tcW w:w="5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58"/>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Fair value of contracts as of December 31, 2016</w:t>
            </w:r>
          </w:p>
        </w:tc>
        <w:tc>
          <w:tcPr>
            <w:tcW w:w="61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(76)</w:t>
            </w:r>
          </w:p>
        </w:tc>
      </w:tr>
      <w:tr>
        <w:trPr>
          <w:trHeight w:val="174"/>
        </w:trPr>
        <w:tc>
          <w:tcPr>
            <w:tcW w:w="20" w:type="dxa"/>
            <w:vAlign w:val="bottom"/>
          </w:tcPr>
          <w:p>
            <w:pPr>
              <w:spacing w:after="0"/>
              <w:rPr>
                <w:sz w:val="15"/>
                <w:szCs w:val="15"/>
                <w:color w:val="auto"/>
              </w:rPr>
            </w:pPr>
          </w:p>
        </w:tc>
        <w:tc>
          <w:tcPr>
            <w:tcW w:w="4360" w:type="dxa"/>
            <w:vAlign w:val="bottom"/>
            <w:gridSpan w:val="2"/>
          </w:tcPr>
          <w:p>
            <w:pPr>
              <w:ind w:left="180"/>
              <w:spacing w:after="0"/>
              <w:rPr>
                <w:sz w:val="20"/>
                <w:szCs w:val="20"/>
                <w:color w:val="auto"/>
              </w:rPr>
            </w:pPr>
            <w:r>
              <w:rPr>
                <w:rFonts w:ascii="Arial" w:cs="Arial" w:eastAsia="Arial" w:hAnsi="Arial"/>
                <w:sz w:val="13"/>
                <w:szCs w:val="13"/>
                <w:color w:val="auto"/>
              </w:rPr>
              <w:t>Contracts realized or otherwise settled during the period</w:t>
            </w:r>
          </w:p>
        </w:tc>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32</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Changes in fair value</w:t>
            </w:r>
          </w:p>
        </w:tc>
        <w:tc>
          <w:tcPr>
            <w:tcW w:w="5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r>
      <w:tr>
        <w:trPr>
          <w:trHeight w:val="193"/>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Arial" w:cs="Arial" w:eastAsia="Arial" w:hAnsi="Arial"/>
                <w:sz w:val="13"/>
                <w:szCs w:val="13"/>
                <w:color w:val="auto"/>
              </w:rPr>
              <w:t>Fair value of contracts as of December 31, 2017</w:t>
            </w:r>
          </w:p>
        </w:tc>
        <w:tc>
          <w:tcPr>
            <w:tcW w:w="59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(46)</w:t>
            </w:r>
          </w:p>
        </w:tc>
      </w:tr>
      <w:tr>
        <w:trPr>
          <w:trHeight w:val="36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940" w:type="dxa"/>
            <w:vAlign w:val="bottom"/>
          </w:tcPr>
          <w:p>
            <w:pPr>
              <w:jc w:val="right"/>
              <w:ind w:right="4455"/>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2"/>
          </w:cols>
          <w:pgMar w:left="218" w:top="709" w:right="19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2"/>
          </w:tcPr>
          <w:p>
            <w:pPr>
              <w:jc w:val="center"/>
              <w:ind w:left="865"/>
              <w:spacing w:after="0"/>
              <w:rPr>
                <w:sz w:val="20"/>
                <w:szCs w:val="20"/>
                <w:color w:val="auto"/>
              </w:rPr>
            </w:pPr>
            <w:r>
              <w:rPr>
                <w:rFonts w:ascii="Arial" w:cs="Arial" w:eastAsia="Arial" w:hAnsi="Arial"/>
                <w:sz w:val="10"/>
                <w:szCs w:val="10"/>
                <w:b w:val="1"/>
                <w:bCs w:val="1"/>
                <w:color w:val="auto"/>
                <w:w w:val="92"/>
              </w:rPr>
              <w:t>Fair value of contracts as of December 31, 2017</w:t>
            </w:r>
          </w:p>
        </w:tc>
        <w:tc>
          <w:tcPr>
            <w:tcW w:w="1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86"/>
              <w:spacing w:after="0"/>
              <w:rPr>
                <w:sz w:val="20"/>
                <w:szCs w:val="20"/>
                <w:color w:val="auto"/>
              </w:rPr>
            </w:pPr>
            <w:r>
              <w:rPr>
                <w:rFonts w:ascii="Arial" w:cs="Arial" w:eastAsia="Arial" w:hAnsi="Arial"/>
                <w:sz w:val="10"/>
                <w:szCs w:val="10"/>
                <w:b w:val="1"/>
                <w:bCs w:val="1"/>
                <w:color w:val="auto"/>
              </w:rPr>
              <w:t>Maturity</w:t>
            </w: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Fair Value Hierarchy Losses</w:t>
            </w:r>
          </w:p>
        </w:tc>
        <w:tc>
          <w:tcPr>
            <w:tcW w:w="142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1 Year or Less</w:t>
            </w:r>
          </w:p>
        </w:tc>
        <w:tc>
          <w:tcPr>
            <w:tcW w:w="1360" w:type="dxa"/>
            <w:vAlign w:val="bottom"/>
          </w:tcPr>
          <w:p>
            <w:pPr>
              <w:jc w:val="center"/>
              <w:ind w:right="85"/>
              <w:spacing w:after="0" w:line="104" w:lineRule="exact"/>
              <w:rPr>
                <w:sz w:val="20"/>
                <w:szCs w:val="20"/>
                <w:color w:val="auto"/>
              </w:rPr>
            </w:pPr>
            <w:r>
              <w:rPr>
                <w:rFonts w:ascii="Arial" w:cs="Arial" w:eastAsia="Arial" w:hAnsi="Arial"/>
                <w:sz w:val="10"/>
                <w:szCs w:val="10"/>
                <w:b w:val="1"/>
                <w:bCs w:val="1"/>
                <w:color w:val="auto"/>
                <w:w w:val="99"/>
              </w:rPr>
              <w:t>Greater Than</w:t>
            </w:r>
          </w:p>
        </w:tc>
        <w:tc>
          <w:tcPr>
            <w:tcW w:w="1680" w:type="dxa"/>
            <w:vAlign w:val="bottom"/>
          </w:tcPr>
          <w:p>
            <w:pPr>
              <w:jc w:val="center"/>
              <w:ind w:right="346"/>
              <w:spacing w:after="0" w:line="104" w:lineRule="exact"/>
              <w:rPr>
                <w:sz w:val="20"/>
                <w:szCs w:val="20"/>
                <w:color w:val="auto"/>
              </w:rPr>
            </w:pPr>
            <w:r>
              <w:rPr>
                <w:rFonts w:ascii="Arial" w:cs="Arial" w:eastAsia="Arial" w:hAnsi="Arial"/>
                <w:sz w:val="10"/>
                <w:szCs w:val="10"/>
                <w:b w:val="1"/>
                <w:bCs w:val="1"/>
                <w:color w:val="auto"/>
                <w:w w:val="96"/>
              </w:rPr>
              <w:t>Greater Than</w:t>
            </w:r>
          </w:p>
        </w:tc>
        <w:tc>
          <w:tcPr>
            <w:tcW w:w="1160" w:type="dxa"/>
            <w:vAlign w:val="bottom"/>
          </w:tcPr>
          <w:p>
            <w:pPr>
              <w:jc w:val="center"/>
              <w:ind w:right="464"/>
              <w:spacing w:after="0" w:line="104" w:lineRule="exact"/>
              <w:rPr>
                <w:sz w:val="20"/>
                <w:szCs w:val="20"/>
                <w:color w:val="auto"/>
              </w:rPr>
            </w:pPr>
            <w:r>
              <w:rPr>
                <w:rFonts w:ascii="Arial" w:cs="Arial" w:eastAsia="Arial" w:hAnsi="Arial"/>
                <w:sz w:val="10"/>
                <w:szCs w:val="10"/>
                <w:b w:val="1"/>
                <w:bCs w:val="1"/>
                <w:color w:val="auto"/>
                <w:w w:val="96"/>
              </w:rPr>
              <w:t>Greater Than</w:t>
            </w:r>
          </w:p>
        </w:tc>
        <w:tc>
          <w:tcPr>
            <w:tcW w:w="11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97"/>
              </w:rPr>
              <w:t>Total Fair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8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tcPr>
          <w:p>
            <w:pPr>
              <w:jc w:val="center"/>
              <w:ind w:right="85"/>
              <w:spacing w:after="0" w:line="114" w:lineRule="exact"/>
              <w:rPr>
                <w:sz w:val="20"/>
                <w:szCs w:val="20"/>
                <w:color w:val="auto"/>
              </w:rPr>
            </w:pPr>
            <w:r>
              <w:rPr>
                <w:rFonts w:ascii="Arial" w:cs="Arial" w:eastAsia="Arial" w:hAnsi="Arial"/>
                <w:sz w:val="10"/>
                <w:szCs w:val="10"/>
                <w:b w:val="1"/>
                <w:bCs w:val="1"/>
                <w:color w:val="auto"/>
                <w:w w:val="91"/>
              </w:rPr>
              <w:t>1 Year to 3 Years</w:t>
            </w:r>
          </w:p>
        </w:tc>
        <w:tc>
          <w:tcPr>
            <w:tcW w:w="1680" w:type="dxa"/>
            <w:vAlign w:val="bottom"/>
          </w:tcPr>
          <w:p>
            <w:pPr>
              <w:jc w:val="center"/>
              <w:ind w:right="346"/>
              <w:spacing w:after="0" w:line="114" w:lineRule="exact"/>
              <w:rPr>
                <w:sz w:val="20"/>
                <w:szCs w:val="20"/>
                <w:color w:val="auto"/>
              </w:rPr>
            </w:pPr>
            <w:r>
              <w:rPr>
                <w:rFonts w:ascii="Arial" w:cs="Arial" w:eastAsia="Arial" w:hAnsi="Arial"/>
                <w:sz w:val="10"/>
                <w:szCs w:val="10"/>
                <w:b w:val="1"/>
                <w:bCs w:val="1"/>
                <w:color w:val="auto"/>
                <w:w w:val="92"/>
              </w:rPr>
              <w:t>3 Years to 5 Years</w:t>
            </w:r>
          </w:p>
        </w:tc>
        <w:tc>
          <w:tcPr>
            <w:tcW w:w="1160" w:type="dxa"/>
            <w:vAlign w:val="bottom"/>
          </w:tcPr>
          <w:p>
            <w:pPr>
              <w:jc w:val="center"/>
              <w:ind w:right="464"/>
              <w:spacing w:after="0" w:line="114" w:lineRule="exact"/>
              <w:rPr>
                <w:sz w:val="20"/>
                <w:szCs w:val="20"/>
                <w:color w:val="auto"/>
              </w:rPr>
            </w:pPr>
            <w:r>
              <w:rPr>
                <w:rFonts w:ascii="Arial" w:cs="Arial" w:eastAsia="Arial" w:hAnsi="Arial"/>
                <w:sz w:val="10"/>
                <w:szCs w:val="10"/>
                <w:b w:val="1"/>
                <w:bCs w:val="1"/>
                <w:color w:val="auto"/>
                <w:w w:val="89"/>
              </w:rPr>
              <w:t>5 Years</w:t>
            </w:r>
          </w:p>
        </w:tc>
        <w:tc>
          <w:tcPr>
            <w:tcW w:w="1160" w:type="dxa"/>
            <w:vAlign w:val="bottom"/>
          </w:tcPr>
          <w:p>
            <w:pPr>
              <w:jc w:val="center"/>
              <w:ind w:right="64"/>
              <w:spacing w:after="0" w:line="114" w:lineRule="exact"/>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80" w:type="dxa"/>
            <w:vAlign w:val="bottom"/>
          </w:tcPr>
          <w:p>
            <w:pPr>
              <w:jc w:val="center"/>
              <w:ind w:right="386"/>
              <w:spacing w:after="0"/>
              <w:rPr>
                <w:sz w:val="20"/>
                <w:szCs w:val="20"/>
                <w:color w:val="auto"/>
              </w:rPr>
            </w:pPr>
            <w:r>
              <w:rPr>
                <w:rFonts w:ascii="Arial" w:cs="Arial" w:eastAsia="Arial" w:hAnsi="Arial"/>
                <w:sz w:val="10"/>
                <w:szCs w:val="10"/>
                <w:b w:val="1"/>
                <w:bCs w:val="1"/>
                <w:color w:val="auto"/>
                <w:w w:val="99"/>
              </w:rPr>
              <w:t>(In millions)</w:t>
            </w: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Level 2</w:t>
            </w:r>
          </w:p>
        </w:tc>
        <w:tc>
          <w:tcPr>
            <w:tcW w:w="1420" w:type="dxa"/>
            <w:vAlign w:val="bottom"/>
            <w:shd w:val="clear" w:color="auto" w:fill="CCEEFF"/>
          </w:tcPr>
          <w:p>
            <w:pPr>
              <w:jc w:val="right"/>
              <w:ind w:right="202"/>
              <w:spacing w:after="0"/>
              <w:rPr>
                <w:sz w:val="20"/>
                <w:szCs w:val="20"/>
                <w:color w:val="auto"/>
              </w:rPr>
            </w:pPr>
            <w:r>
              <w:rPr>
                <w:rFonts w:ascii="Arial" w:cs="Arial" w:eastAsia="Arial" w:hAnsi="Arial"/>
                <w:sz w:val="13"/>
                <w:szCs w:val="13"/>
                <w:color w:val="auto"/>
              </w:rPr>
              <w:t>16</w:t>
            </w: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3"/>
                <w:szCs w:val="13"/>
                <w:color w:val="auto"/>
              </w:rPr>
              <w:t>15</w:t>
            </w:r>
          </w:p>
        </w:tc>
        <w:tc>
          <w:tcPr>
            <w:tcW w:w="1680" w:type="dxa"/>
            <w:vAlign w:val="bottom"/>
            <w:shd w:val="clear" w:color="auto" w:fill="CCEEFF"/>
          </w:tcPr>
          <w:p>
            <w:pPr>
              <w:jc w:val="right"/>
              <w:ind w:right="466"/>
              <w:spacing w:after="0"/>
              <w:rPr>
                <w:sz w:val="20"/>
                <w:szCs w:val="20"/>
                <w:color w:val="auto"/>
              </w:rPr>
            </w:pPr>
            <w:r>
              <w:rPr>
                <w:rFonts w:ascii="Arial" w:cs="Arial" w:eastAsia="Arial" w:hAnsi="Arial"/>
                <w:sz w:val="13"/>
                <w:szCs w:val="13"/>
                <w:color w:val="auto"/>
              </w:rPr>
              <w:t>9</w:t>
            </w:r>
          </w:p>
        </w:tc>
        <w:tc>
          <w:tcPr>
            <w:tcW w:w="1160" w:type="dxa"/>
            <w:vAlign w:val="bottom"/>
            <w:shd w:val="clear" w:color="auto" w:fill="CCEEFF"/>
          </w:tcPr>
          <w:p>
            <w:pPr>
              <w:jc w:val="right"/>
              <w:ind w:right="264"/>
              <w:spacing w:after="0"/>
              <w:rPr>
                <w:sz w:val="20"/>
                <w:szCs w:val="20"/>
                <w:color w:val="auto"/>
              </w:rPr>
            </w:pPr>
            <w:r>
              <w:rPr>
                <w:rFonts w:ascii="Arial" w:cs="Arial" w:eastAsia="Arial" w:hAnsi="Arial"/>
                <w:sz w:val="13"/>
                <w:szCs w:val="13"/>
                <w:color w:val="auto"/>
              </w:rPr>
              <w:t>6</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2"/>
          <w:szCs w:val="12"/>
          <w:i w:val="1"/>
          <w:iCs w:val="1"/>
          <w:color w:val="231F20"/>
        </w:rPr>
        <w:t>Quantitative and</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Qualitative Disclosures about Market Risk -Commodity Price Risk, </w:t>
      </w:r>
      <w:r>
        <w:rPr>
          <w:rFonts w:ascii="Arial" w:cs="Arial" w:eastAsia="Arial" w:hAnsi="Arial"/>
          <w:sz w:val="12"/>
          <w:szCs w:val="12"/>
          <w:color w:val="231F20"/>
        </w:rPr>
        <w:t>NRG, on behalf of the</w:t>
      </w:r>
      <w:r>
        <w:rPr>
          <w:rFonts w:ascii="Arial" w:cs="Arial" w:eastAsia="Arial" w:hAnsi="Arial"/>
          <w:sz w:val="12"/>
          <w:szCs w:val="12"/>
          <w:i w:val="1"/>
          <w:iCs w:val="1"/>
          <w:color w:val="231F20"/>
        </w:rPr>
        <w:t xml:space="preserve"> </w:t>
      </w:r>
      <w:r>
        <w:rPr>
          <w:rFonts w:ascii="Arial" w:cs="Arial" w:eastAsia="Arial" w:hAnsi="Arial"/>
          <w:sz w:val="12"/>
          <w:szCs w:val="12"/>
          <w:color w:val="000000"/>
        </w:rPr>
        <w:t>Company, measures the sensitivity of the portfolio to potential changes in market prices using VaR, a statistical model which</w:t>
      </w:r>
      <w:r>
        <w:rPr>
          <w:rFonts w:ascii="Arial" w:cs="Arial" w:eastAsia="Arial" w:hAnsi="Arial"/>
          <w:sz w:val="12"/>
          <w:szCs w:val="12"/>
          <w:i w:val="1"/>
          <w:iCs w:val="1"/>
          <w:color w:val="231F20"/>
        </w:rPr>
        <w:t xml:space="preserve"> </w:t>
      </w:r>
      <w:r>
        <w:rPr>
          <w:rFonts w:ascii="Arial" w:cs="Arial" w:eastAsia="Arial" w:hAnsi="Arial"/>
          <w:sz w:val="12"/>
          <w:szCs w:val="12"/>
          <w:color w:val="000000"/>
        </w:rPr>
        <w:t>attempts to predict risk of loss based on market price and volatility. NRG's risk management policy places a limit on one-day holding period VaR, which limits the net open position.</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27" w:lineRule="exact"/>
        <w:rPr>
          <w:sz w:val="20"/>
          <w:szCs w:val="20"/>
          <w:color w:val="auto"/>
        </w:rPr>
      </w:pPr>
    </w:p>
    <w:p>
      <w:pPr>
        <w:jc w:val="both"/>
        <w:ind w:right="20" w:firstLine="311"/>
        <w:spacing w:after="0" w:line="308" w:lineRule="auto"/>
        <w:rPr>
          <w:sz w:val="20"/>
          <w:szCs w:val="20"/>
          <w:color w:val="auto"/>
        </w:rPr>
      </w:pPr>
      <w:r>
        <w:rPr>
          <w:rFonts w:ascii="Arial" w:cs="Arial" w:eastAsia="Arial" w:hAnsi="Arial"/>
          <w:sz w:val="11"/>
          <w:szCs w:val="11"/>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75"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7" w:lineRule="exact"/>
        <w:rPr>
          <w:sz w:val="20"/>
          <w:szCs w:val="20"/>
          <w:color w:val="auto"/>
        </w:rPr>
      </w:pPr>
    </w:p>
    <w:p>
      <w:pPr>
        <w:jc w:val="both"/>
        <w:ind w:right="20" w:firstLine="311"/>
        <w:spacing w:after="0" w:line="329" w:lineRule="auto"/>
        <w:rPr>
          <w:sz w:val="20"/>
          <w:szCs w:val="20"/>
          <w:color w:val="auto"/>
        </w:rPr>
      </w:pPr>
      <w:r>
        <w:rPr>
          <w:rFonts w:ascii="Arial" w:cs="Arial" w:eastAsia="Arial" w:hAnsi="Arial"/>
          <w:sz w:val="11"/>
          <w:szCs w:val="11"/>
          <w:color w:val="auto"/>
        </w:rPr>
        <w:t xml:space="preserve">The Company's significant accounting policies are summarized in Item 15 —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00" w:type="dxa"/>
            <w:vAlign w:val="bottom"/>
            <w:gridSpan w:val="2"/>
          </w:tcPr>
          <w:p>
            <w:pPr>
              <w:spacing w:after="0"/>
              <w:rPr>
                <w:sz w:val="20"/>
                <w:szCs w:val="20"/>
                <w:color w:val="auto"/>
              </w:rPr>
            </w:pPr>
            <w:r>
              <w:rPr>
                <w:rFonts w:ascii="Arial" w:cs="Arial" w:eastAsia="Arial" w:hAnsi="Arial"/>
                <w:sz w:val="10"/>
                <w:szCs w:val="10"/>
                <w:b w:val="1"/>
                <w:bCs w:val="1"/>
                <w:color w:val="auto"/>
              </w:rPr>
              <w:t>Accounting Policy</w:t>
            </w:r>
          </w:p>
        </w:tc>
        <w:tc>
          <w:tcPr>
            <w:tcW w:w="2360" w:type="dxa"/>
            <w:vAlign w:val="bottom"/>
          </w:tcPr>
          <w:p>
            <w:pPr>
              <w:spacing w:after="0"/>
              <w:rPr>
                <w:sz w:val="10"/>
                <w:szCs w:val="10"/>
                <w:color w:val="auto"/>
              </w:rPr>
            </w:pPr>
          </w:p>
        </w:tc>
        <w:tc>
          <w:tcPr>
            <w:tcW w:w="5400" w:type="dxa"/>
            <w:vAlign w:val="bottom"/>
          </w:tcPr>
          <w:p>
            <w:pPr>
              <w:ind w:left="20"/>
              <w:spacing w:after="0"/>
              <w:rPr>
                <w:sz w:val="20"/>
                <w:szCs w:val="20"/>
                <w:color w:val="auto"/>
              </w:rPr>
            </w:pPr>
            <w:r>
              <w:rPr>
                <w:rFonts w:ascii="Arial" w:cs="Arial" w:eastAsia="Arial" w:hAnsi="Arial"/>
                <w:sz w:val="10"/>
                <w:szCs w:val="10"/>
                <w:b w:val="1"/>
                <w:bCs w:val="1"/>
                <w:color w:val="auto"/>
              </w:rPr>
              <w:t>Judgments/Uncertainties Affecting Application</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269"/>
        </w:trPr>
        <w:tc>
          <w:tcPr>
            <w:tcW w:w="3700" w:type="dxa"/>
            <w:vAlign w:val="bottom"/>
            <w:gridSpan w:val="2"/>
          </w:tcPr>
          <w:p>
            <w:pPr>
              <w:spacing w:after="0"/>
              <w:rPr>
                <w:sz w:val="20"/>
                <w:szCs w:val="20"/>
                <w:color w:val="auto"/>
              </w:rPr>
            </w:pPr>
            <w:r>
              <w:rPr>
                <w:rFonts w:ascii="Arial" w:cs="Arial" w:eastAsia="Arial" w:hAnsi="Arial"/>
                <w:sz w:val="13"/>
                <w:szCs w:val="13"/>
                <w:color w:val="auto"/>
              </w:rPr>
              <w:t>Impairment of Long Lived Assets</w:t>
            </w:r>
          </w:p>
        </w:tc>
        <w:tc>
          <w:tcPr>
            <w:tcW w:w="236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Recoverability of investments through future operations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Regulatory and political environments and requirements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Estimated useful lives of assets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Operational limitations and environmental obligations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Estimates of future cash flows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Estimates of fair value</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Judgment about triggering events</w:t>
            </w:r>
          </w:p>
        </w:tc>
      </w:tr>
      <w:tr>
        <w:trPr>
          <w:trHeight w:val="194"/>
        </w:trPr>
        <w:tc>
          <w:tcPr>
            <w:tcW w:w="3700" w:type="dxa"/>
            <w:vAlign w:val="bottom"/>
            <w:gridSpan w:val="2"/>
          </w:tcPr>
          <w:p>
            <w:pPr>
              <w:spacing w:after="0"/>
              <w:rPr>
                <w:sz w:val="20"/>
                <w:szCs w:val="20"/>
                <w:color w:val="auto"/>
              </w:rPr>
            </w:pPr>
            <w:r>
              <w:rPr>
                <w:rFonts w:ascii="Arial" w:cs="Arial" w:eastAsia="Arial" w:hAnsi="Arial"/>
                <w:sz w:val="13"/>
                <w:szCs w:val="13"/>
                <w:color w:val="auto"/>
              </w:rPr>
              <w:t>Acquisition Accounting</w:t>
            </w: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Identification of intangible assets acquired</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Inputs for fair value of assets and liabilities acquired</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Application of various methodologies</w:t>
            </w:r>
          </w:p>
        </w:tc>
      </w:tr>
      <w:tr>
        <w:trPr>
          <w:trHeight w:val="466"/>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60" w:type="dxa"/>
            <w:vAlign w:val="bottom"/>
          </w:tcPr>
          <w:p>
            <w:pPr>
              <w:jc w:val="right"/>
              <w:ind w:right="215"/>
              <w:spacing w:after="0"/>
              <w:rPr>
                <w:sz w:val="20"/>
                <w:szCs w:val="20"/>
                <w:color w:val="auto"/>
              </w:rPr>
            </w:pPr>
            <w:r>
              <w:rPr>
                <w:rFonts w:ascii="Arial" w:cs="Arial" w:eastAsia="Arial" w:hAnsi="Arial"/>
                <w:sz w:val="13"/>
                <w:szCs w:val="13"/>
                <w:color w:val="auto"/>
              </w:rPr>
              <w:t>56</w:t>
            </w:r>
          </w:p>
        </w:tc>
        <w:tc>
          <w:tcPr>
            <w:tcW w:w="5400" w:type="dxa"/>
            <w:vAlign w:val="bottom"/>
          </w:tcPr>
          <w:p>
            <w:pPr>
              <w:spacing w:after="0"/>
              <w:rPr>
                <w:sz w:val="24"/>
                <w:szCs w:val="24"/>
                <w:color w:val="auto"/>
              </w:rPr>
            </w:pPr>
          </w:p>
        </w:tc>
      </w:tr>
    </w:tbl>
    <w:p>
      <w:pPr>
        <w:sectPr>
          <w:pgSz w:w="11900" w:h="16838" w:orient="portrait"/>
          <w:cols w:equalWidth="0" w:num="1">
            <w:col w:w="11480"/>
          </w:cols>
          <w:pgMar w:left="220" w:top="871" w:right="199" w:bottom="1440" w:gutter="0" w:footer="0" w:header="0"/>
        </w:sectPr>
      </w:pPr>
    </w:p>
    <w:bookmarkStart w:id="56" w:name="page57"/>
    <w:bookmarkEnd w:id="56"/>
    <w:p>
      <w:pPr>
        <w:ind w:left="300"/>
        <w:spacing w:after="0"/>
        <w:rPr>
          <w:sz w:val="20"/>
          <w:szCs w:val="20"/>
          <w:color w:val="auto"/>
        </w:rPr>
      </w:pPr>
      <w:r>
        <w:rPr>
          <w:rFonts w:ascii="Arial" w:cs="Arial" w:eastAsia="Arial" w:hAnsi="Arial"/>
          <w:sz w:val="13"/>
          <w:szCs w:val="13"/>
          <w:b w:val="1"/>
          <w:bCs w:val="1"/>
          <w:i w:val="1"/>
          <w:iCs w:val="1"/>
          <w:color w:val="auto"/>
        </w:rPr>
        <w:t>Evaluation of Assets for Impairment and Other-Than-Temporary Decline in Value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 xml:space="preserve">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or ASC 360, property, plant and equipment and certain intangible assets are evaluated for impairment whenever indicators of impairment exist.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Examples of such indicators or events are:</w:t>
      </w:r>
    </w:p>
    <w:p>
      <w:pPr>
        <w:spacing w:after="0" w:line="37" w:lineRule="exact"/>
        <w:rPr>
          <w:sz w:val="20"/>
          <w:szCs w:val="20"/>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Significant decrease in the market price of a long-lived asset;</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Significant adverse change in the manner an asset is being used or its physical condition;</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Adverse business climate;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Accumulation of costs significantly in excess of the amount originally expected for the construction or acquisition of an asset;</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Current-period loss combined with a history of losses or the projection of future losses;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 in the Company's intent about an asset from an intent to hold to a greater than 50% likelihood that an asset will be sold or disposed of before the end of its previously estimated useful life.</w:t>
      </w:r>
    </w:p>
    <w:p>
      <w:pPr>
        <w:spacing w:after="0" w:line="134" w:lineRule="exact"/>
        <w:rPr>
          <w:sz w:val="20"/>
          <w:szCs w:val="20"/>
          <w:color w:val="auto"/>
        </w:rPr>
      </w:pPr>
    </w:p>
    <w:p>
      <w:pPr>
        <w:jc w:val="both"/>
        <w:ind w:right="20" w:firstLine="311"/>
        <w:spacing w:after="0" w:line="279" w:lineRule="auto"/>
        <w:rPr>
          <w:sz w:val="20"/>
          <w:szCs w:val="20"/>
          <w:color w:val="auto"/>
        </w:rPr>
      </w:pPr>
      <w:r>
        <w:rPr>
          <w:rFonts w:ascii="Arial" w:cs="Arial" w:eastAsia="Arial" w:hAnsi="Arial"/>
          <w:sz w:val="12"/>
          <w:szCs w:val="12"/>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87"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1"/>
          <w:szCs w:val="11"/>
          <w:color w:val="auto"/>
        </w:rPr>
        <w:t xml:space="preserve">The Company recorded certain long-lived asset impairments in 2017 and 2016, as described in Item 15 —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to the Consolidated Financial Statements, with respect to several wind projects.</w:t>
      </w:r>
    </w:p>
    <w:p>
      <w:pPr>
        <w:spacing w:after="0" w:line="146"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color w:val="auto"/>
        </w:rPr>
        <w:t>During the fourth quarter of 2017, as the Company updated its estimated cash flows in connection with the preparation and review of the Company's annual budget, the Company determined that the cash flows for the Elbow Creek and Forward facilities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25"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3"/>
          <w:szCs w:val="13"/>
          <w:color w:val="auto"/>
        </w:rPr>
        <w:t xml:space="preserve">The Company is also required to evaluate its equity method investments to determine whether or not they are impaired. ASC 323, </w:t>
      </w:r>
      <w:r>
        <w:rPr>
          <w:rFonts w:ascii="Arial" w:cs="Arial" w:eastAsia="Arial" w:hAnsi="Arial"/>
          <w:sz w:val="13"/>
          <w:szCs w:val="13"/>
          <w:i w:val="1"/>
          <w:iCs w:val="1"/>
          <w:color w:val="auto"/>
        </w:rPr>
        <w:t>Investments - Equity Method and Joint Ventures</w:t>
      </w:r>
      <w:r>
        <w:rPr>
          <w:rFonts w:ascii="Arial" w:cs="Arial" w:eastAsia="Arial" w:hAnsi="Arial"/>
          <w:sz w:val="13"/>
          <w:szCs w:val="13"/>
          <w:color w:val="auto"/>
        </w:rPr>
        <w:t>, or ASC 323, provides the accounting requirements for these investments. The standard for determining whether an 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04" w:lineRule="exact"/>
        <w:rPr>
          <w:sz w:val="20"/>
          <w:szCs w:val="20"/>
          <w:color w:val="auto"/>
        </w:rPr>
      </w:pPr>
    </w:p>
    <w:p>
      <w:pPr>
        <w:jc w:val="both"/>
        <w:ind w:right="20" w:firstLine="350"/>
        <w:spacing w:after="0" w:line="260" w:lineRule="auto"/>
        <w:rPr>
          <w:sz w:val="20"/>
          <w:szCs w:val="20"/>
          <w:color w:val="auto"/>
        </w:rPr>
      </w:pPr>
      <w:r>
        <w:rPr>
          <w:rFonts w:ascii="Arial" w:cs="Arial" w:eastAsia="Arial" w:hAnsi="Arial"/>
          <w:sz w:val="13"/>
          <w:szCs w:val="13"/>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80"/>
          </w:cols>
          <w:pgMar w:left="220" w:top="714" w:right="199" w:bottom="1440" w:gutter="0" w:footer="0" w:header="0"/>
        </w:sectPr>
      </w:pPr>
    </w:p>
    <w:bookmarkStart w:id="57" w:name="page58"/>
    <w:bookmarkEnd w:id="57"/>
    <w:p>
      <w:pPr>
        <w:ind w:left="260"/>
        <w:spacing w:after="0"/>
        <w:rPr>
          <w:sz w:val="20"/>
          <w:szCs w:val="20"/>
          <w:color w:val="auto"/>
        </w:rPr>
      </w:pPr>
      <w:r>
        <w:rPr>
          <w:rFonts w:ascii="Arial" w:cs="Arial" w:eastAsia="Arial" w:hAnsi="Arial"/>
          <w:sz w:val="13"/>
          <w:szCs w:val="13"/>
          <w:b w:val="1"/>
          <w:bCs w:val="1"/>
          <w:i w:val="1"/>
          <w:iCs w:val="1"/>
          <w:color w:val="auto"/>
        </w:rPr>
        <w:t>Acquisition Accounting</w:t>
      </w:r>
    </w:p>
    <w:p>
      <w:pPr>
        <w:spacing w:after="0" w:line="123" w:lineRule="exact"/>
        <w:rPr>
          <w:sz w:val="20"/>
          <w:szCs w:val="20"/>
          <w:color w:val="auto"/>
        </w:rPr>
      </w:pPr>
    </w:p>
    <w:p>
      <w:pPr>
        <w:jc w:val="both"/>
        <w:ind w:firstLine="252"/>
        <w:spacing w:after="0" w:line="256" w:lineRule="auto"/>
        <w:rPr>
          <w:sz w:val="20"/>
          <w:szCs w:val="20"/>
          <w:color w:val="auto"/>
        </w:rPr>
      </w:pPr>
      <w:r>
        <w:rPr>
          <w:rFonts w:ascii="Arial" w:cs="Arial" w:eastAsia="Arial" w:hAnsi="Arial"/>
          <w:sz w:val="13"/>
          <w:szCs w:val="13"/>
          <w:color w:val="auto"/>
        </w:rPr>
        <w:t xml:space="preserve">The Company applies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Arial" w:cs="Arial" w:eastAsia="Arial" w:hAnsi="Arial"/>
          <w:sz w:val="13"/>
          <w:szCs w:val="13"/>
          <w:color w:val="231F20"/>
        </w:rPr>
        <w:t>Consideration is measured based on fair value of the assets transferred to the seller.</w:t>
      </w:r>
    </w:p>
    <w:p>
      <w:pPr>
        <w:spacing w:after="0" w:line="100"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3"/>
          <w:szCs w:val="13"/>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Arial" w:cs="Arial" w:eastAsia="Arial" w:hAnsi="Arial"/>
          <w:sz w:val="13"/>
          <w:szCs w:val="13"/>
          <w:color w:val="000000"/>
        </w:rPr>
        <w:t>forecasted cash flows that incorporate the specific attributes of each asset including age, useful life,</w:t>
      </w:r>
      <w:r>
        <w:rPr>
          <w:rFonts w:ascii="Arial" w:cs="Arial" w:eastAsia="Arial" w:hAnsi="Arial"/>
          <w:sz w:val="13"/>
          <w:szCs w:val="13"/>
          <w:color w:val="231F20"/>
        </w:rPr>
        <w:t xml:space="preserve"> </w:t>
      </w:r>
      <w:r>
        <w:rPr>
          <w:rFonts w:ascii="Arial" w:cs="Arial" w:eastAsia="Arial" w:hAnsi="Arial"/>
          <w:sz w:val="13"/>
          <w:szCs w:val="13"/>
          <w:color w:val="000000"/>
        </w:rPr>
        <w:t xml:space="preserve">equipment condition and technology, as well as current replacement costs for similar assets. Other key inputs that require judgment include discount rates, </w:t>
      </w:r>
      <w:r>
        <w:rPr>
          <w:rFonts w:ascii="Arial" w:cs="Arial" w:eastAsia="Arial" w:hAnsi="Arial"/>
          <w:sz w:val="13"/>
          <w:szCs w:val="13"/>
          <w:color w:val="231F20"/>
        </w:rPr>
        <w:t>comparable market transactions, estimated useful lives and</w:t>
      </w:r>
      <w:r>
        <w:rPr>
          <w:rFonts w:ascii="Arial" w:cs="Arial" w:eastAsia="Arial" w:hAnsi="Arial"/>
          <w:sz w:val="13"/>
          <w:szCs w:val="13"/>
          <w:color w:val="000000"/>
        </w:rPr>
        <w:t xml:space="preserve"> </w:t>
      </w:r>
      <w:r>
        <w:rPr>
          <w:rFonts w:ascii="Arial" w:cs="Arial" w:eastAsia="Arial" w:hAnsi="Arial"/>
          <w:sz w:val="13"/>
          <w:szCs w:val="13"/>
          <w:color w:val="231F20"/>
        </w:rPr>
        <w:t>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04"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color w:val="231F20"/>
        </w:rPr>
        <w:t xml:space="preserve">The Company must apply ASC 805-50, </w:t>
      </w:r>
      <w:r>
        <w:rPr>
          <w:rFonts w:ascii="Arial" w:cs="Arial" w:eastAsia="Arial" w:hAnsi="Arial"/>
          <w:sz w:val="13"/>
          <w:szCs w:val="13"/>
          <w:i w:val="1"/>
          <w:iCs w:val="1"/>
          <w:color w:val="231F20"/>
        </w:rPr>
        <w:t>Business Combinations - Related Issues,</w:t>
      </w:r>
      <w:r>
        <w:rPr>
          <w:rFonts w:ascii="Arial" w:cs="Arial" w:eastAsia="Arial" w:hAnsi="Arial"/>
          <w:sz w:val="13"/>
          <w:szCs w:val="13"/>
          <w:color w:val="231F20"/>
        </w:rPr>
        <w:t xml:space="preserve"> when it acquires an interest from NRG. The assets and liabilities transferred to the Company related to interests under common control by NRG must be recorded at historical cost, with the difference between the amount paid and the historical value of the related equity recorded as a distribution to or contribution from NRG with the offset to noncontrolling interest. Economics may change in the years subsequent to NRG’s construction or acquisition of certain assets, and although the Company may acquire these assets from NRG based on a different valuation, the Company must record the assets at historical cost. These changes in economics may impact the amount that the Company pays for the assets but will not alter the carrying amount. Accordingly, significant changes in the economics related to these assets may trigger a requirement for impairment testing.</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Recent Accounting Developments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See Item 15 —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Consolidated Financial Statements for a discussion of recent accounting developments.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460"/>
          </w:cols>
          <w:pgMar w:left="220" w:top="714" w:right="2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auto"/>
        </w:rPr>
        <w:t>Item 7A — Quantitative and Qualitative Disclosures About Market Risk</w:t>
      </w:r>
    </w:p>
    <w:p>
      <w:pPr>
        <w:spacing w:after="0" w:line="127" w:lineRule="exact"/>
        <w:rPr>
          <w:sz w:val="20"/>
          <w:szCs w:val="20"/>
          <w:color w:val="auto"/>
        </w:rPr>
      </w:pPr>
    </w:p>
    <w:p>
      <w:pPr>
        <w:ind w:right="280" w:firstLine="291"/>
        <w:spacing w:after="0" w:line="314" w:lineRule="auto"/>
        <w:rPr>
          <w:sz w:val="20"/>
          <w:szCs w:val="20"/>
          <w:color w:val="auto"/>
        </w:rPr>
      </w:pPr>
      <w:r>
        <w:rPr>
          <w:rFonts w:ascii="Arial" w:cs="Arial" w:eastAsia="Arial" w:hAnsi="Arial"/>
          <w:sz w:val="12"/>
          <w:szCs w:val="12"/>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Commodity Price Risk</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3"/>
          <w:szCs w:val="13"/>
          <w:color w:val="000000"/>
        </w:rPr>
        <w:t>Note 7</w:t>
      </w:r>
      <w:r>
        <w:rPr>
          <w:rFonts w:ascii="Arial" w:cs="Arial" w:eastAsia="Arial" w:hAnsi="Arial"/>
          <w:sz w:val="13"/>
          <w:szCs w:val="13"/>
          <w:color w:val="231F20"/>
        </w:rPr>
        <w:t xml:space="preserve">, </w:t>
      </w:r>
      <w:r>
        <w:rPr>
          <w:rFonts w:ascii="Arial" w:cs="Arial" w:eastAsia="Arial" w:hAnsi="Arial"/>
          <w:sz w:val="13"/>
          <w:szCs w:val="13"/>
          <w:i w:val="1"/>
          <w:iCs w:val="1"/>
          <w:color w:val="000000"/>
        </w:rPr>
        <w:t>Accounting for Derivative Instruments and</w:t>
      </w:r>
      <w:r>
        <w:rPr>
          <w:rFonts w:ascii="Arial" w:cs="Arial" w:eastAsia="Arial" w:hAnsi="Arial"/>
          <w:sz w:val="13"/>
          <w:szCs w:val="13"/>
          <w:color w:val="231F20"/>
        </w:rPr>
        <w:t xml:space="preserve"> </w:t>
      </w:r>
      <w:r>
        <w:rPr>
          <w:rFonts w:ascii="Arial" w:cs="Arial" w:eastAsia="Arial" w:hAnsi="Arial"/>
          <w:sz w:val="13"/>
          <w:szCs w:val="13"/>
          <w:i w:val="1"/>
          <w:iCs w:val="1"/>
          <w:color w:val="000000"/>
        </w:rPr>
        <w:t>Hedging Activities</w:t>
      </w:r>
      <w:r>
        <w:rPr>
          <w:rFonts w:ascii="Arial" w:cs="Arial" w:eastAsia="Arial" w:hAnsi="Arial"/>
          <w:sz w:val="13"/>
          <w:szCs w:val="13"/>
          <w:color w:val="231F20"/>
        </w:rPr>
        <w:t>, to the Consolidated Financial Statements for more information.</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3"/>
          <w:szCs w:val="13"/>
          <w:color w:val="000000"/>
        </w:rPr>
        <w:t>$1 million</w:t>
      </w:r>
      <w:r>
        <w:rPr>
          <w:rFonts w:ascii="Arial" w:cs="Arial" w:eastAsia="Arial" w:hAnsi="Arial"/>
          <w:sz w:val="13"/>
          <w:szCs w:val="13"/>
          <w:color w:val="231F20"/>
        </w:rPr>
        <w:t xml:space="preserve"> in the net value of derivatives as of </w:t>
      </w:r>
      <w:r>
        <w:rPr>
          <w:rFonts w:ascii="Arial" w:cs="Arial" w:eastAsia="Arial" w:hAnsi="Arial"/>
          <w:sz w:val="13"/>
          <w:szCs w:val="13"/>
          <w:color w:val="000000"/>
        </w:rPr>
        <w:t>December 31, 2017</w:t>
      </w:r>
      <w:r>
        <w:rPr>
          <w:rFonts w:ascii="Arial" w:cs="Arial" w:eastAsia="Arial" w:hAnsi="Arial"/>
          <w:sz w:val="13"/>
          <w:szCs w:val="13"/>
          <w:color w:val="231F20"/>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Interest Rate Risk</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15 — </w:t>
      </w:r>
      <w:r>
        <w:rPr>
          <w:rFonts w:ascii="Arial" w:cs="Arial" w:eastAsia="Arial" w:hAnsi="Arial"/>
          <w:sz w:val="13"/>
          <w:szCs w:val="13"/>
          <w:color w:val="000000"/>
        </w:rPr>
        <w:t>Note 7</w:t>
      </w:r>
      <w:r>
        <w:rPr>
          <w:rFonts w:ascii="Arial" w:cs="Arial" w:eastAsia="Arial" w:hAnsi="Arial"/>
          <w:sz w:val="13"/>
          <w:szCs w:val="13"/>
          <w:color w:val="231F20"/>
        </w:rPr>
        <w:t xml:space="preserve">, </w:t>
      </w:r>
      <w:r>
        <w:rPr>
          <w:rFonts w:ascii="Arial" w:cs="Arial" w:eastAsia="Arial" w:hAnsi="Arial"/>
          <w:sz w:val="13"/>
          <w:szCs w:val="13"/>
          <w:i w:val="1"/>
          <w:iCs w:val="1"/>
          <w:color w:val="000000"/>
        </w:rPr>
        <w:t>Accounting for Derivative</w:t>
      </w:r>
      <w:r>
        <w:rPr>
          <w:rFonts w:ascii="Arial" w:cs="Arial" w:eastAsia="Arial" w:hAnsi="Arial"/>
          <w:sz w:val="13"/>
          <w:szCs w:val="13"/>
          <w:color w:val="231F20"/>
        </w:rPr>
        <w:t xml:space="preserve"> </w:t>
      </w:r>
      <w:r>
        <w:rPr>
          <w:rFonts w:ascii="Arial" w:cs="Arial" w:eastAsia="Arial" w:hAnsi="Arial"/>
          <w:sz w:val="13"/>
          <w:szCs w:val="13"/>
          <w:i w:val="1"/>
          <w:iCs w:val="1"/>
          <w:color w:val="000000"/>
        </w:rPr>
        <w:t>Instruments and Hedging Activities</w:t>
      </w:r>
      <w:r>
        <w:rPr>
          <w:rFonts w:ascii="Arial" w:cs="Arial" w:eastAsia="Arial" w:hAnsi="Arial"/>
          <w:sz w:val="13"/>
          <w:szCs w:val="13"/>
          <w:color w:val="231F20"/>
        </w:rPr>
        <w:t>, to the Consolidated Financial Statements for more information.</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3"/>
          <w:szCs w:val="13"/>
          <w:color w:val="000000"/>
        </w:rPr>
        <w:t>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to the Consolidated Financial Statements for more information about interest rate swaps of the Company's project subsidiaries.</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If all of the above swaps had been discontinued on </w:t>
      </w:r>
      <w:r>
        <w:rPr>
          <w:rFonts w:ascii="Arial" w:cs="Arial" w:eastAsia="Arial" w:hAnsi="Arial"/>
          <w:sz w:val="13"/>
          <w:szCs w:val="13"/>
          <w:color w:val="000000"/>
        </w:rPr>
        <w:t>December 31, 2017</w:t>
      </w:r>
      <w:r>
        <w:rPr>
          <w:rFonts w:ascii="Arial" w:cs="Arial" w:eastAsia="Arial" w:hAnsi="Arial"/>
          <w:sz w:val="13"/>
          <w:szCs w:val="13"/>
          <w:color w:val="231F20"/>
        </w:rPr>
        <w:t>, the Company would have owed the counterparties $50 million. Based on the credit ratings of the counterparties, the Company believes its exposure to credit risk due to nonperformance by counterparties to its hedge contracts to be insignificant.</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The Company has long-term debt instruments that subject it to the risk of loss associated with movements in market interest rates. As of </w:t>
      </w:r>
      <w:r>
        <w:rPr>
          <w:rFonts w:ascii="Arial" w:cs="Arial" w:eastAsia="Arial" w:hAnsi="Arial"/>
          <w:sz w:val="13"/>
          <w:szCs w:val="13"/>
          <w:color w:val="000000"/>
        </w:rPr>
        <w:t>December 31, 2017</w:t>
      </w:r>
      <w:r>
        <w:rPr>
          <w:rFonts w:ascii="Arial" w:cs="Arial" w:eastAsia="Arial" w:hAnsi="Arial"/>
          <w:sz w:val="13"/>
          <w:szCs w:val="13"/>
          <w:color w:val="231F20"/>
        </w:rPr>
        <w:t>, a 1% change in interest rates would result in an approximately $3 million change in market interest expense on a rolling twelve month basis.</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As of </w:t>
      </w:r>
      <w:r>
        <w:rPr>
          <w:rFonts w:ascii="Arial" w:cs="Arial" w:eastAsia="Arial" w:hAnsi="Arial"/>
          <w:sz w:val="13"/>
          <w:szCs w:val="13"/>
          <w:color w:val="000000"/>
        </w:rPr>
        <w:t>December 31, 2017</w:t>
      </w:r>
      <w:r>
        <w:rPr>
          <w:rFonts w:ascii="Arial" w:cs="Arial" w:eastAsia="Arial" w:hAnsi="Arial"/>
          <w:sz w:val="13"/>
          <w:szCs w:val="13"/>
          <w:color w:val="231F20"/>
        </w:rPr>
        <w:t>, the fair value of the Company's debt was $5,915 million and the carrying value was $5,899 million. The Company estimates that a 1% decrease in market interest rates would have increased the fair value of its long-term debt by $306 million.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Liquidity Risk</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231F20"/>
        </w:rPr>
        <w:t>Liquidity risk arises from the general funding needs of the Company's activities and in the management of the Company's assets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Counterparty Credit Risk</w:t>
      </w:r>
    </w:p>
    <w:p>
      <w:pPr>
        <w:spacing w:after="0" w:line="123" w:lineRule="exact"/>
        <w:rPr>
          <w:sz w:val="20"/>
          <w:szCs w:val="20"/>
          <w:color w:val="auto"/>
        </w:rPr>
      </w:pPr>
    </w:p>
    <w:p>
      <w:pPr>
        <w:jc w:val="both"/>
        <w:ind w:right="20" w:firstLine="291"/>
        <w:spacing w:after="0" w:line="285" w:lineRule="auto"/>
        <w:rPr>
          <w:sz w:val="20"/>
          <w:szCs w:val="20"/>
          <w:color w:val="auto"/>
        </w:rPr>
      </w:pPr>
      <w:r>
        <w:rPr>
          <w:rFonts w:ascii="Arial" w:cs="Arial" w:eastAsia="Arial" w:hAnsi="Arial"/>
          <w:sz w:val="12"/>
          <w:szCs w:val="12"/>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2"/>
          <w:szCs w:val="12"/>
          <w:color w:val="000000"/>
        </w:rPr>
        <w:t>Note 1</w:t>
      </w:r>
      <w:r>
        <w:rPr>
          <w:rFonts w:ascii="Arial" w:cs="Arial" w:eastAsia="Arial" w:hAnsi="Arial"/>
          <w:sz w:val="12"/>
          <w:szCs w:val="12"/>
          <w:color w:val="231F20"/>
        </w:rPr>
        <w:t xml:space="preserve">, </w:t>
      </w:r>
      <w:r>
        <w:rPr>
          <w:rFonts w:ascii="Arial" w:cs="Arial" w:eastAsia="Arial" w:hAnsi="Arial"/>
          <w:sz w:val="12"/>
          <w:szCs w:val="12"/>
          <w:i w:val="1"/>
          <w:iCs w:val="1"/>
          <w:color w:val="000000"/>
        </w:rPr>
        <w:t>Nature of</w:t>
      </w:r>
      <w:r>
        <w:rPr>
          <w:rFonts w:ascii="Arial" w:cs="Arial" w:eastAsia="Arial" w:hAnsi="Arial"/>
          <w:sz w:val="12"/>
          <w:szCs w:val="12"/>
          <w:color w:val="231F20"/>
        </w:rPr>
        <w:t xml:space="preserve"> </w:t>
      </w:r>
      <w:r>
        <w:rPr>
          <w:rFonts w:ascii="Arial" w:cs="Arial" w:eastAsia="Arial" w:hAnsi="Arial"/>
          <w:sz w:val="12"/>
          <w:szCs w:val="12"/>
          <w:i w:val="1"/>
          <w:iCs w:val="1"/>
          <w:color w:val="000000"/>
        </w:rPr>
        <w:t>Business</w:t>
      </w:r>
      <w:r>
        <w:rPr>
          <w:rFonts w:ascii="Arial" w:cs="Arial" w:eastAsia="Arial" w:hAnsi="Arial"/>
          <w:sz w:val="12"/>
          <w:szCs w:val="12"/>
          <w:color w:val="231F20"/>
        </w:rPr>
        <w:t>, and</w:t>
      </w:r>
      <w:r>
        <w:rPr>
          <w:rFonts w:ascii="Arial" w:cs="Arial" w:eastAsia="Arial" w:hAnsi="Arial"/>
          <w:sz w:val="12"/>
          <w:szCs w:val="12"/>
          <w:i w:val="1"/>
          <w:iCs w:val="1"/>
          <w:color w:val="000000"/>
        </w:rPr>
        <w:t xml:space="preserve"> </w:t>
      </w:r>
      <w:r>
        <w:rPr>
          <w:rFonts w:ascii="Arial" w:cs="Arial" w:eastAsia="Arial" w:hAnsi="Arial"/>
          <w:sz w:val="12"/>
          <w:szCs w:val="12"/>
          <w:color w:val="000000"/>
        </w:rPr>
        <w:t>Note 6</w:t>
      </w:r>
      <w:r>
        <w:rPr>
          <w:rFonts w:ascii="Arial" w:cs="Arial" w:eastAsia="Arial" w:hAnsi="Arial"/>
          <w:sz w:val="12"/>
          <w:szCs w:val="12"/>
          <w:color w:val="231F20"/>
        </w:rPr>
        <w:t>,</w:t>
      </w:r>
      <w:r>
        <w:rPr>
          <w:rFonts w:ascii="Arial" w:cs="Arial" w:eastAsia="Arial" w:hAnsi="Arial"/>
          <w:sz w:val="12"/>
          <w:szCs w:val="12"/>
          <w:i w:val="1"/>
          <w:iCs w:val="1"/>
          <w:color w:val="000000"/>
        </w:rPr>
        <w:t xml:space="preserve"> Fair Value of Financial Instruments</w:t>
      </w:r>
      <w:r>
        <w:rPr>
          <w:rFonts w:ascii="Arial" w:cs="Arial" w:eastAsia="Arial" w:hAnsi="Arial"/>
          <w:sz w:val="12"/>
          <w:szCs w:val="12"/>
          <w:color w:val="231F20"/>
        </w:rPr>
        <w:t>, to the Consolidated Financial Statements for more information about concentration of credit risk.</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 Financial Statements and Supplementary Data</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financial statements and schedules are listed in Part IV, Item 15 of this Form 10-K.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480"/>
          </w:cols>
          <w:pgMar w:left="220" w:top="710" w:right="19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auto"/>
        </w:rPr>
        <w:t>Item 9 — Changes in and Disagreements with Accountants on Accounting and Financial Disclosure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 and Internal Control Over Financial Reporting</w:t>
      </w:r>
    </w:p>
    <w:p>
      <w:pPr>
        <w:spacing w:after="0" w:line="127" w:lineRule="exact"/>
        <w:rPr>
          <w:sz w:val="20"/>
          <w:szCs w:val="20"/>
          <w:color w:val="auto"/>
        </w:rPr>
      </w:pPr>
    </w:p>
    <w:p>
      <w:pPr>
        <w:jc w:val="both"/>
        <w:ind w:firstLine="291"/>
        <w:spacing w:after="0" w:line="329" w:lineRule="auto"/>
        <w:rPr>
          <w:sz w:val="20"/>
          <w:szCs w:val="20"/>
          <w:color w:val="auto"/>
        </w:rPr>
      </w:pPr>
      <w:r>
        <w:rPr>
          <w:rFonts w:ascii="Arial" w:cs="Arial" w:eastAsia="Arial" w:hAnsi="Arial"/>
          <w:sz w:val="11"/>
          <w:szCs w:val="11"/>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report on Form 10-K.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49"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There were no changes in the Company’s internal control over financial reporting (as such term is defined in Rule 13a-15(f) under the Exchange Act) that occurred in the fourth quarter of 2017 that materially affected, or are reasonably likely to materially affect, the Company’s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Inherent Limitations over Internal Controls</w:t>
      </w:r>
    </w:p>
    <w:p>
      <w:pPr>
        <w:spacing w:after="0" w:line="49"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51" w:lineRule="exact"/>
        <w:rPr>
          <w:sz w:val="20"/>
          <w:szCs w:val="20"/>
          <w:color w:val="auto"/>
        </w:rPr>
      </w:pPr>
    </w:p>
    <w:p>
      <w:pPr>
        <w:ind w:left="420" w:hanging="131"/>
        <w:spacing w:after="0"/>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Company's assets;</w:t>
      </w:r>
    </w:p>
    <w:p>
      <w:pPr>
        <w:spacing w:after="0" w:line="13" w:lineRule="exact"/>
        <w:rPr>
          <w:rFonts w:ascii="Arial" w:cs="Arial" w:eastAsia="Arial" w:hAnsi="Arial"/>
          <w:sz w:val="13"/>
          <w:szCs w:val="13"/>
          <w:color w:val="auto"/>
        </w:rPr>
      </w:pPr>
    </w:p>
    <w:p>
      <w:pPr>
        <w:ind w:firstLine="289"/>
        <w:spacing w:after="0" w:line="249" w:lineRule="auto"/>
        <w:tabs>
          <w:tab w:leader="none" w:pos="424"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ind w:firstLine="289"/>
        <w:spacing w:after="0" w:line="259" w:lineRule="auto"/>
        <w:tabs>
          <w:tab w:leader="none" w:pos="438"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consolidated financial statements.</w:t>
      </w:r>
    </w:p>
    <w:p>
      <w:pPr>
        <w:spacing w:after="0" w:line="58"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49" w:lineRule="exact"/>
        <w:rPr>
          <w:sz w:val="20"/>
          <w:szCs w:val="20"/>
          <w:color w:val="auto"/>
        </w:rPr>
      </w:pPr>
    </w:p>
    <w:p>
      <w:pPr>
        <w:jc w:val="both"/>
        <w:ind w:firstLine="291"/>
        <w:spacing w:after="0" w:line="318" w:lineRule="auto"/>
        <w:rPr>
          <w:sz w:val="20"/>
          <w:szCs w:val="20"/>
          <w:color w:val="auto"/>
        </w:rPr>
      </w:pPr>
      <w:r>
        <w:rPr>
          <w:rFonts w:ascii="Arial" w:cs="Arial" w:eastAsia="Arial" w:hAnsi="Arial"/>
          <w:sz w:val="11"/>
          <w:szCs w:val="11"/>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Based on the Company's evaluation under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the Company's management concluded that its internal control over financial reporting was effective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 Other Information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60"/>
          </w:cols>
          <w:pgMar w:left="220" w:top="709"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3"/>
          <w:szCs w:val="13"/>
          <w:b w:val="1"/>
          <w:bCs w:val="1"/>
          <w:color w:val="auto"/>
        </w:rPr>
        <w:t>PART III</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 Directors, Executive Officers and Corporate Governance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10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 Executive Compensation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11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 Security Ownership of Certain Beneficial Owners and Management and Related Stockholder Matters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Item 12 has been omitted from this report pursuant to the reduced disclosure format permitted by General Instruction I to Form 10-K.</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 Certain Relationships and Related Transactions, and Director Independence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13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 Principal Accounting Fees and Services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 and Nonaudit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 presents fees for professional services rendered by KPMG LLP, the Company's principal independent registered public accounting firm, for the years ended December 31, 2017 and December 31,</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2016.</w:t>
      </w:r>
    </w:p>
    <w:p>
      <w:pPr>
        <w:spacing w:after="0" w:line="266" w:lineRule="exact"/>
        <w:rPr>
          <w:sz w:val="20"/>
          <w:szCs w:val="20"/>
          <w:color w:val="auto"/>
        </w:rPr>
      </w:pPr>
    </w:p>
    <w:p>
      <w:pPr>
        <w:jc w:val="center"/>
        <w:ind w:left="4420"/>
        <w:spacing w:after="0"/>
        <w:rPr>
          <w:sz w:val="20"/>
          <w:szCs w:val="20"/>
          <w:color w:val="auto"/>
        </w:rPr>
      </w:pPr>
      <w:r>
        <w:rPr>
          <w:rFonts w:ascii="Arial" w:cs="Arial" w:eastAsia="Arial" w:hAnsi="Arial"/>
          <w:sz w:val="13"/>
          <w:szCs w:val="13"/>
          <w:b w:val="1"/>
          <w:bCs w:val="1"/>
          <w:color w:val="auto"/>
        </w:rPr>
        <w:t>Year Ended</w:t>
      </w:r>
    </w:p>
    <w:p>
      <w:pPr>
        <w:spacing w:after="0" w:line="18" w:lineRule="exact"/>
        <w:rPr>
          <w:sz w:val="20"/>
          <w:szCs w:val="20"/>
          <w:color w:val="auto"/>
        </w:rPr>
      </w:pPr>
    </w:p>
    <w:p>
      <w:pPr>
        <w:jc w:val="center"/>
        <w:ind w:left="4420"/>
        <w:spacing w:after="0"/>
        <w:rPr>
          <w:sz w:val="20"/>
          <w:szCs w:val="20"/>
          <w:color w:val="auto"/>
        </w:rPr>
      </w:pPr>
      <w:r>
        <w:rPr>
          <w:rFonts w:ascii="Arial" w:cs="Arial" w:eastAsia="Arial" w:hAnsi="Arial"/>
          <w:sz w:val="13"/>
          <w:szCs w:val="13"/>
          <w:b w:val="1"/>
          <w:bCs w:val="1"/>
          <w:color w:val="auto"/>
        </w:rPr>
        <w:t>December 31,</w:t>
      </w:r>
    </w:p>
    <w:p>
      <w:pPr>
        <w:spacing w:after="0" w:line="6"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4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jc w:val="right"/>
              <w:ind w:right="615"/>
              <w:spacing w:after="0"/>
              <w:rPr>
                <w:sz w:val="20"/>
                <w:szCs w:val="20"/>
                <w:color w:val="auto"/>
              </w:rPr>
            </w:pPr>
            <w:r>
              <w:rPr>
                <w:rFonts w:ascii="Arial" w:cs="Arial" w:eastAsia="Arial" w:hAnsi="Arial"/>
                <w:sz w:val="13"/>
                <w:szCs w:val="13"/>
                <w:b w:val="1"/>
                <w:bCs w:val="1"/>
                <w:color w:val="auto"/>
              </w:rPr>
              <w:t>2016</w:t>
            </w:r>
          </w:p>
        </w:tc>
      </w:tr>
      <w:tr>
        <w:trPr>
          <w:trHeight w:val="174"/>
        </w:trPr>
        <w:tc>
          <w:tcPr>
            <w:tcW w:w="4400" w:type="dxa"/>
            <w:vAlign w:val="bottom"/>
          </w:tcPr>
          <w:p>
            <w:pPr>
              <w:ind w:left="20"/>
              <w:spacing w:after="0"/>
              <w:rPr>
                <w:sz w:val="20"/>
                <w:szCs w:val="20"/>
                <w:color w:val="auto"/>
              </w:rPr>
            </w:pPr>
            <w:r>
              <w:rPr>
                <w:rFonts w:ascii="Arial" w:cs="Arial" w:eastAsia="Arial" w:hAnsi="Arial"/>
                <w:sz w:val="13"/>
                <w:szCs w:val="13"/>
                <w:color w:val="auto"/>
              </w:rPr>
              <w:t>Audit Fees</w:t>
            </w:r>
          </w:p>
        </w:tc>
        <w:tc>
          <w:tcPr>
            <w:tcW w:w="980" w:type="dxa"/>
            <w:vAlign w:val="bottom"/>
          </w:tcPr>
          <w:p>
            <w:pPr>
              <w:jc w:val="right"/>
              <w:ind w:right="8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w w:val="93"/>
              </w:rPr>
              <w:t>1,916,700</w:t>
            </w:r>
          </w:p>
        </w:tc>
        <w:tc>
          <w:tcPr>
            <w:tcW w:w="80" w:type="dxa"/>
            <w:vAlign w:val="bottom"/>
          </w:tcPr>
          <w:p>
            <w:pPr>
              <w:spacing w:after="0"/>
              <w:rPr>
                <w:sz w:val="15"/>
                <w:szCs w:val="15"/>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1,952,210</w:t>
            </w: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Audit-Related Fees</w:t>
            </w:r>
          </w:p>
        </w:tc>
        <w:tc>
          <w:tcPr>
            <w:tcW w:w="9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4400" w:type="dxa"/>
            <w:vAlign w:val="bottom"/>
          </w:tcPr>
          <w:p>
            <w:pPr>
              <w:ind w:left="20"/>
              <w:spacing w:after="0"/>
              <w:rPr>
                <w:sz w:val="20"/>
                <w:szCs w:val="20"/>
                <w:color w:val="auto"/>
              </w:rPr>
            </w:pPr>
            <w:r>
              <w:rPr>
                <w:rFonts w:ascii="Arial" w:cs="Arial" w:eastAsia="Arial" w:hAnsi="Arial"/>
                <w:sz w:val="13"/>
                <w:szCs w:val="13"/>
                <w:color w:val="auto"/>
              </w:rPr>
              <w:t>Tax Fees</w:t>
            </w:r>
          </w:p>
        </w:tc>
        <w:tc>
          <w:tcPr>
            <w:tcW w:w="980" w:type="dxa"/>
            <w:vAlign w:val="bottom"/>
          </w:tcPr>
          <w:p>
            <w:pPr>
              <w:spacing w:after="0"/>
              <w:rPr>
                <w:sz w:val="15"/>
                <w:szCs w:val="15"/>
                <w:color w:val="auto"/>
              </w:rPr>
            </w:pP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12,700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79,269</w:t>
            </w: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All Other Fees</w:t>
            </w: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400" w:type="dxa"/>
            <w:vAlign w:val="bottom"/>
          </w:tcPr>
          <w:p>
            <w:pPr>
              <w:ind w:left="20"/>
              <w:spacing w:after="0"/>
              <w:rPr>
                <w:sz w:val="20"/>
                <w:szCs w:val="20"/>
                <w:color w:val="auto"/>
              </w:rPr>
            </w:pPr>
            <w:r>
              <w:rPr>
                <w:rFonts w:ascii="Arial" w:cs="Arial" w:eastAsia="Arial" w:hAnsi="Arial"/>
                <w:sz w:val="13"/>
                <w:szCs w:val="13"/>
                <w:color w:val="auto"/>
              </w:rPr>
              <w:t>Total</w:t>
            </w:r>
          </w:p>
        </w:tc>
        <w:tc>
          <w:tcPr>
            <w:tcW w:w="98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93"/>
              </w:rPr>
              <w:t>1,929,400</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2,031,479</w:t>
            </w:r>
          </w:p>
        </w:tc>
      </w:tr>
    </w:tbl>
    <w:p>
      <w:pPr>
        <w:spacing w:after="0" w:line="14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 Fees</w:t>
      </w:r>
    </w:p>
    <w:p>
      <w:pPr>
        <w:spacing w:after="0" w:line="165" w:lineRule="exact"/>
        <w:rPr>
          <w:sz w:val="20"/>
          <w:szCs w:val="20"/>
          <w:color w:val="auto"/>
        </w:rPr>
      </w:pPr>
    </w:p>
    <w:p>
      <w:pPr>
        <w:ind w:firstLine="291"/>
        <w:spacing w:after="0" w:line="364" w:lineRule="auto"/>
        <w:rPr>
          <w:sz w:val="20"/>
          <w:szCs w:val="20"/>
          <w:color w:val="auto"/>
        </w:rPr>
      </w:pPr>
      <w:r>
        <w:rPr>
          <w:rFonts w:ascii="Arial" w:cs="Arial" w:eastAsia="Arial" w:hAnsi="Arial"/>
          <w:sz w:val="11"/>
          <w:szCs w:val="11"/>
          <w:color w:val="auto"/>
        </w:rPr>
        <w:t>For 2017 and 2016 audit services, KPMG LLP billed the Company approximately $1,916,700 and $1,952,210,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Audit-Related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There were no audit-related fees billed to the Company by KPMG LLP for 2017 or 2016.</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Tax Fees</w:t>
      </w:r>
    </w:p>
    <w:p>
      <w:pPr>
        <w:spacing w:after="0" w:line="165"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There were approximately $12,700 in tax fees billed to the Company by KPMG LLP for 2017, relating mainly to compliance work. There were approximately $79,269 in tax fees billed to the Company by KPMG LLP for 2016.</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All Other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There were no other fees billed to the Company by KPMG LLP for 2017 or 2016.</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460"/>
          </w:cols>
          <w:pgMar w:left="220" w:top="302" w:right="219" w:bottom="1440" w:gutter="0" w:footer="0" w:header="0"/>
        </w:sectPr>
      </w:pPr>
    </w:p>
    <w:bookmarkStart w:id="61" w:name="page62"/>
    <w:bookmarkEnd w:id="61"/>
    <w:p>
      <w:pPr>
        <w:ind w:left="280"/>
        <w:spacing w:after="0"/>
        <w:rPr>
          <w:sz w:val="20"/>
          <w:szCs w:val="20"/>
          <w:color w:val="auto"/>
        </w:rPr>
      </w:pPr>
      <w:r>
        <w:rPr>
          <w:rFonts w:ascii="Arial" w:cs="Arial" w:eastAsia="Arial" w:hAnsi="Arial"/>
          <w:sz w:val="13"/>
          <w:szCs w:val="13"/>
          <w:b w:val="1"/>
          <w:bCs w:val="1"/>
          <w:color w:val="auto"/>
        </w:rPr>
        <w:t>Policy on Audit Committee Pre-approval</w:t>
      </w:r>
    </w:p>
    <w:p>
      <w:pPr>
        <w:spacing w:after="0" w:line="165"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The Audit Committee of Yield, Inc. is responsible for appointing, setting compensation for, and overseeing the work of the independent registered public accounting firm of the Company. The Audit Committee of Yield, Inc. has established a policy regarding pre-approval of all audit and permissible nonaudit services provided by the independent registered public accounting firm of the Company.</w:t>
      </w:r>
    </w:p>
    <w:p>
      <w:pPr>
        <w:spacing w:after="0" w:line="105"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Audit Committee of Yield, Inc. will annually review and pre-approve services that are expected to be provided by the independent registered public accounting firm. The term of the pre-approval will be 12 months from the date of the pre-approval, unless the Audit Committee of Yield, Inc. approves a shorter time period. The Audit Committee may periodically amend and/or supplement the pre-approved services based on subsequent determinations.</w:t>
      </w:r>
    </w:p>
    <w:p>
      <w:pPr>
        <w:spacing w:after="0" w:line="136"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Unless the Audit Committee of Yield, Inc. has pre-approved Audit Services or a specified category of nonaudit services, any engagement to provide such services must be pre-approved by the Audit Committee of Yield, Inc. if it is to be provided by the independent registered public accounting firm. The Audit Committee of Yield, Inc. must also pre-approve any proposed services exceeding the pre-approved budgeted fee levels for a specified type of service.</w:t>
      </w:r>
    </w:p>
    <w:p>
      <w:pPr>
        <w:spacing w:after="0" w:line="136"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Audit Committee of Yield, Inc. has authorized its Chair to pre-approve services in amounts up to $100,000 per engagement. Engagements exceeding $100,000 must be approved by the full Audit Committee of Yield, Inc. Engagements pre-approved by the Chair are reported to the Audit Committee of Yield, Inc. at its next scheduled meeting.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460"/>
          </w:cols>
          <w:pgMar w:left="220" w:top="710" w:right="219" w:bottom="1440" w:gutter="0" w:footer="0" w:header="0"/>
        </w:sectPr>
      </w:pPr>
    </w:p>
    <w:bookmarkStart w:id="62" w:name="page63"/>
    <w:bookmarkEnd w:id="62"/>
    <w:p>
      <w:pPr>
        <w:ind w:left="5480"/>
        <w:spacing w:after="0"/>
        <w:rPr>
          <w:sz w:val="20"/>
          <w:szCs w:val="20"/>
          <w:color w:val="auto"/>
        </w:rPr>
      </w:pPr>
      <w:r>
        <w:rPr>
          <w:rFonts w:ascii="Arial" w:cs="Arial" w:eastAsia="Arial" w:hAnsi="Arial"/>
          <w:sz w:val="13"/>
          <w:szCs w:val="13"/>
          <w:b w:val="1"/>
          <w:bCs w:val="1"/>
          <w:color w:val="auto"/>
        </w:rPr>
        <w:t>PART IV</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 Exhibits, Financial Statement Schedules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(a)(1) Financial Statements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consolidated financial statements of NRG Yield LLC and related notes thereto, together with the reports thereon of KPMG LLP, are included herein:</w:t>
      </w:r>
    </w:p>
    <w:p>
      <w:pPr>
        <w:spacing w:after="0" w:line="146" w:lineRule="exact"/>
        <w:rPr>
          <w:sz w:val="20"/>
          <w:szCs w:val="20"/>
          <w:color w:val="auto"/>
        </w:rPr>
      </w:pPr>
    </w:p>
    <w:p>
      <w:pPr>
        <w:ind w:left="520" w:right="4319"/>
        <w:spacing w:after="0" w:line="436" w:lineRule="auto"/>
        <w:rPr>
          <w:sz w:val="20"/>
          <w:szCs w:val="20"/>
          <w:color w:val="auto"/>
        </w:rPr>
      </w:pPr>
      <w:r>
        <w:rPr>
          <w:rFonts w:ascii="Arial" w:cs="Arial" w:eastAsia="Arial" w:hAnsi="Arial"/>
          <w:sz w:val="13"/>
          <w:szCs w:val="13"/>
          <w:color w:val="auto"/>
        </w:rPr>
        <w:t>Consolidated Statements of Operations — Years ended December 31, 2017, 2016 and 2015 Consolidated Statements of Comprehensive Income — Years ended December 31, 2017, 2016 and 2015 Consolidated Balance Sheets — As of December 31, 2017 and 2016</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Consolidated Statements of Cash Flows — Years ended December 31, 2017, 2016 and 2015</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Consolidated Statements of Members' Equity — Years ended December 31, 2017, 2016 and 2015</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Notes to Consolidated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(a)(2) Not applicable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(a)(3) Exhibits: See Exhibit Index submitted as a separate section of this report</w:t>
      </w:r>
    </w:p>
    <w:p>
      <w:pPr>
        <w:spacing w:after="0" w:line="123" w:lineRule="exact"/>
        <w:rPr>
          <w:sz w:val="20"/>
          <w:szCs w:val="20"/>
          <w:color w:val="auto"/>
        </w:rPr>
      </w:pPr>
    </w:p>
    <w:p>
      <w:pPr>
        <w:ind w:left="540" w:hanging="193"/>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Exhibits</w:t>
      </w:r>
    </w:p>
    <w:p>
      <w:pPr>
        <w:spacing w:after="0" w:line="12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See Exhibit Index submitted as a separate section of this report</w:t>
      </w:r>
    </w:p>
    <w:p>
      <w:pPr>
        <w:spacing w:after="0" w:line="122" w:lineRule="exact"/>
        <w:rPr>
          <w:rFonts w:ascii="Arial" w:cs="Arial" w:eastAsia="Arial" w:hAnsi="Arial"/>
          <w:sz w:val="13"/>
          <w:szCs w:val="13"/>
          <w:color w:val="auto"/>
        </w:rPr>
      </w:pPr>
    </w:p>
    <w:p>
      <w:pPr>
        <w:ind w:left="520" w:hanging="173"/>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29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239"/>
          </w:cols>
          <w:pgMar w:left="220" w:top="710" w:right="1440"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The Members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NRG Yield LLC:</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Opinion on the Consolidated Financial Statements</w:t>
      </w:r>
    </w:p>
    <w:p>
      <w:pPr>
        <w:spacing w:after="0" w:line="64" w:lineRule="exact"/>
        <w:rPr>
          <w:sz w:val="20"/>
          <w:szCs w:val="20"/>
          <w:color w:val="auto"/>
        </w:rPr>
      </w:pPr>
    </w:p>
    <w:p>
      <w:pPr>
        <w:ind w:right="20"/>
        <w:spacing w:after="0" w:line="157" w:lineRule="exact"/>
        <w:rPr>
          <w:sz w:val="20"/>
          <w:szCs w:val="20"/>
          <w:color w:val="auto"/>
        </w:rPr>
      </w:pPr>
      <w:r>
        <w:rPr>
          <w:rFonts w:ascii="Arial" w:cs="Arial" w:eastAsia="Arial" w:hAnsi="Arial"/>
          <w:sz w:val="13"/>
          <w:szCs w:val="13"/>
          <w:color w:val="auto"/>
        </w:rPr>
        <w:t>We have audited the accompanying consolidated balance sheets of NRG Yield LLC and subsidiaries (the “Company”) as of December 31, 2017 and 2016, the related consolidated statements of operations, comprehensive income, members’ equity, and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2017,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for Opinion</w:t>
      </w:r>
    </w:p>
    <w:p>
      <w:pPr>
        <w:spacing w:after="0" w:line="64"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(signed) KPMG LLP</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2012.</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20"/>
          </w:cols>
          <w:pgMar w:left="220" w:top="865"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1"/>
              </w:rPr>
              <w:t>Year ended December 31,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84"/>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6"/>
                <w:szCs w:val="16"/>
                <w:color w:val="auto"/>
              </w:rPr>
            </w:pPr>
          </w:p>
        </w:tc>
        <w:tc>
          <w:tcPr>
            <w:tcW w:w="780" w:type="dxa"/>
            <w:vAlign w:val="bottom"/>
          </w:tcPr>
          <w:p>
            <w:pPr>
              <w:jc w:val="right"/>
              <w:ind w:right="33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 xml:space="preserve">2016 </w:t>
            </w:r>
            <w:r>
              <w:rPr>
                <w:rFonts w:ascii="Arial" w:cs="Arial" w:eastAsia="Arial" w:hAnsi="Arial"/>
                <w:sz w:val="6"/>
                <w:szCs w:val="6"/>
                <w:b w:val="1"/>
                <w:bCs w:val="1"/>
                <w:color w:val="auto"/>
                <w:w w:val="98"/>
              </w:rPr>
              <w:t>(a)</w:t>
            </w:r>
          </w:p>
        </w:tc>
        <w:tc>
          <w:tcPr>
            <w:tcW w:w="22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6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200"/>
              <w:spacing w:after="0"/>
              <w:rPr>
                <w:sz w:val="20"/>
                <w:szCs w:val="20"/>
                <w:color w:val="auto"/>
              </w:rPr>
            </w:pPr>
            <w:r>
              <w:rPr>
                <w:rFonts w:ascii="Arial" w:cs="Arial" w:eastAsia="Arial" w:hAnsi="Arial"/>
                <w:sz w:val="13"/>
                <w:szCs w:val="13"/>
                <w:color w:val="auto"/>
              </w:rPr>
              <w:t>Total operating revenues</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1,009</w:t>
            </w:r>
          </w:p>
        </w:tc>
        <w:tc>
          <w:tcPr>
            <w:tcW w:w="340" w:type="dxa"/>
            <w:vAlign w:val="bottom"/>
            <w:gridSpan w:val="2"/>
          </w:tcPr>
          <w:p>
            <w:pPr>
              <w:jc w:val="right"/>
              <w:ind w:right="7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1,035</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323</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640</w:t>
            </w:r>
          </w:p>
        </w:tc>
      </w:tr>
      <w:tr>
        <w:trPr>
          <w:trHeight w:val="164"/>
        </w:trPr>
        <w:tc>
          <w:tcPr>
            <w:tcW w:w="814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328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31</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income, net</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Loss on debt extinguishment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(258)</w:t>
            </w:r>
          </w:p>
        </w:tc>
      </w:tr>
      <w:tr>
        <w:trPr>
          <w:trHeight w:val="164"/>
        </w:trPr>
        <w:tc>
          <w:tcPr>
            <w:tcW w:w="8140" w:type="dxa"/>
            <w:vAlign w:val="bottom"/>
          </w:tcPr>
          <w:p>
            <w:pPr>
              <w:ind w:left="26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(233)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95</w:t>
            </w:r>
          </w:p>
        </w:tc>
      </w:tr>
      <w:tr>
        <w:trPr>
          <w:trHeight w:val="164"/>
        </w:trPr>
        <w:tc>
          <w:tcPr>
            <w:tcW w:w="8140" w:type="dxa"/>
            <w:vAlign w:val="bottom"/>
          </w:tcPr>
          <w:p>
            <w:pPr>
              <w:ind w:left="120"/>
              <w:spacing w:after="0"/>
              <w:rPr>
                <w:sz w:val="20"/>
                <w:szCs w:val="20"/>
                <w:color w:val="auto"/>
              </w:rPr>
            </w:pPr>
            <w:r>
              <w:rPr>
                <w:rFonts w:ascii="Arial" w:cs="Arial" w:eastAsia="Arial" w:hAnsi="Arial"/>
                <w:sz w:val="13"/>
                <w:szCs w:val="13"/>
                <w:color w:val="auto"/>
              </w:rPr>
              <w:t>Less: Net loss attributable to noncontrolling interests</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1859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80"/>
          </w:cols>
          <w:pgMar w:left="220" w:top="709" w:right="19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1"/>
              </w:rPr>
              <w:t>Year ended December 31,</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80"/>
        </w:trPr>
        <w:tc>
          <w:tcPr>
            <w:tcW w:w="8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2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88"/>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1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680" w:type="dxa"/>
            <w:vAlign w:val="bottom"/>
            <w:tcBorders>
              <w:bottom w:val="single" w:sz="8" w:color="CCEEFF"/>
            </w:tcBorders>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62</w:t>
            </w:r>
          </w:p>
        </w:tc>
        <w:tc>
          <w:tcPr>
            <w:tcW w:w="3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95</w:t>
            </w:r>
          </w:p>
        </w:tc>
      </w:tr>
      <w:tr>
        <w:trPr>
          <w:trHeight w:val="174"/>
        </w:trPr>
        <w:tc>
          <w:tcPr>
            <w:tcW w:w="814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8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Unrealized gain (loss) on derivatives</w:t>
            </w: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r>
      <w:tr>
        <w:trPr>
          <w:trHeight w:val="164"/>
        </w:trPr>
        <w:tc>
          <w:tcPr>
            <w:tcW w:w="8140" w:type="dxa"/>
            <w:vAlign w:val="bottom"/>
          </w:tcPr>
          <w:p>
            <w:pPr>
              <w:ind w:left="420"/>
              <w:spacing w:after="0"/>
              <w:rPr>
                <w:sz w:val="20"/>
                <w:szCs w:val="20"/>
                <w:color w:val="auto"/>
              </w:rPr>
            </w:pPr>
            <w:r>
              <w:rPr>
                <w:rFonts w:ascii="Arial" w:cs="Arial" w:eastAsia="Arial" w:hAnsi="Arial"/>
                <w:sz w:val="13"/>
                <w:szCs w:val="13"/>
                <w:color w:val="auto"/>
              </w:rPr>
              <w:t>Other comprehensive income (loss)</w:t>
            </w: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78</w:t>
            </w:r>
          </w:p>
        </w:tc>
      </w:tr>
      <w:tr>
        <w:trPr>
          <w:trHeight w:val="164"/>
        </w:trPr>
        <w:tc>
          <w:tcPr>
            <w:tcW w:w="8140" w:type="dxa"/>
            <w:vAlign w:val="bottom"/>
          </w:tcPr>
          <w:p>
            <w:pPr>
              <w:ind w:left="20"/>
              <w:spacing w:after="0"/>
              <w:rPr>
                <w:sz w:val="20"/>
                <w:szCs w:val="20"/>
                <w:color w:val="auto"/>
              </w:rPr>
            </w:pPr>
            <w:r>
              <w:rPr>
                <w:rFonts w:ascii="Arial" w:cs="Arial" w:eastAsia="Arial" w:hAnsi="Arial"/>
                <w:sz w:val="13"/>
                <w:szCs w:val="13"/>
                <w:color w:val="auto"/>
              </w:rPr>
              <w:t>Less: Comprehensive loss attributable to noncontrolling interests</w:t>
            </w: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Attributable to NRG Yield LLC</w:t>
            </w:r>
          </w:p>
        </w:tc>
        <w:tc>
          <w:tcPr>
            <w:tcW w:w="6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41859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80"/>
          </w:cols>
          <w:pgMar w:left="220" w:top="710" w:right="199" w:bottom="1440" w:gutter="0" w:footer="0" w:header="0"/>
        </w:sectPr>
      </w:pPr>
    </w:p>
    <w:bookmarkStart w:id="66" w:name="page67"/>
    <w:bookmarkEnd w:id="66"/>
    <w:p>
      <w:pPr>
        <w:jc w:val="center"/>
        <w:ind w:right="-41"/>
        <w:spacing w:after="0"/>
        <w:rPr>
          <w:sz w:val="20"/>
          <w:szCs w:val="20"/>
          <w:color w:val="auto"/>
        </w:rPr>
      </w:pPr>
      <w:r>
        <w:rPr>
          <w:rFonts w:ascii="Arial" w:cs="Arial" w:eastAsia="Arial" w:hAnsi="Arial"/>
          <w:sz w:val="13"/>
          <w:szCs w:val="13"/>
          <w:b w:val="1"/>
          <w:bCs w:val="1"/>
          <w:color w:val="auto"/>
        </w:rPr>
        <w:t>NRG YIELD LLC</w:t>
      </w:r>
    </w:p>
    <w:p>
      <w:pPr>
        <w:spacing w:after="0" w:line="84" w:lineRule="exact"/>
        <w:rPr>
          <w:sz w:val="20"/>
          <w:szCs w:val="20"/>
          <w:color w:val="auto"/>
        </w:rPr>
      </w:pPr>
    </w:p>
    <w:p>
      <w:pPr>
        <w:jc w:val="center"/>
        <w:ind w:right="-41"/>
        <w:spacing w:after="0"/>
        <w:rPr>
          <w:sz w:val="20"/>
          <w:szCs w:val="20"/>
          <w:color w:val="auto"/>
        </w:rPr>
      </w:pPr>
      <w:r>
        <w:rPr>
          <w:rFonts w:ascii="Arial" w:cs="Arial" w:eastAsia="Arial" w:hAnsi="Arial"/>
          <w:sz w:val="13"/>
          <w:szCs w:val="13"/>
          <w:b w:val="1"/>
          <w:bCs w:val="1"/>
          <w:color w:val="auto"/>
        </w:rPr>
        <w:t>CONSOLIDATED BALANCE SHEETS</w:t>
      </w:r>
    </w:p>
    <w:p>
      <w:pPr>
        <w:spacing w:after="0" w:line="361" w:lineRule="exact"/>
        <w:rPr>
          <w:sz w:val="20"/>
          <w:szCs w:val="20"/>
          <w:color w:val="auto"/>
        </w:rPr>
      </w:pPr>
    </w:p>
    <w:tbl>
      <w:tblPr>
        <w:tblLayout w:type="fixed"/>
        <w:tblInd w:w="62" w:type="dxa"/>
        <w:tblCellMar>
          <w:top w:w="0" w:type="dxa"/>
          <w:left w:w="0" w:type="dxa"/>
          <w:bottom w:w="0" w:type="dxa"/>
          <w:right w:w="0" w:type="dxa"/>
        </w:tblCellMar>
      </w:tblPr>
      <w:tr>
        <w:trPr>
          <w:trHeight w:val="139"/>
        </w:trPr>
        <w:tc>
          <w:tcPr>
            <w:tcW w:w="24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December 31, 2017</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 xml:space="preserve">December 31, 2016 </w:t>
            </w:r>
            <w:r>
              <w:rPr>
                <w:rFonts w:ascii="Arial" w:cs="Arial" w:eastAsia="Arial" w:hAnsi="Arial"/>
                <w:sz w:val="6"/>
                <w:szCs w:val="6"/>
                <w:b w:val="1"/>
                <w:bCs w:val="1"/>
                <w:color w:val="auto"/>
              </w:rPr>
              <w:t>(a)</w:t>
            </w:r>
          </w:p>
        </w:tc>
      </w:tr>
      <w:tr>
        <w:trPr>
          <w:trHeight w:val="174"/>
        </w:trPr>
        <w:tc>
          <w:tcPr>
            <w:tcW w:w="2420" w:type="dxa"/>
            <w:vAlign w:val="bottom"/>
            <w:tcBorders>
              <w:bottom w:val="single" w:sz="8" w:color="CCEEFF"/>
            </w:tcBorders>
          </w:tcPr>
          <w:p>
            <w:pPr>
              <w:spacing w:after="0"/>
              <w:rPr>
                <w:sz w:val="15"/>
                <w:szCs w:val="15"/>
                <w:color w:val="auto"/>
              </w:rPr>
            </w:pPr>
          </w:p>
        </w:tc>
        <w:tc>
          <w:tcPr>
            <w:tcW w:w="5200" w:type="dxa"/>
            <w:vAlign w:val="bottom"/>
            <w:tcBorders>
              <w:bottom w:val="single" w:sz="8" w:color="CCEEFF"/>
            </w:tcBorders>
          </w:tcPr>
          <w:p>
            <w:pPr>
              <w:jc w:val="center"/>
              <w:ind w:right="2378"/>
              <w:spacing w:after="0"/>
              <w:rPr>
                <w:sz w:val="20"/>
                <w:szCs w:val="20"/>
                <w:color w:val="auto"/>
              </w:rPr>
            </w:pPr>
            <w:r>
              <w:rPr>
                <w:rFonts w:ascii="Arial" w:cs="Arial" w:eastAsia="Arial" w:hAnsi="Arial"/>
                <w:sz w:val="13"/>
                <w:szCs w:val="13"/>
                <w:b w:val="1"/>
                <w:bCs w:val="1"/>
                <w:color w:val="auto"/>
                <w:w w:val="92"/>
              </w:rPr>
              <w:t>ASSETS</w:t>
            </w:r>
          </w:p>
        </w:tc>
        <w:tc>
          <w:tcPr>
            <w:tcW w:w="1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0"/>
                <w:szCs w:val="10"/>
                <w:b w:val="1"/>
                <w:bCs w:val="1"/>
                <w:color w:val="auto"/>
              </w:rPr>
              <w:t>(In millions)</w:t>
            </w:r>
          </w:p>
        </w:tc>
        <w:tc>
          <w:tcPr>
            <w:tcW w:w="1480" w:type="dxa"/>
            <w:vAlign w:val="bottom"/>
            <w:tcBorders>
              <w:bottom w:val="single" w:sz="8" w:color="auto"/>
            </w:tcBorders>
          </w:tcPr>
          <w:p>
            <w:pPr>
              <w:spacing w:after="0"/>
              <w:rPr>
                <w:sz w:val="15"/>
                <w:szCs w:val="15"/>
                <w:color w:val="auto"/>
              </w:rPr>
            </w:pPr>
          </w:p>
        </w:tc>
      </w:tr>
      <w:tr>
        <w:trPr>
          <w:trHeight w:val="16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5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6580" w:type="dxa"/>
            <w:vAlign w:val="bottom"/>
            <w:gridSpan w:val="2"/>
          </w:tcPr>
          <w:p>
            <w:pPr>
              <w:jc w:val="right"/>
              <w:ind w:right="1268"/>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321</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96</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16</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r>
      <w:tr>
        <w:trPr>
          <w:trHeight w:val="150"/>
        </w:trPr>
        <w:tc>
          <w:tcPr>
            <w:tcW w:w="242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481</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670</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5,204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5,554</w:t>
            </w:r>
          </w:p>
        </w:tc>
      </w:tr>
      <w:tr>
        <w:trPr>
          <w:trHeight w:val="17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 investments in affiliates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1,178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1,152</w:t>
            </w:r>
          </w:p>
        </w:tc>
      </w:tr>
      <w:tr>
        <w:trPr>
          <w:trHeight w:val="170"/>
        </w:trPr>
        <w:tc>
          <w:tcPr>
            <w:tcW w:w="242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w w:val="99"/>
              </w:rPr>
              <w:t>1,228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1,303</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w:t>
            </w:r>
          </w:p>
        </w:tc>
      </w:tr>
      <w:tr>
        <w:trPr>
          <w:trHeight w:val="150"/>
        </w:trPr>
        <w:tc>
          <w:tcPr>
            <w:tcW w:w="2420" w:type="dxa"/>
            <w:vAlign w:val="bottom"/>
          </w:tcPr>
          <w:p>
            <w:pPr>
              <w:ind w:left="260"/>
              <w:spacing w:after="0"/>
              <w:rPr>
                <w:sz w:val="20"/>
                <w:szCs w:val="20"/>
                <w:color w:val="auto"/>
              </w:rPr>
            </w:pPr>
            <w:r>
              <w:rPr>
                <w:rFonts w:ascii="Arial" w:cs="Arial" w:eastAsia="Arial" w:hAnsi="Arial"/>
                <w:sz w:val="12"/>
                <w:szCs w:val="12"/>
                <w:color w:val="auto"/>
              </w:rPr>
              <w:t>Total other assets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9"/>
              </w:rPr>
              <w:t>2,469</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2,522</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8,154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r>
      <w:tr>
        <w:trPr>
          <w:trHeight w:val="164"/>
        </w:trPr>
        <w:tc>
          <w:tcPr>
            <w:tcW w:w="2420" w:type="dxa"/>
            <w:vAlign w:val="bottom"/>
          </w:tcPr>
          <w:p>
            <w:pPr>
              <w:spacing w:after="0"/>
              <w:rPr>
                <w:sz w:val="14"/>
                <w:szCs w:val="14"/>
                <w:color w:val="auto"/>
              </w:rPr>
            </w:pPr>
          </w:p>
        </w:tc>
        <w:tc>
          <w:tcPr>
            <w:tcW w:w="5200" w:type="dxa"/>
            <w:vAlign w:val="bottom"/>
          </w:tcPr>
          <w:p>
            <w:pPr>
              <w:jc w:val="center"/>
              <w:ind w:right="2378"/>
              <w:spacing w:after="0"/>
              <w:rPr>
                <w:sz w:val="20"/>
                <w:szCs w:val="20"/>
                <w:color w:val="auto"/>
              </w:rPr>
            </w:pPr>
            <w:r>
              <w:rPr>
                <w:rFonts w:ascii="Arial" w:cs="Arial" w:eastAsia="Arial" w:hAnsi="Arial"/>
                <w:sz w:val="13"/>
                <w:szCs w:val="13"/>
                <w:b w:val="1"/>
                <w:bCs w:val="1"/>
                <w:color w:val="auto"/>
              </w:rPr>
              <w:t>LIABILITIES AND MEMBERS' EQUITY</w:t>
            </w:r>
          </w:p>
        </w:tc>
        <w:tc>
          <w:tcPr>
            <w:tcW w:w="13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w w:val="96"/>
              </w:rPr>
              <w:t>Current portion of long-term debt — external</w:t>
            </w:r>
          </w:p>
        </w:tc>
        <w:tc>
          <w:tcPr>
            <w:tcW w:w="6580" w:type="dxa"/>
            <w:vAlign w:val="bottom"/>
            <w:gridSpan w:val="2"/>
          </w:tcPr>
          <w:p>
            <w:pPr>
              <w:jc w:val="right"/>
              <w:ind w:right="1268"/>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306</w:t>
            </w:r>
          </w:p>
        </w:tc>
        <w:tc>
          <w:tcPr>
            <w:tcW w:w="12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323</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trade</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40</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w w:val="94"/>
              </w:rPr>
              <w:t>Accrued expenses and other current liabilities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85</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current liabilities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504</w:t>
            </w:r>
          </w:p>
        </w:tc>
      </w:tr>
      <w:tr>
        <w:trPr>
          <w:trHeight w:val="16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external</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4,921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5,128</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Long-term debt — affiliate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618</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affiliate</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Derivative instruments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46</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77</w:t>
            </w:r>
          </w:p>
        </w:tc>
      </w:tr>
      <w:tr>
        <w:trPr>
          <w:trHeight w:val="150"/>
        </w:trPr>
        <w:tc>
          <w:tcPr>
            <w:tcW w:w="2420" w:type="dxa"/>
            <w:vAlign w:val="bottom"/>
          </w:tcPr>
          <w:p>
            <w:pPr>
              <w:ind w:left="200"/>
              <w:spacing w:after="0"/>
              <w:rPr>
                <w:sz w:val="20"/>
                <w:szCs w:val="20"/>
                <w:color w:val="auto"/>
              </w:rPr>
            </w:pPr>
            <w:r>
              <w:rPr>
                <w:rFonts w:ascii="Arial" w:cs="Arial" w:eastAsia="Arial" w:hAnsi="Arial"/>
                <w:sz w:val="12"/>
                <w:szCs w:val="12"/>
                <w:color w:val="auto"/>
              </w:rPr>
              <w:t>Total non-current liabilities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9"/>
              </w:rPr>
              <w:t>5,661</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5,878</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6,146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6,382</w:t>
            </w:r>
          </w:p>
        </w:tc>
      </w:tr>
      <w:tr>
        <w:trPr>
          <w:trHeight w:val="16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Members' Equity</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Contributed capital</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w w:val="99"/>
              </w:rPr>
              <w:t>1,897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2,179</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Retained earnings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22"/>
              <w:spacing w:after="0"/>
              <w:rPr>
                <w:sz w:val="20"/>
                <w:szCs w:val="20"/>
                <w:color w:val="auto"/>
              </w:rPr>
            </w:pPr>
            <w:r>
              <w:rPr>
                <w:rFonts w:ascii="Arial" w:cs="Arial" w:eastAsia="Arial" w:hAnsi="Arial"/>
                <w:sz w:val="12"/>
                <w:szCs w:val="12"/>
                <w:color w:val="auto"/>
              </w:rPr>
              <w:t>(85)</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r>
      <w:tr>
        <w:trPr>
          <w:trHeight w:val="15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9"/>
              </w:rPr>
              <w:t>2,008</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2,364</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2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8,154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82" w:hanging="82"/>
        <w:spacing w:after="0"/>
        <w:tabs>
          <w:tab w:leader="none" w:pos="82" w:val="left"/>
        </w:tabs>
        <w:numPr>
          <w:ilvl w:val="0"/>
          <w:numId w:val="29"/>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61"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22"/>
          </w:cols>
          <w:pgMar w:left="218" w:top="709"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84"/>
        </w:trPr>
        <w:tc>
          <w:tcPr>
            <w:tcW w:w="8480" w:type="dxa"/>
            <w:vAlign w:val="bottom"/>
          </w:tcPr>
          <w:p>
            <w:pPr>
              <w:spacing w:after="0"/>
              <w:rPr>
                <w:sz w:val="16"/>
                <w:szCs w:val="16"/>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74"/>
        </w:trPr>
        <w:tc>
          <w:tcPr>
            <w:tcW w:w="8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580" w:type="dxa"/>
            <w:vAlign w:val="bottom"/>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62</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95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(31)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Distributions from unconsolidated affiliates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60</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303</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Amortization of financing costs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Amortization of intangibles and out-of-market contracts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55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Loss on debt extinguishment</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Impairment losses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Changes in derivative instruments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(44)</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Loss on disposal of asset components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provided by (used in) changes in other working capital:</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Changes in prepaid and accrued capacity payments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(12)</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Changes in other working capital</w:t>
            </w:r>
          </w:p>
        </w:tc>
        <w:tc>
          <w:tcPr>
            <w:tcW w:w="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w:t>
            </w:r>
          </w:p>
        </w:tc>
      </w:tr>
      <w:tr>
        <w:trPr>
          <w:trHeight w:val="15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516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424</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5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Acquisition of businesses, net of cash acquired</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(37)</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Acquisition of Drop Down Assets, net of cash acquired</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Capital expenditures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Cash receipts from notes receivable</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Return of investment from unconsolidated affiliates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42</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Investments in unconsolidated affiliates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(402)</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Other</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(283)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(1,098)</w:t>
            </w:r>
          </w:p>
        </w:tc>
      </w:tr>
      <w:tr>
        <w:trPr>
          <w:trHeight w:val="16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contributions from noncontrolling interests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122</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the issuance of class C units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599</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of distributions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w w:val="92"/>
              </w:rPr>
              <w:t>(202)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(139)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the revolving credit facility</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551</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for the revolving credit facility</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(245)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issuance of long-term debt — external</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Proceeds from issuance of long-term debt — affiliate</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281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Payments of debt issuance costs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for long-term debt — external</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w w:val="92"/>
              </w:rPr>
              <w:t>(332)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(735)</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(416)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354</w:t>
            </w:r>
          </w:p>
        </w:tc>
      </w:tr>
      <w:tr>
        <w:trPr>
          <w:trHeight w:val="15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w w:val="92"/>
              </w:rPr>
              <w:t>(183)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(320)</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573</w:t>
            </w: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314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497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253</w:t>
            </w:r>
          </w:p>
        </w:tc>
      </w:tr>
      <w:tr>
        <w:trPr>
          <w:trHeight w:val="117"/>
        </w:trPr>
        <w:tc>
          <w:tcPr>
            <w:tcW w:w="84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paid, net of amount capitalized</w:t>
            </w:r>
          </w:p>
        </w:tc>
        <w:tc>
          <w:tcPr>
            <w:tcW w:w="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rPr>
              <w:t>(297)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rPr>
              <w:t>(279)</w:t>
            </w:r>
          </w:p>
        </w:tc>
      </w:tr>
      <w:tr>
        <w:trPr>
          <w:trHeight w:val="190"/>
        </w:trPr>
        <w:tc>
          <w:tcPr>
            <w:tcW w:w="8480" w:type="dxa"/>
            <w:vAlign w:val="bottom"/>
          </w:tcPr>
          <w:p>
            <w:pPr>
              <w:ind w:left="20"/>
              <w:spacing w:after="0"/>
              <w:rPr>
                <w:sz w:val="20"/>
                <w:szCs w:val="20"/>
                <w:color w:val="auto"/>
              </w:rPr>
            </w:pPr>
            <w:r>
              <w:rPr>
                <w:rFonts w:ascii="Arial" w:cs="Arial" w:eastAsia="Arial" w:hAnsi="Arial"/>
                <w:sz w:val="10"/>
                <w:szCs w:val="10"/>
                <w:b w:val="1"/>
                <w:bCs w:val="1"/>
                <w:color w:val="auto"/>
              </w:rPr>
              <w:t>Non-cash investing and financing activities:</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Additions to fixed assets for accrued capital expenditures</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rPr>
              <w:t>3</w:t>
            </w:r>
          </w:p>
        </w:tc>
      </w:tr>
      <w:tr>
        <w:trPr>
          <w:trHeight w:val="185"/>
        </w:trPr>
        <w:tc>
          <w:tcPr>
            <w:tcW w:w="8480" w:type="dxa"/>
            <w:vAlign w:val="bottom"/>
          </w:tcPr>
          <w:p>
            <w:pPr>
              <w:ind w:left="20"/>
              <w:spacing w:after="0"/>
              <w:rPr>
                <w:sz w:val="20"/>
                <w:szCs w:val="20"/>
                <w:color w:val="auto"/>
              </w:rPr>
            </w:pPr>
            <w:r>
              <w:rPr>
                <w:rFonts w:ascii="Arial" w:cs="Arial" w:eastAsia="Arial" w:hAnsi="Arial"/>
                <w:sz w:val="10"/>
                <w:szCs w:val="10"/>
                <w:color w:val="auto"/>
              </w:rPr>
              <w:t>Non-cash return of capital and distributions to NRG, net of contributions</w:t>
            </w:r>
          </w:p>
        </w:tc>
        <w:tc>
          <w:tcPr>
            <w:tcW w:w="580" w:type="dxa"/>
            <w:vAlign w:val="bottom"/>
          </w:tcPr>
          <w:p>
            <w:pPr>
              <w:ind w:left="20"/>
              <w:spacing w:after="0"/>
              <w:rPr>
                <w:sz w:val="20"/>
                <w:szCs w:val="20"/>
                <w:color w:val="auto"/>
              </w:rPr>
            </w:pPr>
            <w:r>
              <w:rPr>
                <w:rFonts w:ascii="Arial" w:cs="Arial" w:eastAsia="Arial" w:hAnsi="Arial"/>
                <w:sz w:val="10"/>
                <w:szCs w:val="10"/>
                <w:color w:val="auto"/>
              </w:rPr>
              <w:t>$</w:t>
            </w:r>
          </w:p>
        </w:tc>
        <w:tc>
          <w:tcPr>
            <w:tcW w:w="360" w:type="dxa"/>
            <w:vAlign w:val="bottom"/>
          </w:tcPr>
          <w:p>
            <w:pPr>
              <w:jc w:val="right"/>
              <w:ind w:right="42"/>
              <w:spacing w:after="0"/>
              <w:rPr>
                <w:sz w:val="20"/>
                <w:szCs w:val="20"/>
                <w:color w:val="auto"/>
              </w:rPr>
            </w:pPr>
            <w:r>
              <w:rPr>
                <w:rFonts w:ascii="Arial" w:cs="Arial" w:eastAsia="Arial" w:hAnsi="Arial"/>
                <w:sz w:val="10"/>
                <w:szCs w:val="10"/>
                <w:color w:val="auto"/>
              </w:rPr>
              <w:t>(2)</w:t>
            </w:r>
          </w:p>
        </w:tc>
        <w:tc>
          <w:tcPr>
            <w:tcW w:w="2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63"/>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2"/>
              <w:spacing w:after="0"/>
              <w:rPr>
                <w:sz w:val="20"/>
                <w:szCs w:val="20"/>
                <w:color w:val="auto"/>
              </w:rPr>
            </w:pPr>
            <w:r>
              <w:rPr>
                <w:rFonts w:ascii="Arial" w:cs="Arial" w:eastAsia="Arial" w:hAnsi="Arial"/>
                <w:sz w:val="10"/>
                <w:szCs w:val="1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134493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4930" cy="635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80"/>
          </w:cols>
          <w:pgMar w:left="220" w:top="710" w:right="199" w:bottom="1440" w:gutter="0" w:footer="0" w:header="0"/>
        </w:sectPr>
      </w:pPr>
    </w:p>
    <w:bookmarkStart w:id="68" w:name="page69"/>
    <w:bookmarkEnd w:id="68"/>
    <w:p>
      <w:pPr>
        <w:jc w:val="center"/>
        <w:ind w:right="-161"/>
        <w:spacing w:after="0"/>
        <w:rPr>
          <w:sz w:val="20"/>
          <w:szCs w:val="20"/>
          <w:color w:val="auto"/>
        </w:rPr>
      </w:pPr>
      <w:r>
        <w:rPr>
          <w:rFonts w:ascii="Arial" w:cs="Arial" w:eastAsia="Arial" w:hAnsi="Arial"/>
          <w:sz w:val="13"/>
          <w:szCs w:val="13"/>
          <w:b w:val="1"/>
          <w:bCs w:val="1"/>
          <w:color w:val="auto"/>
        </w:rPr>
        <w:t>NRG YIELD LLC</w:t>
      </w:r>
    </w:p>
    <w:p>
      <w:pPr>
        <w:spacing w:after="0" w:line="18" w:lineRule="exact"/>
        <w:rPr>
          <w:sz w:val="20"/>
          <w:szCs w:val="20"/>
          <w:color w:val="auto"/>
        </w:rPr>
      </w:pPr>
    </w:p>
    <w:p>
      <w:pPr>
        <w:jc w:val="center"/>
        <w:ind w:right="-161"/>
        <w:spacing w:after="0"/>
        <w:rPr>
          <w:sz w:val="20"/>
          <w:szCs w:val="20"/>
          <w:color w:val="auto"/>
        </w:rPr>
      </w:pPr>
      <w:r>
        <w:rPr>
          <w:rFonts w:ascii="Arial" w:cs="Arial" w:eastAsia="Arial" w:hAnsi="Arial"/>
          <w:sz w:val="13"/>
          <w:szCs w:val="13"/>
          <w:b w:val="1"/>
          <w:bCs w:val="1"/>
          <w:color w:val="auto"/>
        </w:rPr>
        <w:t>CONSOLIDATED STATEMENTS OF MEMBERS' EQUITY</w:t>
      </w:r>
    </w:p>
    <w:p>
      <w:pPr>
        <w:spacing w:after="0" w:line="293"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left="265"/>
              <w:spacing w:after="0"/>
              <w:rPr>
                <w:sz w:val="20"/>
                <w:szCs w:val="20"/>
                <w:color w:val="auto"/>
              </w:rPr>
            </w:pPr>
            <w:r>
              <w:rPr>
                <w:rFonts w:ascii="Arial" w:cs="Arial" w:eastAsia="Arial" w:hAnsi="Arial"/>
                <w:sz w:val="10"/>
                <w:szCs w:val="10"/>
                <w:b w:val="1"/>
                <w:bCs w:val="1"/>
                <w:color w:val="auto"/>
                <w:w w:val="92"/>
              </w:rPr>
              <w:t>Accumulated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left="265"/>
              <w:spacing w:after="0" w:line="107" w:lineRule="exact"/>
              <w:rPr>
                <w:sz w:val="20"/>
                <w:szCs w:val="20"/>
                <w:color w:val="auto"/>
              </w:rPr>
            </w:pPr>
            <w:r>
              <w:rPr>
                <w:rFonts w:ascii="Arial" w:cs="Arial" w:eastAsia="Arial" w:hAnsi="Arial"/>
                <w:sz w:val="10"/>
                <w:szCs w:val="10"/>
                <w:b w:val="1"/>
                <w:bCs w:val="1"/>
                <w:color w:val="auto"/>
                <w:w w:val="97"/>
              </w:rPr>
              <w:t>Other</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7"/>
        </w:trPr>
        <w:tc>
          <w:tcPr>
            <w:tcW w:w="49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Contributed Capital</w:t>
            </w:r>
          </w:p>
        </w:tc>
        <w:tc>
          <w:tcPr>
            <w:tcW w:w="10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140" w:type="dxa"/>
            <w:vAlign w:val="bottom"/>
          </w:tcPr>
          <w:p>
            <w:pPr>
              <w:jc w:val="center"/>
              <w:ind w:left="265"/>
              <w:spacing w:after="0" w:line="107" w:lineRule="exact"/>
              <w:rPr>
                <w:sz w:val="20"/>
                <w:szCs w:val="20"/>
                <w:color w:val="auto"/>
              </w:rPr>
            </w:pPr>
            <w:r>
              <w:rPr>
                <w:rFonts w:ascii="Arial" w:cs="Arial" w:eastAsia="Arial" w:hAnsi="Arial"/>
                <w:sz w:val="10"/>
                <w:szCs w:val="10"/>
                <w:b w:val="1"/>
                <w:bCs w:val="1"/>
                <w:color w:val="auto"/>
                <w:w w:val="93"/>
              </w:rPr>
              <w:t>Comprehensive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Noncontrolling Interest</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980" w:type="dxa"/>
            <w:vAlign w:val="bottom"/>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40" w:type="dxa"/>
            <w:vAlign w:val="bottom"/>
          </w:tcPr>
          <w:p>
            <w:pPr>
              <w:jc w:val="center"/>
              <w:ind w:left="245"/>
              <w:spacing w:after="0"/>
              <w:rPr>
                <w:sz w:val="20"/>
                <w:szCs w:val="20"/>
                <w:color w:val="auto"/>
              </w:rPr>
            </w:pPr>
            <w:r>
              <w:rPr>
                <w:rFonts w:ascii="Arial" w:cs="Arial" w:eastAsia="Arial" w:hAnsi="Arial"/>
                <w:sz w:val="10"/>
                <w:szCs w:val="10"/>
                <w:b w:val="1"/>
                <w:bCs w:val="1"/>
                <w:color w:val="auto"/>
                <w:w w:val="85"/>
              </w:rPr>
              <w:t>Loss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2"/>
              <w:spacing w:after="0"/>
              <w:rPr>
                <w:sz w:val="20"/>
                <w:szCs w:val="20"/>
                <w:color w:val="auto"/>
              </w:rPr>
            </w:pPr>
            <w:r>
              <w:rPr>
                <w:rFonts w:ascii="Arial" w:cs="Arial" w:eastAsia="Arial" w:hAnsi="Arial"/>
                <w:sz w:val="10"/>
                <w:szCs w:val="10"/>
                <w:b w:val="1"/>
                <w:bCs w:val="1"/>
                <w:color w:val="auto"/>
                <w:w w:val="95"/>
              </w:rPr>
              <w:t>Members' Equity</w:t>
            </w: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 xml:space="preserve">Balances at December 31, 2014 </w:t>
            </w:r>
            <w:r>
              <w:rPr>
                <w:rFonts w:ascii="Arial" w:cs="Arial" w:eastAsia="Arial" w:hAnsi="Arial"/>
                <w:sz w:val="15"/>
                <w:szCs w:val="15"/>
                <w:b w:val="1"/>
                <w:bCs w:val="1"/>
                <w:color w:val="auto"/>
                <w:vertAlign w:val="superscript"/>
              </w:rPr>
              <w:t>(a)</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2,308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334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2,695</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Members' equity - Acquired Drop Down Assets</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0"/>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Balances at December 31, 2014</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2,516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199</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2,757</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Net income (loss)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Unrealized loss on derivatives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32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Payment for January 2015 and November 2015 Drop Down Assets</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Distributions and returns of capital to NRG, net of contributions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Capital contributions from NRG, non-cash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Capital contributions from tax equity investors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Noncontrolling interest acquired in Spring Canyon acquisition</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Proceeds from the issuance of Class C units</w:t>
            </w:r>
          </w:p>
        </w:tc>
        <w:tc>
          <w:tcPr>
            <w:tcW w:w="360" w:type="dxa"/>
            <w:vAlign w:val="bottom"/>
          </w:tcPr>
          <w:p>
            <w:pPr>
              <w:spacing w:after="0"/>
              <w:rPr>
                <w:sz w:val="13"/>
                <w:szCs w:val="13"/>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3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December 31, 2015</w:t>
            </w:r>
          </w:p>
        </w:tc>
        <w:tc>
          <w:tcPr>
            <w:tcW w:w="36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2,364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107</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2,705</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Net income (loss)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Unrealized loss on derivatives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Payment for CVSR Drop Down Asset</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Capital contributions from tax equity investors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Distributions paid to NRG, net of contributions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Distributions paid to NRG, net of contributions, non-cash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Yield, Inc., non-cash</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3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December 31, 2016</w:t>
            </w:r>
          </w:p>
        </w:tc>
        <w:tc>
          <w:tcPr>
            <w:tcW w:w="36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2,179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2,364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Unrealized gain on derivatives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4980" w:type="dxa"/>
            <w:vAlign w:val="bottom"/>
          </w:tcPr>
          <w:p>
            <w:pPr>
              <w:ind w:left="20"/>
              <w:spacing w:after="0"/>
              <w:rPr>
                <w:sz w:val="20"/>
                <w:szCs w:val="20"/>
                <w:color w:val="auto"/>
              </w:rPr>
            </w:pPr>
            <w:r>
              <w:rPr>
                <w:rFonts w:ascii="Arial" w:cs="Arial" w:eastAsia="Arial" w:hAnsi="Arial"/>
                <w:sz w:val="12"/>
                <w:szCs w:val="12"/>
                <w:color w:val="auto"/>
              </w:rPr>
              <w:t>Payments for the March 2017, August 2017 and November 2017 Drop Down Assets</w:t>
            </w:r>
          </w:p>
        </w:tc>
        <w:tc>
          <w:tcPr>
            <w:tcW w:w="360" w:type="dxa"/>
            <w:vAlign w:val="bottom"/>
          </w:tcPr>
          <w:p>
            <w:pPr>
              <w:spacing w:after="0"/>
              <w:rPr>
                <w:sz w:val="14"/>
                <w:szCs w:val="14"/>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August 2017 Drop Down Assets contingent consideration</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Capital contributions from tax equity investors, net of distributions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the issuance of Class C units</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net of contributions</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NRG, net of contributions, non-cash</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50"/>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Balances at December 31, 2017</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1,897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36969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191" w:lineRule="exact"/>
        <w:rPr>
          <w:sz w:val="20"/>
          <w:szCs w:val="20"/>
          <w:color w:val="auto"/>
        </w:rPr>
      </w:pPr>
    </w:p>
    <w:p>
      <w:pPr>
        <w:ind w:left="102" w:hanging="102"/>
        <w:spacing w:after="0"/>
        <w:tabs>
          <w:tab w:leader="none" w:pos="102" w:val="left"/>
        </w:tabs>
        <w:numPr>
          <w:ilvl w:val="0"/>
          <w:numId w:val="30"/>
        </w:numPr>
        <w:rPr>
          <w:rFonts w:ascii="Arial" w:cs="Arial" w:eastAsia="Arial" w:hAnsi="Arial"/>
          <w:sz w:val="6"/>
          <w:szCs w:val="6"/>
          <w:color w:val="auto"/>
        </w:rPr>
      </w:pPr>
      <w:r>
        <w:rPr>
          <w:rFonts w:ascii="Arial" w:cs="Arial" w:eastAsia="Arial" w:hAnsi="Arial"/>
          <w:sz w:val="10"/>
          <w:szCs w:val="10"/>
          <w:color w:val="auto"/>
        </w:rPr>
        <w:t>As previously reported in the Company's consolidated financial statements for the year ended December 31, 2016, included in the Company's May 9, 2017 Form 8-K.</w:t>
      </w:r>
    </w:p>
    <w:p>
      <w:pPr>
        <w:spacing w:after="0" w:line="9" w:lineRule="exact"/>
        <w:rPr>
          <w:rFonts w:ascii="Arial" w:cs="Arial" w:eastAsia="Arial" w:hAnsi="Arial"/>
          <w:sz w:val="6"/>
          <w:szCs w:val="6"/>
          <w:color w:val="auto"/>
        </w:rPr>
      </w:pPr>
    </w:p>
    <w:p>
      <w:pPr>
        <w:ind w:left="102" w:hanging="102"/>
        <w:spacing w:after="0"/>
        <w:tabs>
          <w:tab w:leader="none" w:pos="102" w:val="left"/>
        </w:tabs>
        <w:numPr>
          <w:ilvl w:val="0"/>
          <w:numId w:val="30"/>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p>
    <w:p>
      <w:pPr>
        <w:spacing w:after="0" w:line="163" w:lineRule="exact"/>
        <w:rPr>
          <w:sz w:val="20"/>
          <w:szCs w:val="20"/>
          <w:color w:val="auto"/>
        </w:rPr>
      </w:pPr>
    </w:p>
    <w:p>
      <w:pPr>
        <w:jc w:val="center"/>
        <w:ind w:right="-161"/>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61"/>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02"/>
          </w:cols>
          <w:pgMar w:left="218" w:top="710" w:right="37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b w:val="1"/>
          <w:bCs w:val="1"/>
          <w:color w:val="auto"/>
        </w:rPr>
        <w:t>NRG YIELD LLC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Nature of Business</w:t>
      </w:r>
    </w:p>
    <w:p>
      <w:pPr>
        <w:spacing w:after="0" w:line="12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NRG Yield LLC, together with its consolidated subsidiaries, or the Company, is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Midwest and California regions of the U.S.</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Yield, Inc. closed its initial public offering of Class A common stock in July 2013, which was then followed by a Class A common stock offering in July 2014, a Recapitalization in May 2015, as described below, and a Class C common stock offering in June 2015.</w:t>
      </w:r>
    </w:p>
    <w:p>
      <w:pPr>
        <w:spacing w:after="0" w:line="90"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represents the structure of the Company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107950</wp:posOffset>
            </wp:positionV>
            <wp:extent cx="3947795" cy="3115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47795" cy="311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80"/>
          </w:cols>
          <w:pgMar w:left="220" w:top="709" w:right="199" w:bottom="1440" w:gutter="0" w:footer="0" w:header="0"/>
        </w:sectPr>
      </w:pPr>
    </w:p>
    <w:bookmarkStart w:id="70" w:name="page71"/>
    <w:bookmarkEnd w:id="70"/>
    <w:p>
      <w:pPr>
        <w:jc w:val="both"/>
        <w:ind w:firstLine="291"/>
        <w:spacing w:after="0" w:line="260" w:lineRule="auto"/>
        <w:rPr>
          <w:sz w:val="20"/>
          <w:szCs w:val="20"/>
          <w:color w:val="auto"/>
        </w:rPr>
      </w:pPr>
      <w:r>
        <w:rPr>
          <w:rFonts w:ascii="Arial" w:cs="Arial" w:eastAsia="Arial" w:hAnsi="Arial"/>
          <w:sz w:val="13"/>
          <w:szCs w:val="13"/>
          <w:color w:val="auto"/>
        </w:rPr>
        <w:t>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w:t>
      </w:r>
    </w:p>
    <w:p>
      <w:pPr>
        <w:spacing w:after="0" w:line="19" w:lineRule="exact"/>
        <w:rPr>
          <w:sz w:val="20"/>
          <w:szCs w:val="20"/>
          <w:color w:val="auto"/>
        </w:rPr>
      </w:pPr>
    </w:p>
    <w:p>
      <w:pPr>
        <w:jc w:val="both"/>
        <w:ind w:firstLine="291"/>
        <w:spacing w:after="0" w:line="285" w:lineRule="auto"/>
        <w:rPr>
          <w:sz w:val="20"/>
          <w:szCs w:val="20"/>
          <w:color w:val="auto"/>
        </w:rPr>
      </w:pPr>
      <w:r>
        <w:rPr>
          <w:rFonts w:ascii="Arial" w:cs="Arial" w:eastAsia="Arial" w:hAnsi="Arial"/>
          <w:sz w:val="12"/>
          <w:szCs w:val="12"/>
          <w:color w:val="auto"/>
        </w:rPr>
        <w:t xml:space="preserve">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The Company expects the NRG Transaction to close in the second half of 2018. NRG is the Company's controlling stockholder and the Company has been highly dependent on NRG for, among other things, growth opportunities and management and administration services. See Part I,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for risks related to the Strategic Sponsorship with GIP and the Company's relationship with NRG.</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Company's operating assets are comprised of the following projects: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16"/>
              <w:spacing w:after="0"/>
              <w:rPr>
                <w:sz w:val="20"/>
                <w:szCs w:val="20"/>
                <w:color w:val="auto"/>
              </w:rPr>
            </w:pPr>
            <w:r>
              <w:rPr>
                <w:rFonts w:ascii="Arial" w:cs="Arial" w:eastAsia="Arial" w:hAnsi="Arial"/>
                <w:sz w:val="12"/>
                <w:szCs w:val="12"/>
                <w:b w:val="1"/>
                <w:bCs w:val="1"/>
                <w:color w:val="auto"/>
              </w:rPr>
              <w:t>Net Capacity</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Projects</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w w:val="90"/>
              </w:rPr>
              <w:t>Percentage Ownership</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2"/>
                <w:szCs w:val="12"/>
                <w:b w:val="1"/>
                <w:bCs w:val="1"/>
                <w:color w:val="auto"/>
              </w:rPr>
              <w:t xml:space="preserve">(MW) </w:t>
            </w:r>
            <w:r>
              <w:rPr>
                <w:rFonts w:ascii="Arial" w:cs="Arial" w:eastAsia="Arial" w:hAnsi="Arial"/>
                <w:sz w:val="15"/>
                <w:szCs w:val="15"/>
                <w:b w:val="1"/>
                <w:bCs w:val="1"/>
                <w:color w:val="auto"/>
                <w:vertAlign w:val="superscript"/>
              </w:rPr>
              <w:t>(a)</w:t>
            </w:r>
          </w:p>
        </w:tc>
        <w:tc>
          <w:tcPr>
            <w:tcW w:w="120" w:type="dxa"/>
            <w:vAlign w:val="bottom"/>
            <w:tcBorders>
              <w:bottom w:val="single" w:sz="8" w:color="CCEEFF"/>
            </w:tcBorders>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Offtake Counterparty</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Expiration</w:t>
            </w: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Conventional</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El Segundo</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2023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GenConn Devon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Connecticut Light &amp;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2040</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GenConn Middletown</w:t>
            </w:r>
          </w:p>
        </w:tc>
        <w:tc>
          <w:tcPr>
            <w:tcW w:w="128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Connecticut Light &amp; Power</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2041</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Marsh Landing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2023</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Walnut Creek</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485</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2023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4"/>
        </w:trPr>
        <w:tc>
          <w:tcPr>
            <w:tcW w:w="4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1,945</w:t>
            </w:r>
          </w:p>
        </w:tc>
        <w:tc>
          <w:tcPr>
            <w:tcW w:w="1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60"/>
        </w:trPr>
        <w:tc>
          <w:tcPr>
            <w:tcW w:w="4460" w:type="dxa"/>
            <w:vAlign w:val="bottom"/>
            <w:gridSpan w:val="2"/>
          </w:tcPr>
          <w:p>
            <w:pPr>
              <w:ind w:left="20"/>
              <w:spacing w:after="0"/>
              <w:rPr>
                <w:sz w:val="20"/>
                <w:szCs w:val="20"/>
                <w:color w:val="auto"/>
              </w:rPr>
            </w:pPr>
            <w:r>
              <w:rPr>
                <w:rFonts w:ascii="Arial" w:cs="Arial" w:eastAsia="Arial" w:hAnsi="Arial"/>
                <w:sz w:val="12"/>
                <w:szCs w:val="12"/>
                <w:i w:val="1"/>
                <w:iCs w:val="1"/>
                <w:color w:val="auto"/>
              </w:rPr>
              <w:t>Utility Scale Solar</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Agua Caliente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2039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Alpine</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Avenal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2031</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Avra Valley</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Tucson Electric Power</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2032</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Blythe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2029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Borrego</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San Diego Gas and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2038</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CVSR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2038</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Desert Sunlight 250</w:t>
            </w:r>
          </w:p>
        </w:tc>
        <w:tc>
          <w:tcPr>
            <w:tcW w:w="128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2034</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Desert Sunlight 300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Kansas South</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Roadrunner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El Paso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2031</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TA High Desert</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Utah Solar Portfolio</w:t>
            </w:r>
            <w:r>
              <w:rPr>
                <w:rFonts w:ascii="Arial" w:cs="Arial" w:eastAsia="Arial" w:hAnsi="Arial"/>
                <w:sz w:val="15"/>
                <w:szCs w:val="15"/>
                <w:color w:val="auto"/>
                <w:vertAlign w:val="superscript"/>
              </w:rPr>
              <w:t>(b)(e)</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2036</w:t>
            </w:r>
          </w:p>
        </w:tc>
      </w:tr>
      <w:tr>
        <w:trPr>
          <w:trHeight w:val="164"/>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Distributed Solar</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Apple I LLC Projects</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2032</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AZ DG Solar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7"/>
              </w:rPr>
              <w:t>2025-2033</w:t>
            </w:r>
          </w:p>
        </w:tc>
      </w:tr>
      <w:tr>
        <w:trPr>
          <w:trHeight w:val="170"/>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SPP Projects</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Pr>
          <w:p>
            <w:pPr>
              <w:jc w:val="center"/>
              <w:spacing w:after="0"/>
              <w:rPr>
                <w:sz w:val="20"/>
                <w:szCs w:val="20"/>
                <w:color w:val="auto"/>
              </w:rPr>
            </w:pPr>
            <w:r>
              <w:rPr>
                <w:rFonts w:ascii="Arial" w:cs="Arial" w:eastAsia="Arial" w:hAnsi="Arial"/>
                <w:sz w:val="12"/>
                <w:szCs w:val="12"/>
                <w:color w:val="auto"/>
                <w:w w:val="87"/>
              </w:rPr>
              <w:t>2026-2037</w:t>
            </w:r>
          </w:p>
        </w:tc>
      </w:tr>
      <w:tr>
        <w:trPr>
          <w:trHeight w:val="24"/>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Other DG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7"/>
              </w:rPr>
              <w:t>2023-2039</w:t>
            </w:r>
          </w:p>
        </w:tc>
      </w:tr>
      <w:tr>
        <w:trPr>
          <w:trHeight w:val="164"/>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Wind</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I</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Alta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2035</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III</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Alta IV</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2035</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V</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 xml:space="preserve">Alta X </w:t>
            </w:r>
            <w:r>
              <w:rPr>
                <w:rFonts w:ascii="Arial" w:cs="Arial" w:eastAsia="Arial" w:hAnsi="Arial"/>
                <w:sz w:val="15"/>
                <w:szCs w:val="15"/>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2038</w:t>
            </w:r>
          </w:p>
        </w:tc>
      </w:tr>
      <w:tr>
        <w:trPr>
          <w:trHeight w:val="19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 xml:space="preserve">Alta XI </w:t>
            </w:r>
            <w:r>
              <w:rPr>
                <w:rFonts w:ascii="Arial" w:cs="Arial" w:eastAsia="Arial" w:hAnsi="Arial"/>
                <w:sz w:val="15"/>
                <w:szCs w:val="15"/>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2038</w:t>
            </w: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Buffalo Bear</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3"/>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2033</w:t>
            </w:r>
          </w:p>
        </w:tc>
      </w:tr>
      <w:tr>
        <w:trPr>
          <w:trHeight w:val="329"/>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3"/>
                <w:szCs w:val="13"/>
                <w:color w:val="auto"/>
              </w:rPr>
              <w:t>71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714" w:right="219" w:bottom="1440" w:gutter="0" w:footer="0" w:header="0"/>
        </w:sectPr>
      </w:pPr>
    </w:p>
    <w:bookmarkStart w:id="71" w:name="page72"/>
    <w:bookmarkEnd w:id="71"/>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17"/>
              <w:spacing w:after="0"/>
              <w:rPr>
                <w:sz w:val="20"/>
                <w:szCs w:val="20"/>
                <w:color w:val="auto"/>
              </w:rPr>
            </w:pPr>
            <w:r>
              <w:rPr>
                <w:rFonts w:ascii="Arial" w:cs="Arial" w:eastAsia="Arial" w:hAnsi="Arial"/>
                <w:sz w:val="12"/>
                <w:szCs w:val="12"/>
                <w:b w:val="1"/>
                <w:bCs w:val="1"/>
                <w:color w:val="auto"/>
              </w:rPr>
              <w:t>Net Capacity</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4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Projects</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w w:val="90"/>
              </w:rPr>
              <w:t>Percentage Ownership</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b w:val="1"/>
                <w:bCs w:val="1"/>
                <w:color w:val="auto"/>
              </w:rPr>
              <w:t xml:space="preserve">(MW) </w:t>
            </w:r>
            <w:r>
              <w:rPr>
                <w:rFonts w:ascii="Arial" w:cs="Arial" w:eastAsia="Arial" w:hAnsi="Arial"/>
                <w:sz w:val="15"/>
                <w:szCs w:val="15"/>
                <w:b w:val="1"/>
                <w:bCs w:val="1"/>
                <w:color w:val="auto"/>
                <w:vertAlign w:val="superscript"/>
              </w:rPr>
              <w:t>(a)</w:t>
            </w:r>
          </w:p>
        </w:tc>
        <w:tc>
          <w:tcPr>
            <w:tcW w:w="12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Offtake Counterparty</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Crosswinds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Corn Belt Power Cooperative</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Elbow Creek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2022</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Elkhorn Ridge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Nebraska Public Power District</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2029</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Forward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2022</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Goat Wind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Dow Pipeline Company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2025</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Hardin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Laredo Ridge</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Nebraska Public Power District</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Lookout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2030</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line="194" w:lineRule="exact"/>
              <w:rPr>
                <w:sz w:val="20"/>
                <w:szCs w:val="20"/>
                <w:color w:val="auto"/>
              </w:rPr>
            </w:pPr>
            <w:r>
              <w:rPr>
                <w:rFonts w:ascii="Arial" w:cs="Arial" w:eastAsia="Arial" w:hAnsi="Arial"/>
                <w:sz w:val="22"/>
                <w:szCs w:val="22"/>
                <w:color w:val="auto"/>
                <w:vertAlign w:val="subscript"/>
              </w:rPr>
              <w:t>Odin</w:t>
            </w:r>
            <w:r>
              <w:rPr>
                <w:rFonts w:ascii="Arial" w:cs="Arial" w:eastAsia="Arial" w:hAnsi="Arial"/>
                <w:sz w:val="8"/>
                <w:szCs w:val="8"/>
                <w:color w:val="auto"/>
              </w:rPr>
              <w:t xml:space="preserve"> (b)(f)</w:t>
            </w:r>
          </w:p>
        </w:tc>
        <w:tc>
          <w:tcPr>
            <w:tcW w:w="1280" w:type="dxa"/>
            <w:vAlign w:val="bottom"/>
          </w:tcPr>
          <w:p>
            <w:pPr>
              <w:jc w:val="right"/>
              <w:spacing w:after="0"/>
              <w:rPr>
                <w:sz w:val="20"/>
                <w:szCs w:val="20"/>
                <w:color w:val="auto"/>
              </w:rPr>
            </w:pPr>
            <w:r>
              <w:rPr>
                <w:rFonts w:ascii="Arial" w:cs="Arial" w:eastAsia="Arial" w:hAnsi="Arial"/>
                <w:sz w:val="13"/>
                <w:szCs w:val="13"/>
                <w:color w:val="auto"/>
              </w:rPr>
              <w:t>99.9%</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Missouri River Energy Services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2028</w:t>
            </w:r>
          </w:p>
        </w:tc>
        <w:tc>
          <w:tcPr>
            <w:tcW w:w="0" w:type="dxa"/>
            <w:vAlign w:val="bottom"/>
          </w:tcPr>
          <w:p>
            <w:pPr>
              <w:spacing w:after="0"/>
              <w:rPr>
                <w:sz w:val="1"/>
                <w:szCs w:val="1"/>
                <w:color w:val="auto"/>
              </w:rPr>
            </w:pPr>
          </w:p>
        </w:tc>
      </w:tr>
      <w:tr>
        <w:trPr>
          <w:trHeight w:val="158"/>
        </w:trPr>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Maryland Department of General Services and University System</w:t>
            </w: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CCEEFF"/>
            </w:tcBorders>
            <w:shd w:val="clear" w:color="auto" w:fill="CCEEFF"/>
          </w:tcPr>
          <w:p>
            <w:pPr>
              <w:spacing w:after="0"/>
              <w:rPr>
                <w:sz w:val="13"/>
                <w:szCs w:val="13"/>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Pinnacle</w:t>
            </w:r>
          </w:p>
        </w:tc>
        <w:tc>
          <w:tcPr>
            <w:tcW w:w="12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of Maryland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San Juan Mesa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0"/>
                <w:szCs w:val="10"/>
                <w:color w:val="auto"/>
                <w:w w:val="93"/>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2025</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Sleeping Bear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2032</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South Trent</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AEP Energy Partners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2029</w:t>
            </w: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Spanish Fork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2028</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Spring Canyon II </w:t>
            </w:r>
            <w:r>
              <w:rPr>
                <w:rFonts w:ascii="Arial" w:cs="Arial" w:eastAsia="Arial" w:hAnsi="Arial"/>
                <w:sz w:val="15"/>
                <w:szCs w:val="15"/>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2"/>
                <w:szCs w:val="12"/>
                <w:color w:val="auto"/>
              </w:rPr>
              <w:t>90.1%</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Platte River Power Authority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2039</w:t>
            </w: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w w:val="90"/>
                <w:shd w:val="clear" w:color="auto" w:fill="CCEEFF"/>
              </w:rPr>
              <w:t>Spring Canyon III</w:t>
            </w:r>
          </w:p>
        </w:tc>
        <w:tc>
          <w:tcPr>
            <w:tcW w:w="3280" w:type="dxa"/>
            <w:vAlign w:val="bottom"/>
            <w:shd w:val="clear" w:color="auto" w:fill="CCEEFF"/>
          </w:tcPr>
          <w:p>
            <w:pPr>
              <w:spacing w:after="0"/>
              <w:rPr>
                <w:sz w:val="20"/>
                <w:szCs w:val="20"/>
                <w:color w:val="auto"/>
              </w:rPr>
            </w:pPr>
            <w:r>
              <w:rPr>
                <w:rFonts w:ascii="Arial" w:cs="Arial" w:eastAsia="Arial" w:hAnsi="Arial"/>
                <w:sz w:val="8"/>
                <w:szCs w:val="8"/>
                <w:color w:val="auto"/>
                <w:shd w:val="clear" w:color="auto" w:fill="CCEEFF"/>
              </w:rPr>
              <w:t>(b)</w:t>
            </w:r>
          </w:p>
        </w:tc>
        <w:tc>
          <w:tcPr>
            <w:tcW w:w="1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90.1%</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0"/>
                <w:szCs w:val="10"/>
                <w:color w:val="auto"/>
              </w:rPr>
            </w:pPr>
          </w:p>
        </w:tc>
        <w:tc>
          <w:tcPr>
            <w:tcW w:w="3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shd w:val="clear" w:color="auto" w:fill="CCEEFF"/>
              </w:rPr>
              <w:t>Platte River Power Authority</w:t>
            </w:r>
          </w:p>
        </w:tc>
        <w:tc>
          <w:tcPr>
            <w:tcW w:w="100" w:type="dxa"/>
            <w:vAlign w:val="bottom"/>
            <w:vMerge w:val="restart"/>
            <w:shd w:val="clear" w:color="auto" w:fill="CCEEFF"/>
          </w:tcPr>
          <w:p>
            <w:pPr>
              <w:spacing w:after="0"/>
              <w:rPr>
                <w:sz w:val="10"/>
                <w:szCs w:val="10"/>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2039</w:t>
            </w:r>
          </w:p>
        </w:tc>
        <w:tc>
          <w:tcPr>
            <w:tcW w:w="0" w:type="dxa"/>
            <w:vAlign w:val="bottom"/>
          </w:tcPr>
          <w:p>
            <w:pPr>
              <w:spacing w:after="0"/>
              <w:rPr>
                <w:sz w:val="1"/>
                <w:szCs w:val="1"/>
                <w:color w:val="auto"/>
              </w:rPr>
            </w:pPr>
          </w:p>
        </w:tc>
      </w:tr>
      <w:tr>
        <w:trPr>
          <w:trHeight w:val="55"/>
        </w:trPr>
        <w:tc>
          <w:tcPr>
            <w:tcW w:w="20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gridSpan w:val="2"/>
            <w:vMerge w:val="continue"/>
            <w:shd w:val="clear" w:color="auto" w:fill="CCEEFF"/>
          </w:tcPr>
          <w:p>
            <w:pPr>
              <w:spacing w:after="0"/>
              <w:rPr>
                <w:sz w:val="4"/>
                <w:szCs w:val="4"/>
                <w:color w:val="auto"/>
              </w:rPr>
            </w:pPr>
          </w:p>
        </w:tc>
        <w:tc>
          <w:tcPr>
            <w:tcW w:w="32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1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14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Taloga</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Oklahoma Gas &amp;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92"/>
                <w:shd w:val="clear" w:color="auto" w:fill="CCEEFF"/>
              </w:rPr>
              <w:t>Wildorado</w:t>
            </w:r>
          </w:p>
        </w:tc>
        <w:tc>
          <w:tcPr>
            <w:tcW w:w="340" w:type="dxa"/>
            <w:vAlign w:val="bottom"/>
            <w:shd w:val="clear" w:color="auto" w:fill="CCEEFF"/>
          </w:tcPr>
          <w:p>
            <w:pPr>
              <w:spacing w:after="0"/>
              <w:rPr>
                <w:sz w:val="20"/>
                <w:szCs w:val="20"/>
                <w:color w:val="auto"/>
              </w:rPr>
            </w:pPr>
            <w:r>
              <w:rPr>
                <w:rFonts w:ascii="Arial" w:cs="Arial" w:eastAsia="Arial" w:hAnsi="Arial"/>
                <w:sz w:val="8"/>
                <w:szCs w:val="8"/>
                <w:color w:val="auto"/>
                <w:shd w:val="clear" w:color="auto" w:fill="CCEEFF"/>
              </w:rPr>
              <w:t>(b)(f)</w:t>
            </w:r>
          </w:p>
        </w:tc>
        <w:tc>
          <w:tcPr>
            <w:tcW w:w="3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2"/>
                <w:szCs w:val="12"/>
                <w:color w:val="auto"/>
              </w:rPr>
              <w:t>161</w:t>
            </w:r>
          </w:p>
        </w:tc>
        <w:tc>
          <w:tcPr>
            <w:tcW w:w="120" w:type="dxa"/>
            <w:vAlign w:val="bottom"/>
            <w:shd w:val="clear" w:color="auto" w:fill="CCEEFF"/>
          </w:tcPr>
          <w:p>
            <w:pPr>
              <w:spacing w:after="0"/>
              <w:rPr>
                <w:sz w:val="10"/>
                <w:szCs w:val="10"/>
                <w:color w:val="auto"/>
              </w:rPr>
            </w:pPr>
          </w:p>
        </w:tc>
        <w:tc>
          <w:tcPr>
            <w:tcW w:w="318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3"/>
                <w:shd w:val="clear" w:color="auto" w:fill="CCEEFF"/>
              </w:rPr>
              <w:t>Southwestern Public Service Company</w:t>
            </w:r>
          </w:p>
        </w:tc>
        <w:tc>
          <w:tcPr>
            <w:tcW w:w="100" w:type="dxa"/>
            <w:vAlign w:val="bottom"/>
            <w:vMerge w:val="restart"/>
            <w:shd w:val="clear" w:color="auto" w:fill="CCEEFF"/>
          </w:tcPr>
          <w:p>
            <w:pPr>
              <w:spacing w:after="0"/>
              <w:rPr>
                <w:sz w:val="10"/>
                <w:szCs w:val="10"/>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75"/>
        </w:trPr>
        <w:tc>
          <w:tcPr>
            <w:tcW w:w="2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32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1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2,200</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shd w:val="clear" w:color="auto" w:fill="CCEEFF"/>
              </w:rPr>
              <w:t>Thermal</w:t>
            </w:r>
          </w:p>
        </w:tc>
        <w:tc>
          <w:tcPr>
            <w:tcW w:w="3740" w:type="dxa"/>
            <w:vAlign w:val="bottom"/>
            <w:tcBorders>
              <w:bottom w:val="single" w:sz="8" w:color="CCEEFF"/>
            </w:tcBorders>
            <w:gridSpan w:val="3"/>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NRG Energy Center Dover LLC</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NRG Power Marketing LLC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Thermal generation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8"/>
              </w:rPr>
              <w:t>Various</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Total net generation capacity</w:t>
            </w:r>
            <w:r>
              <w:rPr>
                <w:rFonts w:ascii="Arial" w:cs="Arial" w:eastAsia="Arial" w:hAnsi="Arial"/>
                <w:sz w:val="15"/>
                <w:szCs w:val="15"/>
                <w:color w:val="auto"/>
                <w:vertAlign w:val="superscript"/>
              </w:rPr>
              <w:t>(c)</w:t>
            </w: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5,241</w:t>
            </w:r>
          </w:p>
        </w:tc>
        <w:tc>
          <w:tcPr>
            <w:tcW w:w="1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Thermal equivalent MWt</w:t>
            </w:r>
            <w:r>
              <w:rPr>
                <w:rFonts w:ascii="Arial" w:cs="Arial" w:eastAsia="Arial" w:hAnsi="Arial"/>
                <w:sz w:val="15"/>
                <w:szCs w:val="15"/>
                <w:color w:val="auto"/>
                <w:vertAlign w:val="superscript"/>
              </w:rPr>
              <w:t>(d)</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284353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3530" cy="6350"/>
                    </a:xfrm>
                    <a:prstGeom prst="rect">
                      <a:avLst/>
                    </a:prstGeom>
                    <a:noFill/>
                  </pic:spPr>
                </pic:pic>
              </a:graphicData>
            </a:graphic>
          </wp:anchor>
        </w:drawing>
      </w:r>
    </w:p>
    <w:p>
      <w:pPr>
        <w:spacing w:after="0" w:line="200" w:lineRule="exact"/>
        <w:rPr>
          <w:sz w:val="20"/>
          <w:szCs w:val="20"/>
          <w:color w:val="auto"/>
        </w:rPr>
      </w:pPr>
    </w:p>
    <w:p>
      <w:pPr>
        <w:ind w:left="102" w:hanging="102"/>
        <w:spacing w:after="0"/>
        <w:tabs>
          <w:tab w:leader="none" w:pos="102" w:val="left"/>
        </w:tabs>
        <w:numPr>
          <w:ilvl w:val="0"/>
          <w:numId w:val="31"/>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spacing w:after="0" w:line="15" w:lineRule="exact"/>
        <w:rPr>
          <w:rFonts w:ascii="Arial" w:cs="Arial" w:eastAsia="Arial" w:hAnsi="Arial"/>
          <w:sz w:val="6"/>
          <w:szCs w:val="6"/>
          <w:color w:val="auto"/>
        </w:rPr>
      </w:pPr>
    </w:p>
    <w:p>
      <w:pPr>
        <w:ind w:left="102" w:hanging="102"/>
        <w:spacing w:after="0"/>
        <w:tabs>
          <w:tab w:leader="none" w:pos="102" w:val="left"/>
        </w:tabs>
        <w:numPr>
          <w:ilvl w:val="0"/>
          <w:numId w:val="31"/>
        </w:numPr>
        <w:rPr>
          <w:rFonts w:ascii="Arial" w:cs="Arial" w:eastAsia="Arial" w:hAnsi="Arial"/>
          <w:sz w:val="6"/>
          <w:szCs w:val="6"/>
          <w:color w:val="auto"/>
        </w:rPr>
      </w:pPr>
      <w:r>
        <w:rPr>
          <w:rFonts w:ascii="Arial" w:cs="Arial" w:eastAsia="Arial" w:hAnsi="Arial"/>
          <w:sz w:val="10"/>
          <w:szCs w:val="10"/>
          <w:color w:val="auto"/>
        </w:rPr>
        <w:t>Projects are part of tax equity arrangements.</w:t>
      </w:r>
    </w:p>
    <w:p>
      <w:pPr>
        <w:spacing w:after="0" w:line="11" w:lineRule="exact"/>
        <w:rPr>
          <w:rFonts w:ascii="Arial" w:cs="Arial" w:eastAsia="Arial" w:hAnsi="Arial"/>
          <w:sz w:val="6"/>
          <w:szCs w:val="6"/>
          <w:color w:val="auto"/>
        </w:rPr>
      </w:pPr>
    </w:p>
    <w:p>
      <w:pPr>
        <w:ind w:left="82" w:hanging="82"/>
        <w:spacing w:after="0"/>
        <w:tabs>
          <w:tab w:leader="none" w:pos="82" w:val="left"/>
        </w:tabs>
        <w:numPr>
          <w:ilvl w:val="0"/>
          <w:numId w:val="31"/>
        </w:numPr>
        <w:rPr>
          <w:rFonts w:ascii="Arial" w:cs="Arial" w:eastAsia="Arial" w:hAnsi="Arial"/>
          <w:sz w:val="6"/>
          <w:szCs w:val="6"/>
          <w:color w:val="auto"/>
        </w:rPr>
      </w:pPr>
      <w:r>
        <w:rPr>
          <w:rFonts w:ascii="Arial" w:cs="Arial" w:eastAsia="Arial" w:hAnsi="Arial"/>
          <w:sz w:val="10"/>
          <w:szCs w:val="10"/>
          <w:color w:val="auto"/>
        </w:rPr>
        <w:t>The Company's total generation capacity is net of 6 MWs for noncontrolling interest for Spring Canyon II and III. The Company's generation capacity including this noncontrolling interest was 5,247.</w:t>
      </w:r>
    </w:p>
    <w:p>
      <w:pPr>
        <w:spacing w:after="0" w:line="11" w:lineRule="exact"/>
        <w:rPr>
          <w:sz w:val="20"/>
          <w:szCs w:val="20"/>
          <w:color w:val="auto"/>
        </w:rPr>
      </w:pPr>
    </w:p>
    <w:p>
      <w:pPr>
        <w:ind w:left="2"/>
        <w:spacing w:after="0"/>
        <w:rPr>
          <w:sz w:val="20"/>
          <w:szCs w:val="20"/>
          <w:color w:val="auto"/>
        </w:rPr>
      </w:pPr>
      <w:r>
        <w:rPr>
          <w:rFonts w:ascii="Arial" w:cs="Arial" w:eastAsia="Arial" w:hAnsi="Arial"/>
          <w:sz w:val="6"/>
          <w:szCs w:val="6"/>
          <w:color w:val="auto"/>
        </w:rPr>
        <w:t>(d)</w:t>
      </w:r>
      <w:r>
        <w:rPr>
          <w:rFonts w:ascii="Arial" w:cs="Arial" w:eastAsia="Arial" w:hAnsi="Arial"/>
          <w:sz w:val="10"/>
          <w:szCs w:val="10"/>
          <w:color w:val="auto"/>
        </w:rPr>
        <w:t>For thermal energy, net capacity represents MWt for steam or chilled water and excludes 134 MWt available under the right-to-use provisions contained in agreements between two of the Company's thermal facilities and certain of its customers.</w:t>
      </w:r>
    </w:p>
    <w:p>
      <w:pPr>
        <w:spacing w:after="0" w:line="11" w:lineRule="exact"/>
        <w:rPr>
          <w:sz w:val="20"/>
          <w:szCs w:val="20"/>
          <w:color w:val="auto"/>
        </w:rPr>
      </w:pPr>
    </w:p>
    <w:p>
      <w:pPr>
        <w:ind w:left="82" w:hanging="82"/>
        <w:spacing w:after="0"/>
        <w:tabs>
          <w:tab w:leader="none" w:pos="82" w:val="left"/>
        </w:tabs>
        <w:numPr>
          <w:ilvl w:val="0"/>
          <w:numId w:val="32"/>
        </w:numPr>
        <w:rPr>
          <w:rFonts w:ascii="Arial" w:cs="Arial" w:eastAsia="Arial" w:hAnsi="Arial"/>
          <w:sz w:val="6"/>
          <w:szCs w:val="6"/>
          <w:color w:val="auto"/>
        </w:rPr>
      </w:pPr>
      <w:r>
        <w:rPr>
          <w:rFonts w:ascii="Arial" w:cs="Arial" w:eastAsia="Arial" w:hAnsi="Arial"/>
          <w:sz w:val="10"/>
          <w:szCs w:val="10"/>
          <w:color w:val="auto"/>
        </w:rPr>
        <w:t>Represents interests in Four Brothers Solar, LLC, Granite Mountain Holdings, LLC, and Iron Springs Holdings, LLC, all acquired as part of the March 2017 Drop Down Assets acquisition (ownership percentage is based upon cash to be distributed).</w:t>
      </w:r>
    </w:p>
    <w:p>
      <w:pPr>
        <w:spacing w:after="0" w:line="11" w:lineRule="exact"/>
        <w:rPr>
          <w:rFonts w:ascii="Arial" w:cs="Arial" w:eastAsia="Arial" w:hAnsi="Arial"/>
          <w:sz w:val="6"/>
          <w:szCs w:val="6"/>
          <w:color w:val="auto"/>
        </w:rPr>
      </w:pPr>
    </w:p>
    <w:p>
      <w:pPr>
        <w:ind w:left="82" w:hanging="82"/>
        <w:spacing w:after="0"/>
        <w:tabs>
          <w:tab w:leader="none" w:pos="82" w:val="left"/>
        </w:tabs>
        <w:numPr>
          <w:ilvl w:val="0"/>
          <w:numId w:val="32"/>
        </w:numPr>
        <w:rPr>
          <w:rFonts w:ascii="Arial" w:cs="Arial" w:eastAsia="Arial" w:hAnsi="Arial"/>
          <w:sz w:val="6"/>
          <w:szCs w:val="6"/>
          <w:color w:val="auto"/>
        </w:rPr>
      </w:pPr>
      <w:r>
        <w:rPr>
          <w:rFonts w:ascii="Arial" w:cs="Arial" w:eastAsia="Arial" w:hAnsi="Arial"/>
          <w:sz w:val="10"/>
          <w:szCs w:val="10"/>
          <w:color w:val="auto"/>
        </w:rPr>
        <w:t>Projects are part of NRG Wind TE Holdco portfolio.</w:t>
      </w:r>
    </w:p>
    <w:p>
      <w:pPr>
        <w:spacing w:after="0" w:line="11" w:lineRule="exact"/>
        <w:rPr>
          <w:sz w:val="20"/>
          <w:szCs w:val="20"/>
          <w:color w:val="auto"/>
        </w:rPr>
      </w:pPr>
    </w:p>
    <w:p>
      <w:pPr>
        <w:jc w:val="both"/>
        <w:ind w:left="2" w:firstLine="291"/>
        <w:spacing w:after="0" w:line="292"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as of December 31, 2017. For further discussions, refer to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79" w:lineRule="exact"/>
        <w:rPr>
          <w:sz w:val="20"/>
          <w:szCs w:val="20"/>
          <w:color w:val="auto"/>
        </w:rPr>
      </w:pPr>
    </w:p>
    <w:p>
      <w:pPr>
        <w:jc w:val="both"/>
        <w:ind w:left="2" w:firstLine="291"/>
        <w:spacing w:after="0" w:line="260" w:lineRule="auto"/>
        <w:rPr>
          <w:sz w:val="20"/>
          <w:szCs w:val="20"/>
          <w:color w:val="auto"/>
        </w:rPr>
      </w:pPr>
      <w:r>
        <w:rPr>
          <w:rFonts w:ascii="Arial" w:cs="Arial" w:eastAsia="Arial" w:hAnsi="Arial"/>
          <w:sz w:val="13"/>
          <w:szCs w:val="13"/>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68"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 xml:space="preserve">As described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xml:space="preserve"> to the Consolidated Financial Statements, the Company has a management services agreement with NRG for various services, including human resources, accounting, tax, legal, information systems, treasury, and risk management.</w:t>
      </w:r>
    </w:p>
    <w:p>
      <w:pPr>
        <w:spacing w:after="0" w:line="23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462"/>
          </w:cols>
          <w:pgMar w:left="218" w:top="830" w:right="219" w:bottom="1440" w:gutter="0" w:footer="0" w:header="0"/>
        </w:sectPr>
      </w:pPr>
    </w:p>
    <w:bookmarkStart w:id="72" w:name="page73"/>
    <w:bookmarkEnd w:id="72"/>
    <w:p>
      <w:pPr>
        <w:jc w:val="both"/>
        <w:ind w:firstLine="291"/>
        <w:spacing w:after="0" w:line="260" w:lineRule="auto"/>
        <w:rPr>
          <w:sz w:val="20"/>
          <w:szCs w:val="20"/>
          <w:color w:val="auto"/>
        </w:rPr>
      </w:pPr>
      <w:r>
        <w:rPr>
          <w:rFonts w:ascii="Arial" w:cs="Arial" w:eastAsia="Arial" w:hAnsi="Arial"/>
          <w:sz w:val="13"/>
          <w:szCs w:val="13"/>
          <w:color w:val="auto"/>
        </w:rPr>
        <w:t xml:space="preserve">During the years ending December 31, 2017 and 2016 the Company completed four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2 </w:t>
      </w:r>
      <w:r>
        <w:rPr>
          <w:rFonts w:ascii="Arial" w:cs="Arial" w:eastAsia="Arial" w:hAnsi="Arial"/>
          <w:sz w:val="13"/>
          <w:szCs w:val="13"/>
          <w:color w:val="auto"/>
        </w:rPr>
        <w:t>—</w:t>
      </w:r>
      <w:r>
        <w:rPr>
          <w:rFonts w:ascii="Arial" w:cs="Arial" w:eastAsia="Arial" w:hAnsi="Arial"/>
          <w:sz w:val="13"/>
          <w:szCs w:val="13"/>
          <w:b w:val="1"/>
          <w:bCs w:val="1"/>
          <w:color w:val="auto"/>
        </w:rPr>
        <w:t xml:space="preserve"> Summary of Significant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Principles of Consolidation</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90"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3"/>
          <w:szCs w:val="13"/>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3"/>
          <w:szCs w:val="13"/>
          <w:i w:val="1"/>
          <w:iCs w:val="1"/>
          <w:color w:val="auto"/>
        </w:rPr>
        <w:t>Consolidations,</w:t>
      </w:r>
      <w:r>
        <w:rPr>
          <w:rFonts w:ascii="Arial" w:cs="Arial" w:eastAsia="Arial" w:hAnsi="Arial"/>
          <w:sz w:val="13"/>
          <w:szCs w:val="13"/>
          <w:color w:val="auto"/>
        </w:rPr>
        <w:t xml:space="preserve"> or ASC 810, to determine when an entity that is insufficiently capitalized or not controlled through its voting interests, referred to as a variable interest entity, or VIE, should be consolidated.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Cash and cash equivalents include highly liquid investments with an original maturity of three months or less at the time of purchase. Cash and cash equivalents held at project subsidiaries was $124 million and $111 million as of December 31, 2017 and 2016,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Cash</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18" w:lineRule="exact"/>
        <w:rPr>
          <w:sz w:val="20"/>
          <w:szCs w:val="20"/>
          <w:color w:val="auto"/>
        </w:rPr>
      </w:pPr>
    </w:p>
    <w:tbl>
      <w:tblPr>
        <w:tblLayout w:type="fixed"/>
        <w:tblInd w:w="260" w:type="dxa"/>
        <w:tblCellMar>
          <w:top w:w="0" w:type="dxa"/>
          <w:left w:w="0" w:type="dxa"/>
          <w:bottom w:w="0" w:type="dxa"/>
          <w:right w:w="0" w:type="dxa"/>
        </w:tblCellMar>
      </w:tblPr>
      <w:tr>
        <w:trPr>
          <w:trHeight w:val="139"/>
        </w:trPr>
        <w:tc>
          <w:tcPr>
            <w:tcW w:w="68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2"/>
              </w:rPr>
              <w:t>Year Ended 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68"/>
        </w:trPr>
        <w:tc>
          <w:tcPr>
            <w:tcW w:w="680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5"/>
              <w:spacing w:after="0"/>
              <w:rPr>
                <w:sz w:val="20"/>
                <w:szCs w:val="20"/>
                <w:color w:val="auto"/>
              </w:rPr>
            </w:pPr>
            <w:r>
              <w:rPr>
                <w:rFonts w:ascii="Arial" w:cs="Arial" w:eastAsia="Arial" w:hAnsi="Arial"/>
                <w:sz w:val="13"/>
                <w:szCs w:val="13"/>
                <w:b w:val="1"/>
                <w:bCs w:val="1"/>
                <w:color w:val="auto"/>
              </w:rPr>
              <w:t>2015</w:t>
            </w: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(In millions)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9"/>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90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110</w:t>
            </w:r>
          </w:p>
        </w:tc>
      </w:tr>
      <w:tr>
        <w:trPr>
          <w:trHeight w:val="174"/>
        </w:trPr>
        <w:tc>
          <w:tcPr>
            <w:tcW w:w="6800" w:type="dxa"/>
            <w:vAlign w:val="bottom"/>
          </w:tcPr>
          <w:p>
            <w:pPr>
              <w:ind w:left="120"/>
              <w:spacing w:after="0"/>
              <w:rPr>
                <w:sz w:val="20"/>
                <w:szCs w:val="20"/>
                <w:color w:val="auto"/>
              </w:rPr>
            </w:pPr>
            <w:r>
              <w:rPr>
                <w:rFonts w:ascii="Arial" w:cs="Arial" w:eastAsia="Arial" w:hAnsi="Arial"/>
                <w:sz w:val="13"/>
                <w:szCs w:val="13"/>
                <w:color w:val="auto"/>
              </w:rPr>
              <w:t>Restricted cash</w:t>
            </w:r>
          </w:p>
        </w:tc>
        <w:tc>
          <w:tcPr>
            <w:tcW w:w="90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143</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shown in the statement of cash flows</w:t>
            </w:r>
          </w:p>
        </w:tc>
        <w:tc>
          <w:tcPr>
            <w:tcW w:w="9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497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253</w:t>
            </w:r>
          </w:p>
        </w:tc>
      </w:tr>
    </w:tbl>
    <w:p>
      <w:pPr>
        <w:spacing w:after="0" w:line="108"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3"/>
          <w:szCs w:val="13"/>
          <w:color w:val="auto"/>
        </w:rPr>
        <w:t>Restricted cash consists primarily of funds held to satisfy the requirements of certain debt agreements and funds held within the Company's projects that are restricted in their use. Of these funds as of December 31, 2017, approximately $25 million is designated for current debt service payments, $25 million is 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Trade Receivables and Allowance for Doubtful Accounts</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2017 and 2016.</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Inventory</w:t>
      </w:r>
    </w:p>
    <w:p>
      <w:pPr>
        <w:spacing w:after="0" w:line="12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3"/>
          <w:szCs w:val="13"/>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460"/>
          </w:cols>
          <w:pgMar w:left="220" w:top="714" w:right="21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See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to the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123" w:lineRule="exact"/>
        <w:rPr>
          <w:sz w:val="20"/>
          <w:szCs w:val="20"/>
          <w:color w:val="auto"/>
        </w:rPr>
      </w:pPr>
    </w:p>
    <w:p>
      <w:pPr>
        <w:jc w:val="both"/>
        <w:ind w:right="20" w:firstLine="311"/>
        <w:spacing w:after="0" w:line="318" w:lineRule="auto"/>
        <w:rPr>
          <w:sz w:val="20"/>
          <w:szCs w:val="20"/>
          <w:color w:val="auto"/>
        </w:rPr>
      </w:pPr>
      <w:r>
        <w:rPr>
          <w:rFonts w:ascii="Arial" w:cs="Arial" w:eastAsia="Arial" w:hAnsi="Arial"/>
          <w:sz w:val="11"/>
          <w:szCs w:val="11"/>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xml:space="preserve"> to the Consolidated Financial Statements.</w:t>
      </w:r>
    </w:p>
    <w:p>
      <w:pPr>
        <w:spacing w:after="0" w:line="68" w:lineRule="exact"/>
        <w:rPr>
          <w:sz w:val="20"/>
          <w:szCs w:val="20"/>
          <w:color w:val="auto"/>
        </w:rPr>
      </w:pPr>
    </w:p>
    <w:p>
      <w:pPr>
        <w:jc w:val="both"/>
        <w:ind w:right="20" w:firstLine="311"/>
        <w:spacing w:after="0" w:line="314" w:lineRule="auto"/>
        <w:rPr>
          <w:sz w:val="20"/>
          <w:szCs w:val="20"/>
          <w:color w:val="auto"/>
        </w:rPr>
      </w:pPr>
      <w:r>
        <w:rPr>
          <w:rFonts w:ascii="Arial" w:cs="Arial" w:eastAsia="Arial" w:hAnsi="Arial"/>
          <w:sz w:val="12"/>
          <w:szCs w:val="12"/>
          <w:color w:val="auto"/>
        </w:rPr>
        <w:t xml:space="preserve">Investments accounted for by the equity method are reviewed for impairment in accordance with ASC 323, </w:t>
      </w:r>
      <w:r>
        <w:rPr>
          <w:rFonts w:ascii="Arial" w:cs="Arial" w:eastAsia="Arial" w:hAnsi="Arial"/>
          <w:sz w:val="12"/>
          <w:szCs w:val="12"/>
          <w:i w:val="1"/>
          <w:iCs w:val="1"/>
          <w:color w:val="auto"/>
        </w:rPr>
        <w:t>Investments-Equity Method and Joint Ventures</w:t>
      </w:r>
      <w:r>
        <w:rPr>
          <w:rFonts w:ascii="Arial" w:cs="Arial" w:eastAsia="Arial" w:hAnsi="Arial"/>
          <w:sz w:val="12"/>
          <w:szCs w:val="12"/>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3"/>
          <w:szCs w:val="13"/>
          <w:i w:val="1"/>
          <w:iCs w:val="1"/>
          <w:color w:val="auto"/>
        </w:rPr>
        <w:t>Intangible Assets</w:t>
      </w:r>
      <w:r>
        <w:rPr>
          <w:rFonts w:ascii="Arial" w:cs="Arial" w:eastAsia="Arial" w:hAnsi="Arial"/>
          <w:sz w:val="13"/>
          <w:szCs w:val="13"/>
          <w:color w:val="auto"/>
        </w:rPr>
        <w:t xml:space="preserve"> to 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Notes Receivable</w:t>
      </w:r>
    </w:p>
    <w:p>
      <w:pPr>
        <w:spacing w:after="0" w:line="123"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123"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Thermal Revenues</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480"/>
          </w:cols>
          <w:pgMar w:left="220" w:top="714" w:right="199" w:bottom="1440" w:gutter="0" w:footer="0" w:header="0"/>
        </w:sectPr>
      </w:pPr>
    </w:p>
    <w:bookmarkStart w:id="74" w:name="page75"/>
    <w:bookmarkEnd w:id="74"/>
    <w:p>
      <w:pPr>
        <w:spacing w:after="0"/>
        <w:rPr>
          <w:sz w:val="20"/>
          <w:szCs w:val="20"/>
          <w:color w:val="auto"/>
        </w:rPr>
      </w:pPr>
      <w:r>
        <w:rPr>
          <w:rFonts w:ascii="Arial" w:cs="Arial" w:eastAsia="Arial" w:hAnsi="Arial"/>
          <w:sz w:val="13"/>
          <w:szCs w:val="13"/>
          <w:i w:val="1"/>
          <w:iCs w:val="1"/>
          <w:color w:val="auto"/>
        </w:rPr>
        <w:t>Power Purchase Agreements, or PPAs</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The majority of the Company’s revenues are obtained through PPAs or other contractual agreements, which are accounted for as operating leases under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8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2017, 2016 and 2015 was $559 million, $583 million and $443 million, respectively. These balances include intercompany revenue for Elbow Creek of $8 million for each of the years ended December 31, 2017 and 2016, as further discussed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The Company accounts for derivative financial instruments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97" w:lineRule="exact"/>
        <w:rPr>
          <w:sz w:val="20"/>
          <w:szCs w:val="20"/>
          <w:color w:val="auto"/>
        </w:rPr>
      </w:pPr>
    </w:p>
    <w:p>
      <w:pPr>
        <w:ind w:left="460" w:hanging="229"/>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Recognized in earnings as an offset to the changes in the fair value of the related hedged assets, liabilities and firm commitments; or</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Deferred and recorded as a component of accumulated OCI until the hedged transactions occur and are recognized in earnings.</w:t>
      </w:r>
    </w:p>
    <w:p>
      <w:pPr>
        <w:spacing w:after="0" w:line="123" w:lineRule="exact"/>
        <w:rPr>
          <w:sz w:val="20"/>
          <w:szCs w:val="20"/>
          <w:color w:val="auto"/>
        </w:rPr>
      </w:pPr>
    </w:p>
    <w:p>
      <w:pPr>
        <w:jc w:val="both"/>
        <w:ind w:right="20" w:firstLine="311"/>
        <w:spacing w:after="0" w:line="277" w:lineRule="auto"/>
        <w:rPr>
          <w:sz w:val="20"/>
          <w:szCs w:val="20"/>
          <w:color w:val="auto"/>
        </w:rPr>
      </w:pPr>
      <w:r>
        <w:rPr>
          <w:rFonts w:ascii="Arial" w:cs="Arial" w:eastAsia="Arial" w:hAnsi="Arial"/>
          <w:sz w:val="12"/>
          <w:szCs w:val="12"/>
          <w:color w:val="auto"/>
        </w:rPr>
        <w:t>The Company's primary derivative instruments are power purchase or sale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90"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2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3"/>
          <w:szCs w:val="13"/>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 xml:space="preserve"> for a further discussion of derivative concentrations and Note 12,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 concentration of counterparties.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23" w:lineRule="exact"/>
        <w:rPr>
          <w:sz w:val="20"/>
          <w:szCs w:val="20"/>
          <w:color w:val="auto"/>
        </w:rPr>
      </w:pPr>
    </w:p>
    <w:p>
      <w:pPr>
        <w:jc w:val="both"/>
        <w:ind w:right="20" w:firstLine="311"/>
        <w:spacing w:after="0" w:line="314" w:lineRule="auto"/>
        <w:rPr>
          <w:sz w:val="20"/>
          <w:szCs w:val="20"/>
          <w:color w:val="auto"/>
        </w:rPr>
      </w:pPr>
      <w:r>
        <w:rPr>
          <w:rFonts w:ascii="Arial" w:cs="Arial" w:eastAsia="Arial" w:hAnsi="Arial"/>
          <w:sz w:val="12"/>
          <w:szCs w:val="12"/>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xml:space="preserve"> for a further discussion of fair value of financial instruments.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480"/>
          </w:cols>
          <w:pgMar w:left="220" w:top="713" w:right="19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i w:val="1"/>
          <w:iCs w:val="1"/>
          <w:color w:val="auto"/>
        </w:rPr>
        <w:t>Asset Retirement Obligations</w:t>
      </w:r>
    </w:p>
    <w:p>
      <w:pPr>
        <w:spacing w:after="0" w:line="123"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Asset retirement obligations, or AROs, are accounted for in accordance with ASC 410-20, </w:t>
      </w:r>
      <w:r>
        <w:rPr>
          <w:rFonts w:ascii="Arial" w:cs="Arial" w:eastAsia="Arial" w:hAnsi="Arial"/>
          <w:sz w:val="13"/>
          <w:szCs w:val="13"/>
          <w:i w:val="1"/>
          <w:iCs w:val="1"/>
          <w:color w:val="auto"/>
        </w:rPr>
        <w:t>Asset Retirement Obligations,</w:t>
      </w:r>
      <w:r>
        <w:rPr>
          <w:rFonts w:ascii="Arial" w:cs="Arial" w:eastAsia="Arial" w:hAnsi="Arial"/>
          <w:sz w:val="13"/>
          <w:szCs w:val="13"/>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00"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following table represents the balance of ARO obligations as of December 31, 2017 and 2016, along with the additions and accretion related to the Company's ARO obligations for the year ended December 31,</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7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2016</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49</w:t>
            </w:r>
          </w:p>
        </w:tc>
      </w:tr>
      <w:tr>
        <w:trPr>
          <w:trHeight w:val="174"/>
        </w:trPr>
        <w:tc>
          <w:tcPr>
            <w:tcW w:w="9760" w:type="dxa"/>
            <w:vAlign w:val="bottom"/>
          </w:tcPr>
          <w:p>
            <w:pPr>
              <w:ind w:left="120"/>
              <w:spacing w:after="0"/>
              <w:rPr>
                <w:sz w:val="20"/>
                <w:szCs w:val="20"/>
                <w:color w:val="auto"/>
              </w:rPr>
            </w:pPr>
            <w:r>
              <w:rPr>
                <w:rFonts w:ascii="Arial" w:cs="Arial" w:eastAsia="Arial" w:hAnsi="Arial"/>
                <w:sz w:val="13"/>
                <w:szCs w:val="13"/>
                <w:color w:val="auto"/>
              </w:rPr>
              <w:t>Revisions in estimates for current obligations/Additions</w:t>
            </w:r>
          </w:p>
        </w:tc>
        <w:tc>
          <w:tcPr>
            <w:tcW w:w="32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3"/>
                <w:szCs w:val="13"/>
                <w:color w:val="auto"/>
              </w:rPr>
              <w:t>2</w:t>
            </w:r>
          </w:p>
        </w:tc>
      </w:tr>
      <w:tr>
        <w:trPr>
          <w:trHeight w:val="20"/>
        </w:trPr>
        <w:tc>
          <w:tcPr>
            <w:tcW w:w="9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4"/>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Accretion — expense</w:t>
            </w: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w:t>
            </w:r>
          </w:p>
        </w:tc>
      </w:tr>
      <w:tr>
        <w:trPr>
          <w:trHeight w:val="193"/>
        </w:trPr>
        <w:tc>
          <w:tcPr>
            <w:tcW w:w="976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55</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Guarantees</w:t>
      </w:r>
    </w:p>
    <w:p>
      <w:pPr>
        <w:spacing w:after="0" w:line="123"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3"/>
          <w:szCs w:val="13"/>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 Accounted for by the Equity Method</w:t>
      </w:r>
    </w:p>
    <w:p>
      <w:pPr>
        <w:spacing w:after="0" w:line="12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3"/>
          <w:szCs w:val="13"/>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3"/>
          <w:szCs w:val="13"/>
          <w:i w:val="1"/>
          <w:iCs w:val="1"/>
          <w:color w:val="auto"/>
        </w:rPr>
        <w:t>Investments</w:t>
      </w:r>
      <w:r>
        <w:rPr>
          <w:rFonts w:ascii="Arial" w:cs="Arial" w:eastAsia="Arial" w:hAnsi="Arial"/>
          <w:sz w:val="13"/>
          <w:szCs w:val="13"/>
          <w:color w:val="auto"/>
        </w:rPr>
        <w:t xml:space="preserve"> </w:t>
      </w:r>
      <w:r>
        <w:rPr>
          <w:rFonts w:ascii="Arial" w:cs="Arial" w:eastAsia="Arial" w:hAnsi="Arial"/>
          <w:sz w:val="13"/>
          <w:szCs w:val="13"/>
          <w:i w:val="1"/>
          <w:iCs w:val="1"/>
          <w:color w:val="auto"/>
        </w:rPr>
        <w:t>Accounted for by the Equity Method and Variable Interest Entities</w:t>
      </w:r>
      <w:r>
        <w:rPr>
          <w:rFonts w:ascii="Arial" w:cs="Arial" w:eastAsia="Arial" w:hAnsi="Arial"/>
          <w:sz w:val="13"/>
          <w:szCs w:val="13"/>
          <w:color w:val="auto"/>
        </w:rPr>
        <w:t>. The equity method of accounting is applied to these investments in affiliates because the ownership structure prevents the Company from exercising a</w:t>
      </w:r>
      <w:r>
        <w:rPr>
          <w:rFonts w:ascii="Arial" w:cs="Arial" w:eastAsia="Arial" w:hAnsi="Arial"/>
          <w:sz w:val="13"/>
          <w:szCs w:val="13"/>
          <w:i w:val="1"/>
          <w:iCs w:val="1"/>
          <w:color w:val="auto"/>
        </w:rPr>
        <w:t xml:space="preserve"> </w:t>
      </w:r>
      <w:r>
        <w:rPr>
          <w:rFonts w:ascii="Arial" w:cs="Arial" w:eastAsia="Arial" w:hAnsi="Arial"/>
          <w:sz w:val="13"/>
          <w:szCs w:val="13"/>
          <w:color w:val="auto"/>
        </w:rPr>
        <w:t>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 Leaseback Arrangements</w:t>
      </w:r>
    </w:p>
    <w:p>
      <w:pPr>
        <w:spacing w:after="0" w:line="123"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3"/>
          <w:szCs w:val="13"/>
          <w:i w:val="1"/>
          <w:iCs w:val="1"/>
          <w:color w:val="auto"/>
        </w:rPr>
        <w:t>Sale-Leaseback</w:t>
      </w:r>
      <w:r>
        <w:rPr>
          <w:rFonts w:ascii="Arial" w:cs="Arial" w:eastAsia="Arial" w:hAnsi="Arial"/>
          <w:sz w:val="13"/>
          <w:szCs w:val="13"/>
          <w:color w:val="auto"/>
        </w:rPr>
        <w:t xml:space="preserve"> </w:t>
      </w:r>
      <w:r>
        <w:rPr>
          <w:rFonts w:ascii="Arial" w:cs="Arial" w:eastAsia="Arial" w:hAnsi="Arial"/>
          <w:sz w:val="13"/>
          <w:szCs w:val="13"/>
          <w:i w:val="1"/>
          <w:iCs w:val="1"/>
          <w:color w:val="auto"/>
        </w:rPr>
        <w:t>Transactions</w:t>
      </w:r>
      <w:r>
        <w:rPr>
          <w:rFonts w:ascii="Arial" w:cs="Arial" w:eastAsia="Arial" w:hAnsi="Arial"/>
          <w:sz w:val="13"/>
          <w:szCs w:val="13"/>
          <w:color w:val="auto"/>
        </w:rPr>
        <w:t>, if the seller-lessee retains, through the leaseback, substantially all of the benefits and risks incident to the ownership of the property sold, the sale-leaseback transaction is accounted for as a financing</w:t>
      </w:r>
      <w:r>
        <w:rPr>
          <w:rFonts w:ascii="Arial" w:cs="Arial" w:eastAsia="Arial" w:hAnsi="Arial"/>
          <w:sz w:val="13"/>
          <w:szCs w:val="13"/>
          <w:i w:val="1"/>
          <w:iCs w:val="1"/>
          <w:color w:val="auto"/>
        </w:rPr>
        <w:t xml:space="preserve"> </w:t>
      </w:r>
      <w:r>
        <w:rPr>
          <w:rFonts w:ascii="Arial" w:cs="Arial" w:eastAsia="Arial" w:hAnsi="Arial"/>
          <w:sz w:val="13"/>
          <w:szCs w:val="13"/>
          <w:color w:val="auto"/>
        </w:rPr>
        <w:t>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480"/>
          </w:cols>
          <w:pgMar w:left="220" w:top="714" w:right="199" w:bottom="1440" w:gutter="0" w:footer="0" w:header="0"/>
        </w:sectPr>
      </w:pPr>
    </w:p>
    <w:bookmarkStart w:id="76" w:name="page77"/>
    <w:bookmarkEnd w:id="76"/>
    <w:p>
      <w:pPr>
        <w:jc w:val="both"/>
        <w:ind w:right="20" w:firstLine="311"/>
        <w:spacing w:after="0" w:line="285" w:lineRule="auto"/>
        <w:rPr>
          <w:sz w:val="20"/>
          <w:szCs w:val="20"/>
          <w:color w:val="auto"/>
        </w:rPr>
      </w:pPr>
      <w:r>
        <w:rPr>
          <w:rFonts w:ascii="Arial" w:cs="Arial" w:eastAsia="Arial" w:hAnsi="Arial"/>
          <w:sz w:val="12"/>
          <w:szCs w:val="12"/>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23" w:lineRule="exact"/>
        <w:rPr>
          <w:sz w:val="20"/>
          <w:szCs w:val="20"/>
          <w:color w:val="auto"/>
        </w:rPr>
      </w:pPr>
    </w:p>
    <w:p>
      <w:pPr>
        <w:jc w:val="both"/>
        <w:ind w:right="20" w:firstLine="311"/>
        <w:spacing w:after="0" w:line="308" w:lineRule="auto"/>
        <w:rPr>
          <w:sz w:val="20"/>
          <w:szCs w:val="20"/>
          <w:color w:val="auto"/>
        </w:rPr>
      </w:pPr>
      <w:r>
        <w:rPr>
          <w:rFonts w:ascii="Arial" w:cs="Arial" w:eastAsia="Arial" w:hAnsi="Arial"/>
          <w:sz w:val="11"/>
          <w:szCs w:val="11"/>
          <w:color w:val="auto"/>
        </w:rPr>
        <w:t xml:space="preserve">The Company accounts for its business combinations 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contributed capital. Transaction costs are expensed as incurred.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7"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Equity Arrangements</w:t>
      </w:r>
    </w:p>
    <w:p>
      <w:pPr>
        <w:spacing w:after="0" w:line="123" w:lineRule="exact"/>
        <w:rPr>
          <w:sz w:val="20"/>
          <w:szCs w:val="20"/>
          <w:color w:val="auto"/>
        </w:rPr>
      </w:pPr>
    </w:p>
    <w:p>
      <w:pPr>
        <w:jc w:val="both"/>
        <w:ind w:firstLine="291"/>
        <w:spacing w:after="0" w:line="275" w:lineRule="auto"/>
        <w:rPr>
          <w:sz w:val="20"/>
          <w:szCs w:val="20"/>
          <w:color w:val="auto"/>
        </w:rPr>
      </w:pPr>
      <w:r>
        <w:rPr>
          <w:rFonts w:ascii="Arial" w:cs="Arial" w:eastAsia="Arial" w:hAnsi="Arial"/>
          <w:sz w:val="12"/>
          <w:szCs w:val="12"/>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480"/>
          </w:cols>
          <w:pgMar w:left="220" w:top="713" w:right="19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Certain prior year amounts have been reclassified for comparative purposes.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Developments - Adopted in 2017</w:t>
      </w:r>
    </w:p>
    <w:p>
      <w:pPr>
        <w:spacing w:after="0" w:line="103" w:lineRule="exact"/>
        <w:rPr>
          <w:sz w:val="20"/>
          <w:szCs w:val="20"/>
          <w:color w:val="auto"/>
        </w:rPr>
      </w:pPr>
    </w:p>
    <w:p>
      <w:pPr>
        <w:jc w:val="both"/>
        <w:ind w:right="20" w:firstLine="233"/>
        <w:spacing w:after="0" w:line="277" w:lineRule="auto"/>
        <w:rPr>
          <w:sz w:val="20"/>
          <w:szCs w:val="20"/>
          <w:color w:val="auto"/>
        </w:rPr>
      </w:pPr>
      <w:r>
        <w:rPr>
          <w:rFonts w:ascii="Arial" w:cs="Arial" w:eastAsia="Arial" w:hAnsi="Arial"/>
          <w:sz w:val="12"/>
          <w:szCs w:val="12"/>
          <w:i w:val="1"/>
          <w:iCs w:val="1"/>
          <w:color w:val="auto"/>
        </w:rPr>
        <w:t xml:space="preserve">ASU 2017-12 </w:t>
      </w:r>
      <w:r>
        <w:rPr>
          <w:rFonts w:ascii="Arial" w:cs="Arial" w:eastAsia="Arial" w:hAnsi="Arial"/>
          <w:sz w:val="12"/>
          <w:szCs w:val="12"/>
          <w:color w:val="auto"/>
        </w:rPr>
        <w:t>— In August 2017, the FASB issued ASU No. 2017-12,</w:t>
      </w:r>
      <w:r>
        <w:rPr>
          <w:rFonts w:ascii="Arial" w:cs="Arial" w:eastAsia="Arial" w:hAnsi="Arial"/>
          <w:sz w:val="12"/>
          <w:szCs w:val="12"/>
          <w:i w:val="1"/>
          <w:iCs w:val="1"/>
          <w:color w:val="auto"/>
        </w:rPr>
        <w:t xml:space="preserve"> Derivatives and Hedging (Topic 815)</w:t>
      </w:r>
      <w:r>
        <w:rPr>
          <w:rFonts w:ascii="Arial" w:cs="Arial" w:eastAsia="Arial" w:hAnsi="Arial"/>
          <w:sz w:val="12"/>
          <w:szCs w:val="12"/>
          <w:color w:val="auto"/>
        </w:rPr>
        <w:t>, Targeted Improvements to Accounting for Hedging Activities, or ASU No. 2017-12. ASU No. 2017-12</w:t>
      </w:r>
      <w:r>
        <w:rPr>
          <w:rFonts w:ascii="Arial" w:cs="Arial" w:eastAsia="Arial" w:hAnsi="Arial"/>
          <w:sz w:val="12"/>
          <w:szCs w:val="12"/>
          <w:i w:val="1"/>
          <w:iCs w:val="1"/>
          <w:color w:val="auto"/>
        </w:rPr>
        <w:t xml:space="preserve"> </w:t>
      </w:r>
      <w:r>
        <w:rPr>
          <w:rFonts w:ascii="Arial" w:cs="Arial" w:eastAsia="Arial" w:hAnsi="Arial"/>
          <w:sz w:val="12"/>
          <w:szCs w:val="12"/>
          <w:color w:val="auto"/>
        </w:rPr>
        <w:t>amends ASU No. 2016-15. The amendments of ASU No. 2016-15 were issued to simplify the application of hedge accounting guidance and more closely aligning financial reporting for hedging relationships with economic results of an entity's risk management activities. The issues addressed by ASU No. 2017-12 include but are not limited to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No. 2017-12 are effective for fiscal years beginning after December 15, 2018, and interim periods therein. Early adoption is permitted in any interim period and the effect of the adoption should be reflected as of the beginning of the fiscal year of adoption. The Company early adopted ASU No. 2017-12 during the fourth quarter 2017. The adoption of ASU No. 2017-12 did not have a material impact on our consolidated results of operations, cash flows, and statement of financial position.</w:t>
      </w:r>
    </w:p>
    <w:p>
      <w:pPr>
        <w:spacing w:after="0" w:line="90" w:lineRule="exact"/>
        <w:rPr>
          <w:sz w:val="20"/>
          <w:szCs w:val="20"/>
          <w:color w:val="auto"/>
        </w:rPr>
      </w:pPr>
    </w:p>
    <w:p>
      <w:pPr>
        <w:jc w:val="both"/>
        <w:ind w:right="20" w:firstLine="233"/>
        <w:spacing w:after="0" w:line="306" w:lineRule="auto"/>
        <w:rPr>
          <w:sz w:val="20"/>
          <w:szCs w:val="20"/>
          <w:color w:val="auto"/>
        </w:rPr>
      </w:pPr>
      <w:r>
        <w:rPr>
          <w:rFonts w:ascii="Arial" w:cs="Arial" w:eastAsia="Arial" w:hAnsi="Arial"/>
          <w:sz w:val="11"/>
          <w:szCs w:val="11"/>
          <w:i w:val="1"/>
          <w:iCs w:val="1"/>
          <w:color w:val="auto"/>
        </w:rPr>
        <w:t xml:space="preserve">ASU 2016-18 </w:t>
      </w:r>
      <w:r>
        <w:rPr>
          <w:rFonts w:ascii="Arial" w:cs="Arial" w:eastAsia="Arial" w:hAnsi="Arial"/>
          <w:sz w:val="11"/>
          <w:szCs w:val="11"/>
          <w:color w:val="auto"/>
        </w:rPr>
        <w:t>— In November 2016, the FASB issued ASU No. 2016-18,</w:t>
      </w:r>
      <w:r>
        <w:rPr>
          <w:rFonts w:ascii="Arial" w:cs="Arial" w:eastAsia="Arial" w:hAnsi="Arial"/>
          <w:sz w:val="11"/>
          <w:szCs w:val="11"/>
          <w:i w:val="1"/>
          <w:iCs w:val="1"/>
          <w:color w:val="auto"/>
        </w:rPr>
        <w:t xml:space="preserve"> Statement of Cash Flows (Topic 230)</w:t>
      </w:r>
      <w:r>
        <w:rPr>
          <w:rFonts w:ascii="Arial" w:cs="Arial" w:eastAsia="Arial" w:hAnsi="Arial"/>
          <w:sz w:val="11"/>
          <w:szCs w:val="11"/>
          <w:color w:val="auto"/>
        </w:rPr>
        <w:t>, Restricted Cash, or ASU No. 2016-18. The amendments of ASU No. 2016-18 require an entity to</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year ended December 31, 2016 decreased by $33 million. The sum of Company's cash and cash equivalents and restricted cash reported within the consolidated balance sheet as of December 31, 2016 equals the beginning balances of cash, cash equivalents and restricted cash shown in the consolidated statement of cash flows for the year ended December 31, 2017. The sum of Company's cash and cash equivalents and restricted cash reported within the consolidated balance sheet as of December 31, 2017 equals to the ending balances of cash, cash equivalents and restricted cash shown in the consolidated statement of cash flows for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Developments - Not Yet Adopted</w:t>
      </w:r>
    </w:p>
    <w:p>
      <w:pPr>
        <w:spacing w:after="0" w:line="103" w:lineRule="exact"/>
        <w:rPr>
          <w:sz w:val="20"/>
          <w:szCs w:val="20"/>
          <w:color w:val="auto"/>
        </w:rPr>
      </w:pPr>
    </w:p>
    <w:p>
      <w:pPr>
        <w:jc w:val="both"/>
        <w:ind w:firstLine="252"/>
        <w:spacing w:after="0" w:line="275" w:lineRule="auto"/>
        <w:rPr>
          <w:sz w:val="20"/>
          <w:szCs w:val="20"/>
          <w:color w:val="auto"/>
        </w:rPr>
      </w:pPr>
      <w:r>
        <w:rPr>
          <w:rFonts w:ascii="Arial" w:cs="Arial" w:eastAsia="Arial" w:hAnsi="Arial"/>
          <w:sz w:val="12"/>
          <w:szCs w:val="12"/>
          <w:i w:val="1"/>
          <w:iCs w:val="1"/>
          <w:color w:val="auto"/>
        </w:rPr>
        <w:t xml:space="preserve">ASU 2016-02 </w:t>
      </w:r>
      <w:r>
        <w:rPr>
          <w:rFonts w:ascii="Arial" w:cs="Arial" w:eastAsia="Arial" w:hAnsi="Arial"/>
          <w:sz w:val="12"/>
          <w:szCs w:val="12"/>
          <w:color w:val="auto"/>
        </w:rPr>
        <w:t>— In February 2016, the FASB issued ASU No. 2016-02,</w:t>
      </w:r>
      <w:r>
        <w:rPr>
          <w:rFonts w:ascii="Arial" w:cs="Arial" w:eastAsia="Arial" w:hAnsi="Arial"/>
          <w:sz w:val="12"/>
          <w:szCs w:val="12"/>
          <w:i w:val="1"/>
          <w:iCs w:val="1"/>
          <w:color w:val="auto"/>
        </w:rPr>
        <w:t xml:space="preserve"> Leases </w:t>
      </w:r>
      <w:r>
        <w:rPr>
          <w:rFonts w:ascii="Arial" w:cs="Arial" w:eastAsia="Arial" w:hAnsi="Arial"/>
          <w:sz w:val="12"/>
          <w:szCs w:val="12"/>
          <w:color w:val="auto"/>
        </w:rPr>
        <w:t>(Topic 842), or Topic 842, with the objective to increase transparency and comparability among organizations by recognizing lease</w:t>
      </w:r>
      <w:r>
        <w:rPr>
          <w:rFonts w:ascii="Arial" w:cs="Arial" w:eastAsia="Arial" w:hAnsi="Arial"/>
          <w:sz w:val="12"/>
          <w:szCs w:val="12"/>
          <w:i w:val="1"/>
          <w:iCs w:val="1"/>
          <w:color w:val="auto"/>
        </w:rPr>
        <w:t xml:space="preserve"> </w:t>
      </w:r>
      <w:r>
        <w:rPr>
          <w:rFonts w:ascii="Arial" w:cs="Arial" w:eastAsia="Arial" w:hAnsi="Arial"/>
          <w:sz w:val="12"/>
          <w:szCs w:val="12"/>
          <w:color w:val="auto"/>
        </w:rPr>
        <w:t>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480"/>
          </w:cols>
          <w:pgMar w:left="220" w:top="713" w:right="199" w:bottom="1440" w:gutter="0" w:footer="0" w:header="0"/>
        </w:sectPr>
      </w:pPr>
    </w:p>
    <w:bookmarkStart w:id="78" w:name="page79"/>
    <w:bookmarkEnd w:id="78"/>
    <w:p>
      <w:pPr>
        <w:jc w:val="both"/>
        <w:ind w:right="20" w:firstLine="291"/>
        <w:spacing w:after="0" w:line="274" w:lineRule="auto"/>
        <w:rPr>
          <w:sz w:val="20"/>
          <w:szCs w:val="20"/>
          <w:color w:val="auto"/>
        </w:rPr>
      </w:pPr>
      <w:r>
        <w:rPr>
          <w:rFonts w:ascii="Arial" w:cs="Arial" w:eastAsia="Arial" w:hAnsi="Arial"/>
          <w:sz w:val="12"/>
          <w:szCs w:val="12"/>
          <w:i w:val="1"/>
          <w:iCs w:val="1"/>
          <w:color w:val="auto"/>
        </w:rPr>
        <w:t xml:space="preserve">ASU 2014-09 </w:t>
      </w:r>
      <w:r>
        <w:rPr>
          <w:rFonts w:ascii="Arial" w:cs="Arial" w:eastAsia="Arial" w:hAnsi="Arial"/>
          <w:sz w:val="12"/>
          <w:szCs w:val="12"/>
          <w:color w:val="auto"/>
        </w:rPr>
        <w:t>— In May 2014, the FASB issued ASU No. 2014-09,</w:t>
      </w:r>
      <w:r>
        <w:rPr>
          <w:rFonts w:ascii="Arial" w:cs="Arial" w:eastAsia="Arial" w:hAnsi="Arial"/>
          <w:sz w:val="12"/>
          <w:szCs w:val="12"/>
          <w:i w:val="1"/>
          <w:iCs w:val="1"/>
          <w:color w:val="auto"/>
        </w:rPr>
        <w:t xml:space="preserve"> Revenue from Contracts with Customers (Topic 606), </w:t>
      </w:r>
      <w:r>
        <w:rPr>
          <w:rFonts w:ascii="Arial" w:cs="Arial" w:eastAsia="Arial" w:hAnsi="Arial"/>
          <w:sz w:val="12"/>
          <w:szCs w:val="12"/>
          <w:color w:val="auto"/>
        </w:rPr>
        <w:t>or Topic 606, which was further amended through various updates issued by the FASB</w:t>
      </w:r>
      <w:r>
        <w:rPr>
          <w:rFonts w:ascii="Arial" w:cs="Arial" w:eastAsia="Arial" w:hAnsi="Arial"/>
          <w:sz w:val="12"/>
          <w:szCs w:val="12"/>
          <w:i w:val="1"/>
          <w:iCs w:val="1"/>
          <w:color w:val="auto"/>
        </w:rPr>
        <w:t xml:space="preserve"> </w:t>
      </w:r>
      <w:r>
        <w:rPr>
          <w:rFonts w:ascii="Arial" w:cs="Arial" w:eastAsia="Arial" w:hAnsi="Arial"/>
          <w:sz w:val="12"/>
          <w:szCs w:val="12"/>
          <w:color w:val="auto"/>
        </w:rPr>
        <w:t>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has elected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The Company adopted the standard effective January 1, 2018 under the modified retrospective transition method. As leases are excluded from the scope of Topic 606, the adoption of Topic 606 at the date of initial application will not have a material impact on the Company's financial statements. The adoption of Topic 606 also includes additional disclosure requirements beginning in the first quarter of 2018. As a significant portion of the Company's revenue is generated through operating leases, the majority of the new required disclosures will not be relevant or material to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Business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2017 Acquisitions</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November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1, 2017, the Company acquired a 38 MW solar portfolio primarily comprised of assets from NRG's Solar Power Partners (SPP) funds and other projects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developed by NRG, for cash consideration of $74 million, including working capital adjustments of $3 million, plus assumed non-recourse debt of $26 million.</w:t>
      </w:r>
    </w:p>
    <w:p>
      <w:pPr>
        <w:spacing w:after="0" w:line="85"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and historical value of the entities' equity was recorded as a contribution from NRG and increased the balance of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is a summary of assets and liabilities transferred in connection with the acquisition of the November 2017 Drop Down Assets as of November 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860" w:type="dxa"/>
            <w:vAlign w:val="bottom"/>
          </w:tcPr>
          <w:p>
            <w:pPr>
              <w:ind w:left="20"/>
              <w:spacing w:after="0"/>
              <w:rPr>
                <w:sz w:val="20"/>
                <w:szCs w:val="20"/>
                <w:color w:val="auto"/>
              </w:rPr>
            </w:pPr>
            <w:r>
              <w:rPr>
                <w:rFonts w:ascii="Arial" w:cs="Arial" w:eastAsia="Arial" w:hAnsi="Arial"/>
                <w:sz w:val="13"/>
                <w:szCs w:val="13"/>
                <w:color w:val="auto"/>
              </w:rPr>
              <w:t>Assets: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r>
      <w:tr>
        <w:trPr>
          <w:trHeight w:val="174"/>
        </w:trPr>
        <w:tc>
          <w:tcPr>
            <w:tcW w:w="98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2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83</w:t>
            </w:r>
          </w:p>
        </w:tc>
      </w:tr>
      <w:tr>
        <w:trPr>
          <w:trHeight w:val="20"/>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 assets</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r>
      <w:tr>
        <w:trPr>
          <w:trHeight w:val="164"/>
        </w:trPr>
        <w:tc>
          <w:tcPr>
            <w:tcW w:w="9860" w:type="dxa"/>
            <w:vAlign w:val="bottom"/>
          </w:tcPr>
          <w:p>
            <w:pPr>
              <w:ind w:left="200"/>
              <w:spacing w:after="0"/>
              <w:rPr>
                <w:sz w:val="20"/>
                <w:szCs w:val="20"/>
                <w:color w:val="auto"/>
              </w:rPr>
            </w:pPr>
            <w:r>
              <w:rPr>
                <w:rFonts w:ascii="Arial" w:cs="Arial" w:eastAsia="Arial" w:hAnsi="Arial"/>
                <w:sz w:val="13"/>
                <w:szCs w:val="13"/>
                <w:color w:val="auto"/>
              </w:rPr>
              <w:t>Total assets</w:t>
            </w: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102</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3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94"/>
        </w:trPr>
        <w:tc>
          <w:tcPr>
            <w:tcW w:w="9860" w:type="dxa"/>
            <w:vAlign w:val="bottom"/>
          </w:tcPr>
          <w:p>
            <w:pPr>
              <w:ind w:left="20"/>
              <w:spacing w:after="0" w:line="195" w:lineRule="exact"/>
              <w:rPr>
                <w:sz w:val="20"/>
                <w:szCs w:val="20"/>
                <w:color w:val="auto"/>
              </w:rPr>
            </w:pPr>
            <w:r>
              <w:rPr>
                <w:rFonts w:ascii="Arial" w:cs="Arial" w:eastAsia="Arial" w:hAnsi="Arial"/>
                <w:sz w:val="13"/>
                <w:szCs w:val="13"/>
                <w:color w:val="auto"/>
              </w:rPr>
              <w:t xml:space="preserve">Debt (Current and non-current) </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23</w:t>
            </w:r>
          </w:p>
        </w:tc>
      </w:tr>
      <w:tr>
        <w:trPr>
          <w:trHeight w:val="19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9860" w:type="dxa"/>
            <w:vAlign w:val="bottom"/>
          </w:tcPr>
          <w:p>
            <w:pPr>
              <w:ind w:left="200"/>
              <w:spacing w:after="0"/>
              <w:rPr>
                <w:sz w:val="20"/>
                <w:szCs w:val="20"/>
                <w:color w:val="auto"/>
              </w:rPr>
            </w:pPr>
            <w:r>
              <w:rPr>
                <w:rFonts w:ascii="Arial" w:cs="Arial" w:eastAsia="Arial" w:hAnsi="Arial"/>
                <w:sz w:val="13"/>
                <w:szCs w:val="13"/>
                <w:color w:val="auto"/>
              </w:rPr>
              <w:t>Total liabilities assumed</w:t>
            </w: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9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assets acquired</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1859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2"/>
          <w:szCs w:val="12"/>
          <w:color w:val="auto"/>
        </w:rPr>
        <w:t xml:space="preserve"> Net of $3 million of net debt issuance costs.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Since the acquisition date, the November 2017 Drop Down Assets have contributed $1 million in operating revenues to the Company.</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August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August 1, 2017, the Company acquired the remaining 25% interest in NRG Wind TE Holdco, a portfolio of 12 wind projects, from NRG for total cash consideration of $44</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including working capital adjustment of $3 million. The purchase agreement also included potential additional payments to NRG dependent upon actual</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480"/>
          </w:cols>
          <w:pgMar w:left="220" w:top="713" w:right="199" w:bottom="1440" w:gutter="0" w:footer="0" w:header="0"/>
        </w:sectPr>
      </w:pPr>
    </w:p>
    <w:bookmarkStart w:id="79" w:name="page80"/>
    <w:bookmarkEnd w:id="79"/>
    <w:p>
      <w:pPr>
        <w:ind w:left="2"/>
        <w:spacing w:after="0"/>
        <w:rPr>
          <w:sz w:val="20"/>
          <w:szCs w:val="20"/>
          <w:color w:val="auto"/>
        </w:rPr>
      </w:pPr>
      <w:r>
        <w:rPr>
          <w:rFonts w:ascii="Arial" w:cs="Arial" w:eastAsia="Arial" w:hAnsi="Arial"/>
          <w:sz w:val="13"/>
          <w:szCs w:val="13"/>
          <w:color w:val="auto"/>
        </w:rPr>
        <w:t>energy prices for merchant periods beginning in 2027, which were estimated and accrued as contingent consideration in the amount of $8 million as of September 30, 2017.</w:t>
      </w:r>
    </w:p>
    <w:p>
      <w:pPr>
        <w:spacing w:after="0" w:line="123" w:lineRule="exact"/>
        <w:rPr>
          <w:sz w:val="20"/>
          <w:szCs w:val="20"/>
          <w:color w:val="auto"/>
        </w:rPr>
      </w:pPr>
    </w:p>
    <w:p>
      <w:pPr>
        <w:jc w:val="both"/>
        <w:ind w:left="2" w:firstLine="291"/>
        <w:spacing w:after="0" w:line="253" w:lineRule="auto"/>
        <w:rPr>
          <w:sz w:val="20"/>
          <w:szCs w:val="20"/>
          <w:color w:val="auto"/>
        </w:rPr>
      </w:pPr>
      <w:r>
        <w:rPr>
          <w:rFonts w:ascii="Arial" w:cs="Arial" w:eastAsia="Arial" w:hAnsi="Arial"/>
          <w:sz w:val="13"/>
          <w:szCs w:val="13"/>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3"/>
          <w:szCs w:val="13"/>
          <w:i w:val="1"/>
          <w:iCs w:val="1"/>
          <w:color w:val="auto"/>
        </w:rPr>
        <w:t>Business Combination -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Issues. </w:t>
      </w:r>
      <w:r>
        <w:rPr>
          <w:rFonts w:ascii="Arial" w:cs="Arial" w:eastAsia="Arial" w:hAnsi="Arial"/>
          <w:sz w:val="13"/>
          <w:szCs w:val="13"/>
          <w:color w:val="auto"/>
        </w:rPr>
        <w:t>As the Company had reflected NRG's 25% ownership of NRG Wind TE Holdco in noncontrolling interest, the difference between the cash paid of $44 million, net of the contingent consideration of $8 million,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4" w:lineRule="exact"/>
        <w:rPr>
          <w:sz w:val="20"/>
          <w:szCs w:val="20"/>
          <w:color w:val="auto"/>
        </w:rPr>
      </w:pPr>
    </w:p>
    <w:p>
      <w:pPr>
        <w:jc w:val="both"/>
        <w:ind w:left="2" w:right="20" w:firstLine="291"/>
        <w:spacing w:after="0" w:line="256" w:lineRule="auto"/>
        <w:rPr>
          <w:sz w:val="20"/>
          <w:szCs w:val="20"/>
          <w:color w:val="auto"/>
        </w:rPr>
      </w:pPr>
      <w:r>
        <w:rPr>
          <w:rFonts w:ascii="Arial" w:cs="Arial" w:eastAsia="Arial" w:hAnsi="Arial"/>
          <w:sz w:val="13"/>
          <w:szCs w:val="13"/>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71"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auto"/>
        </w:rPr>
        <w:t>The following tables present a summary of the Company's historical information combining the financial information for the November 2017 Drop Down Assets and August 2017 Drop Down Assets transferred in connection with the acquisitions:</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00"/>
              <w:spacing w:after="0"/>
              <w:rPr>
                <w:sz w:val="20"/>
                <w:szCs w:val="20"/>
                <w:color w:val="auto"/>
              </w:rPr>
            </w:pPr>
            <w:r>
              <w:rPr>
                <w:rFonts w:ascii="Arial" w:cs="Arial" w:eastAsia="Arial" w:hAnsi="Arial"/>
                <w:sz w:val="12"/>
                <w:szCs w:val="12"/>
                <w:b w:val="1"/>
                <w:bCs w:val="1"/>
                <w:color w:val="auto"/>
                <w:w w:val="94"/>
              </w:rPr>
              <w:t>Year ended December 31, 2016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ind w:left="260"/>
              <w:spacing w:after="0"/>
              <w:rPr>
                <w:sz w:val="20"/>
                <w:szCs w:val="20"/>
                <w:color w:val="auto"/>
              </w:rPr>
            </w:pPr>
            <w:r>
              <w:rPr>
                <w:rFonts w:ascii="Arial" w:cs="Arial" w:eastAsia="Arial" w:hAnsi="Arial"/>
                <w:sz w:val="12"/>
                <w:szCs w:val="12"/>
                <w:b w:val="1"/>
                <w:bCs w:val="1"/>
                <w:color w:val="auto"/>
                <w:w w:val="95"/>
              </w:rPr>
              <w:t>Year ended December 31, 2015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4"/>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99"/>
        </w:trPr>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0"/>
              </w:rPr>
              <w:t>As Previously</w:t>
            </w: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5"/>
              </w:rPr>
              <w:t>November 2017 Drop</w:t>
            </w:r>
          </w:p>
        </w:tc>
        <w:tc>
          <w:tcPr>
            <w:tcW w:w="12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August 2017 Drop Down</w:t>
            </w:r>
          </w:p>
        </w:tc>
        <w:tc>
          <w:tcPr>
            <w:tcW w:w="120" w:type="dxa"/>
            <w:vAlign w:val="bottom"/>
          </w:tcPr>
          <w:p>
            <w:pPr>
              <w:spacing w:after="0"/>
              <w:rPr>
                <w:sz w:val="8"/>
                <w:szCs w:val="8"/>
                <w:color w:val="auto"/>
              </w:rPr>
            </w:pPr>
          </w:p>
        </w:tc>
        <w:tc>
          <w:tcPr>
            <w:tcW w:w="9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6"/>
              </w:rPr>
              <w:t>As Currently</w:t>
            </w:r>
          </w:p>
        </w:tc>
        <w:tc>
          <w:tcPr>
            <w:tcW w:w="16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0"/>
              </w:rPr>
              <w:t>As Previously</w:t>
            </w:r>
          </w:p>
        </w:tc>
        <w:tc>
          <w:tcPr>
            <w:tcW w:w="100" w:type="dxa"/>
            <w:vAlign w:val="bottom"/>
          </w:tcPr>
          <w:p>
            <w:pPr>
              <w:spacing w:after="0"/>
              <w:rPr>
                <w:sz w:val="8"/>
                <w:szCs w:val="8"/>
                <w:color w:val="auto"/>
              </w:rPr>
            </w:pPr>
          </w:p>
        </w:tc>
        <w:tc>
          <w:tcPr>
            <w:tcW w:w="11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5"/>
              </w:rPr>
              <w:t>November 2017 Drop</w:t>
            </w:r>
          </w:p>
        </w:tc>
        <w:tc>
          <w:tcPr>
            <w:tcW w:w="124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August 2017 Drop Down</w:t>
            </w:r>
          </w:p>
        </w:tc>
        <w:tc>
          <w:tcPr>
            <w:tcW w:w="120" w:type="dxa"/>
            <w:vAlign w:val="bottom"/>
          </w:tcPr>
          <w:p>
            <w:pPr>
              <w:spacing w:after="0"/>
              <w:rPr>
                <w:sz w:val="8"/>
                <w:szCs w:val="8"/>
                <w:color w:val="auto"/>
              </w:rPr>
            </w:pPr>
          </w:p>
        </w:tc>
        <w:tc>
          <w:tcPr>
            <w:tcW w:w="780" w:type="dxa"/>
            <w:vAlign w:val="bottom"/>
          </w:tcPr>
          <w:p>
            <w:pPr>
              <w:jc w:val="right"/>
              <w:ind w:right="104"/>
              <w:spacing w:after="0" w:line="99" w:lineRule="exact"/>
              <w:rPr>
                <w:sz w:val="20"/>
                <w:szCs w:val="20"/>
                <w:color w:val="auto"/>
              </w:rPr>
            </w:pPr>
            <w:r>
              <w:rPr>
                <w:rFonts w:ascii="Arial" w:cs="Arial" w:eastAsia="Arial" w:hAnsi="Arial"/>
                <w:sz w:val="10"/>
                <w:szCs w:val="10"/>
                <w:b w:val="1"/>
                <w:bCs w:val="1"/>
                <w:color w:val="auto"/>
                <w:w w:val="99"/>
              </w:rPr>
              <w:t>As Currently</w:t>
            </w:r>
          </w:p>
        </w:tc>
      </w:tr>
      <w:tr>
        <w:trPr>
          <w:trHeight w:val="134"/>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 xml:space="preserve">Reported </w:t>
            </w:r>
            <w:r>
              <w:rPr>
                <w:rFonts w:ascii="Arial" w:cs="Arial" w:eastAsia="Arial" w:hAnsi="Arial"/>
                <w:sz w:val="6"/>
                <w:szCs w:val="6"/>
                <w:b w:val="1"/>
                <w:bCs w:val="1"/>
                <w:color w:val="auto"/>
                <w:w w:val="96"/>
              </w:rPr>
              <w:t>(a)</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Down Assets</w:t>
            </w:r>
          </w:p>
        </w:tc>
        <w:tc>
          <w:tcPr>
            <w:tcW w:w="800" w:type="dxa"/>
            <w:vAlign w:val="bottom"/>
          </w:tcPr>
          <w:p>
            <w:pPr>
              <w:ind w:left="440"/>
              <w:spacing w:after="0"/>
              <w:rPr>
                <w:sz w:val="20"/>
                <w:szCs w:val="20"/>
                <w:color w:val="auto"/>
              </w:rPr>
            </w:pPr>
            <w:r>
              <w:rPr>
                <w:rFonts w:ascii="Arial" w:cs="Arial" w:eastAsia="Arial" w:hAnsi="Arial"/>
                <w:sz w:val="10"/>
                <w:szCs w:val="10"/>
                <w:b w:val="1"/>
                <w:bCs w:val="1"/>
                <w:color w:val="auto"/>
              </w:rPr>
              <w:t>Assets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Reported</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 xml:space="preserve">Reported </w:t>
            </w:r>
            <w:r>
              <w:rPr>
                <w:rFonts w:ascii="Arial" w:cs="Arial" w:eastAsia="Arial" w:hAnsi="Arial"/>
                <w:sz w:val="6"/>
                <w:szCs w:val="6"/>
                <w:b w:val="1"/>
                <w:bCs w:val="1"/>
                <w:color w:val="auto"/>
                <w:w w:val="96"/>
              </w:rPr>
              <w:t>(a)</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Down Assets</w:t>
            </w:r>
          </w:p>
        </w:tc>
        <w:tc>
          <w:tcPr>
            <w:tcW w:w="800" w:type="dxa"/>
            <w:vAlign w:val="bottom"/>
          </w:tcPr>
          <w:p>
            <w:pPr>
              <w:ind w:left="420"/>
              <w:spacing w:after="0"/>
              <w:rPr>
                <w:sz w:val="20"/>
                <w:szCs w:val="20"/>
                <w:color w:val="auto"/>
              </w:rPr>
            </w:pPr>
            <w:r>
              <w:rPr>
                <w:rFonts w:ascii="Arial" w:cs="Arial" w:eastAsia="Arial" w:hAnsi="Arial"/>
                <w:sz w:val="10"/>
                <w:szCs w:val="10"/>
                <w:b w:val="1"/>
                <w:bCs w:val="1"/>
                <w:color w:val="auto"/>
              </w:rPr>
              <w:t>Assets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84"/>
              <w:spacing w:after="0"/>
              <w:rPr>
                <w:sz w:val="20"/>
                <w:szCs w:val="20"/>
                <w:color w:val="auto"/>
              </w:rPr>
            </w:pPr>
            <w:r>
              <w:rPr>
                <w:rFonts w:ascii="Arial" w:cs="Arial" w:eastAsia="Arial" w:hAnsi="Arial"/>
                <w:sz w:val="10"/>
                <w:szCs w:val="10"/>
                <w:b w:val="1"/>
                <w:bCs w:val="1"/>
                <w:color w:val="auto"/>
              </w:rPr>
              <w:t>Reported</w:t>
            </w:r>
          </w:p>
        </w:tc>
      </w:tr>
      <w:tr>
        <w:trPr>
          <w:trHeight w:val="188"/>
        </w:trPr>
        <w:tc>
          <w:tcPr>
            <w:tcW w:w="21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7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revenues</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1,021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1,035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953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968</w:t>
            </w:r>
          </w:p>
        </w:tc>
      </w:tr>
      <w:tr>
        <w:trPr>
          <w:trHeight w:val="174"/>
        </w:trPr>
        <w:tc>
          <w:tcPr>
            <w:tcW w:w="21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2"/>
                <w:szCs w:val="12"/>
                <w:color w:val="auto"/>
              </w:rPr>
              <w:t>328</w:t>
            </w: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95</w:t>
            </w:r>
          </w:p>
        </w:tc>
      </w:tr>
      <w:tr>
        <w:trPr>
          <w:trHeight w:val="174"/>
        </w:trPr>
        <w:tc>
          <w:tcPr>
            <w:tcW w:w="2180" w:type="dxa"/>
            <w:vAlign w:val="bottom"/>
          </w:tcPr>
          <w:p>
            <w:pPr>
              <w:ind w:left="20"/>
              <w:spacing w:after="0"/>
              <w:rPr>
                <w:sz w:val="20"/>
                <w:szCs w:val="20"/>
                <w:color w:val="auto"/>
              </w:rPr>
            </w:pPr>
            <w:r>
              <w:rPr>
                <w:rFonts w:ascii="Arial" w:cs="Arial" w:eastAsia="Arial" w:hAnsi="Arial"/>
                <w:sz w:val="13"/>
                <w:szCs w:val="13"/>
                <w:color w:val="auto"/>
              </w:rPr>
              <w:t>Net income attributable to Yield LLC</w:t>
            </w: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2"/>
                <w:szCs w:val="12"/>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1859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85" w:lineRule="exact"/>
        <w:rPr>
          <w:sz w:val="20"/>
          <w:szCs w:val="20"/>
          <w:color w:val="auto"/>
        </w:rPr>
      </w:pPr>
    </w:p>
    <w:p>
      <w:pPr>
        <w:ind w:left="142" w:hanging="142"/>
        <w:spacing w:after="0"/>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0"/>
          <w:szCs w:val="10"/>
          <w:color w:val="auto"/>
        </w:rPr>
        <w:t>As previously reported in the May 9, 2017 Form 8-K filed in connection with the March 2017 Drop Down completed on March 27, 2017</w:t>
      </w:r>
    </w:p>
    <w:p>
      <w:pPr>
        <w:spacing w:after="0" w:line="252"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As of December 31, 2016</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4"/>
        </w:trPr>
        <w:tc>
          <w:tcPr>
            <w:tcW w:w="7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6"/>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37"/>
              <w:spacing w:after="0"/>
              <w:rPr>
                <w:sz w:val="20"/>
                <w:szCs w:val="20"/>
                <w:color w:val="auto"/>
              </w:rPr>
            </w:pPr>
            <w:r>
              <w:rPr>
                <w:rFonts w:ascii="Arial" w:cs="Arial" w:eastAsia="Arial" w:hAnsi="Arial"/>
                <w:sz w:val="12"/>
                <w:szCs w:val="12"/>
                <w:b w:val="1"/>
                <w:bCs w:val="1"/>
                <w:color w:val="auto"/>
                <w:w w:val="95"/>
              </w:rPr>
              <w:t>As Previously</w:t>
            </w:r>
          </w:p>
        </w:tc>
        <w:tc>
          <w:tcPr>
            <w:tcW w:w="240" w:type="dxa"/>
            <w:vAlign w:val="bottom"/>
          </w:tcPr>
          <w:p>
            <w:pPr>
              <w:spacing w:after="0"/>
              <w:rPr>
                <w:sz w:val="12"/>
                <w:szCs w:val="12"/>
                <w:color w:val="auto"/>
              </w:rPr>
            </w:pPr>
          </w:p>
        </w:tc>
        <w:tc>
          <w:tcPr>
            <w:tcW w:w="1280" w:type="dxa"/>
            <w:vAlign w:val="bottom"/>
          </w:tcPr>
          <w:p>
            <w:pPr>
              <w:jc w:val="center"/>
              <w:ind w:right="77"/>
              <w:spacing w:after="0"/>
              <w:rPr>
                <w:sz w:val="20"/>
                <w:szCs w:val="20"/>
                <w:color w:val="auto"/>
              </w:rPr>
            </w:pPr>
            <w:r>
              <w:rPr>
                <w:rFonts w:ascii="Arial" w:cs="Arial" w:eastAsia="Arial" w:hAnsi="Arial"/>
                <w:sz w:val="12"/>
                <w:szCs w:val="12"/>
                <w:b w:val="1"/>
                <w:bCs w:val="1"/>
                <w:color w:val="auto"/>
                <w:w w:val="88"/>
              </w:rPr>
              <w:t>November 2017 Drop</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 xml:space="preserve">Reported </w:t>
            </w:r>
            <w:r>
              <w:rPr>
                <w:rFonts w:ascii="Arial" w:cs="Arial" w:eastAsia="Arial" w:hAnsi="Arial"/>
                <w:sz w:val="15"/>
                <w:szCs w:val="15"/>
                <w:b w:val="1"/>
                <w:bCs w:val="1"/>
                <w:color w:val="auto"/>
                <w:vertAlign w:val="superscript"/>
              </w:rPr>
              <w:t>(a)</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w w:val="84"/>
              </w:rPr>
              <w:t>Down Assets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As Currently Reported</w:t>
            </w:r>
          </w:p>
        </w:tc>
      </w:tr>
      <w:tr>
        <w:trPr>
          <w:trHeight w:val="16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656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5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670</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5,460</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94</w:t>
            </w:r>
          </w:p>
        </w:tc>
        <w:tc>
          <w:tcPr>
            <w:tcW w:w="5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5,554</w:t>
            </w: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20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2,504</w:t>
            </w:r>
          </w:p>
        </w:tc>
        <w:tc>
          <w:tcPr>
            <w:tcW w:w="24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56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2,522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8,620</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126</w:t>
            </w:r>
          </w:p>
        </w:tc>
        <w:tc>
          <w:tcPr>
            <w:tcW w:w="5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8,746</w:t>
            </w:r>
          </w:p>
        </w:tc>
      </w:tr>
      <w:tr>
        <w:trPr>
          <w:trHeight w:val="164"/>
        </w:trPr>
        <w:tc>
          <w:tcPr>
            <w:tcW w:w="734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Debt (Current and non-current)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6,007</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62</w:t>
            </w:r>
          </w:p>
        </w:tc>
        <w:tc>
          <w:tcPr>
            <w:tcW w:w="5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6,069</w:t>
            </w: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20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24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56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313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liabilities assumed</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6,316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66</w:t>
            </w:r>
          </w:p>
        </w:tc>
        <w:tc>
          <w:tcPr>
            <w:tcW w:w="5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6,382</w:t>
            </w:r>
          </w:p>
        </w:tc>
      </w:tr>
      <w:tr>
        <w:trPr>
          <w:trHeight w:val="193"/>
        </w:trPr>
        <w:tc>
          <w:tcPr>
            <w:tcW w:w="7340" w:type="dxa"/>
            <w:vAlign w:val="bottom"/>
          </w:tcPr>
          <w:p>
            <w:pPr>
              <w:ind w:left="260"/>
              <w:spacing w:after="0"/>
              <w:rPr>
                <w:sz w:val="20"/>
                <w:szCs w:val="20"/>
                <w:color w:val="auto"/>
              </w:rPr>
            </w:pPr>
            <w:r>
              <w:rPr>
                <w:rFonts w:ascii="Arial" w:cs="Arial" w:eastAsia="Arial" w:hAnsi="Arial"/>
                <w:sz w:val="13"/>
                <w:szCs w:val="13"/>
                <w:color w:val="auto"/>
              </w:rPr>
              <w:t>Net assets</w:t>
            </w: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2,304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60</w:t>
            </w:r>
          </w:p>
        </w:tc>
        <w:tc>
          <w:tcPr>
            <w:tcW w:w="5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8,746</w:t>
            </w:r>
          </w:p>
        </w:tc>
      </w:tr>
    </w:tbl>
    <w:p>
      <w:pPr>
        <w:spacing w:after="0" w:line="145" w:lineRule="exact"/>
        <w:rPr>
          <w:sz w:val="20"/>
          <w:szCs w:val="20"/>
          <w:color w:val="auto"/>
        </w:rPr>
      </w:pPr>
    </w:p>
    <w:p>
      <w:pPr>
        <w:ind w:left="142" w:hanging="142"/>
        <w:spacing w:after="0"/>
        <w:tabs>
          <w:tab w:leader="none" w:pos="142" w:val="left"/>
        </w:tabs>
        <w:numPr>
          <w:ilvl w:val="0"/>
          <w:numId w:val="35"/>
        </w:numPr>
        <w:rPr>
          <w:rFonts w:ascii="Arial" w:cs="Arial" w:eastAsia="Arial" w:hAnsi="Arial"/>
          <w:sz w:val="17"/>
          <w:szCs w:val="17"/>
          <w:color w:val="auto"/>
          <w:vertAlign w:val="superscript"/>
        </w:rPr>
      </w:pPr>
      <w:r>
        <w:rPr>
          <w:rFonts w:ascii="Arial" w:cs="Arial" w:eastAsia="Arial" w:hAnsi="Arial"/>
          <w:sz w:val="10"/>
          <w:szCs w:val="10"/>
          <w:color w:val="auto"/>
        </w:rPr>
        <w:t>As previously reported in the May 9, 2017 Form 8-K filed in connection with the March 2017 Drop Down completed on March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41859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8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482"/>
          </w:cols>
          <w:pgMar w:left="218" w:top="713" w:right="199" w:bottom="1440" w:gutter="0" w:footer="0" w:header="0"/>
        </w:sectPr>
      </w:pPr>
    </w:p>
    <w:bookmarkStart w:id="80" w:name="page81"/>
    <w:bookmarkEnd w:id="80"/>
    <w:p>
      <w:pPr>
        <w:jc w:val="both"/>
        <w:ind w:right="20" w:firstLine="291"/>
        <w:spacing w:after="0" w:line="277"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$132 million, including $2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10, </w:t>
      </w:r>
      <w:r>
        <w:rPr>
          <w:rFonts w:ascii="Arial" w:cs="Arial" w:eastAsia="Arial" w:hAnsi="Arial"/>
          <w:sz w:val="12"/>
          <w:szCs w:val="12"/>
          <w:i w:val="1"/>
          <w:iCs w:val="1"/>
          <w:color w:val="auto"/>
        </w:rPr>
        <w:t>Long-term Debt</w:t>
      </w:r>
      <w:r>
        <w:rPr>
          <w:rFonts w:ascii="Arial" w:cs="Arial" w:eastAsia="Arial" w:hAnsi="Arial"/>
          <w:sz w:val="12"/>
          <w:szCs w:val="12"/>
          <w:color w:val="auto"/>
        </w:rPr>
        <w:t>, as well as its pro-rata share of non-recourse project-level debt of Agua Caliente Solar LLC.</w:t>
      </w:r>
    </w:p>
    <w:p>
      <w:pPr>
        <w:spacing w:after="0" w:line="90" w:lineRule="exact"/>
        <w:rPr>
          <w:sz w:val="20"/>
          <w:szCs w:val="20"/>
          <w:color w:val="auto"/>
        </w:rPr>
      </w:pPr>
    </w:p>
    <w:p>
      <w:pPr>
        <w:jc w:val="both"/>
        <w:ind w:right="20" w:firstLine="282"/>
        <w:spacing w:after="0" w:line="253" w:lineRule="auto"/>
        <w:rPr>
          <w:sz w:val="20"/>
          <w:szCs w:val="20"/>
          <w:color w:val="auto"/>
        </w:rPr>
      </w:pPr>
      <w:r>
        <w:rPr>
          <w:rFonts w:ascii="Arial" w:cs="Arial" w:eastAsia="Arial" w:hAnsi="Arial"/>
          <w:sz w:val="13"/>
          <w:szCs w:val="13"/>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 - Related Issues.</w:t>
      </w:r>
      <w:r>
        <w:rPr>
          <w:rFonts w:ascii="Arial" w:cs="Arial" w:eastAsia="Arial" w:hAnsi="Arial"/>
          <w:sz w:val="13"/>
          <w:szCs w:val="13"/>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is a summary of assets and liabilities transferred in connection with the acquisition of the March 2017 Drop Down Assets as of March 27,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74"/>
        </w:trPr>
        <w:tc>
          <w:tcPr>
            <w:tcW w:w="9980" w:type="dxa"/>
            <w:vAlign w:val="bottom"/>
          </w:tcPr>
          <w:p>
            <w:pPr>
              <w:ind w:left="20"/>
              <w:spacing w:after="0"/>
              <w:rPr>
                <w:sz w:val="20"/>
                <w:szCs w:val="20"/>
                <w:color w:val="auto"/>
              </w:rPr>
            </w:pPr>
            <w:r>
              <w:rPr>
                <w:rFonts w:ascii="Arial" w:cs="Arial" w:eastAsia="Arial" w:hAnsi="Arial"/>
                <w:sz w:val="13"/>
                <w:szCs w:val="13"/>
                <w:color w:val="auto"/>
              </w:rPr>
              <w:t>Cash</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20"/>
        </w:trPr>
        <w:tc>
          <w:tcPr>
            <w:tcW w:w="9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investment in projects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456</w:t>
            </w:r>
          </w:p>
        </w:tc>
      </w:tr>
      <w:tr>
        <w:trPr>
          <w:trHeight w:val="164"/>
        </w:trPr>
        <w:tc>
          <w:tcPr>
            <w:tcW w:w="9980" w:type="dxa"/>
            <w:vAlign w:val="bottom"/>
          </w:tcPr>
          <w:p>
            <w:pPr>
              <w:ind w:left="120"/>
              <w:spacing w:after="0"/>
              <w:rPr>
                <w:sz w:val="20"/>
                <w:szCs w:val="20"/>
                <w:color w:val="auto"/>
              </w:rPr>
            </w:pPr>
            <w:r>
              <w:rPr>
                <w:rFonts w:ascii="Arial" w:cs="Arial" w:eastAsia="Arial" w:hAnsi="Arial"/>
                <w:sz w:val="13"/>
                <w:szCs w:val="13"/>
                <w:color w:val="auto"/>
              </w:rPr>
              <w:t>Total assets acquired</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462</w:t>
            </w:r>
          </w:p>
        </w:tc>
      </w:tr>
      <w:tr>
        <w:trPr>
          <w:trHeight w:val="20"/>
        </w:trPr>
        <w:tc>
          <w:tcPr>
            <w:tcW w:w="9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94"/>
        </w:trPr>
        <w:tc>
          <w:tcPr>
            <w:tcW w:w="9980" w:type="dxa"/>
            <w:vAlign w:val="bottom"/>
          </w:tcPr>
          <w:p>
            <w:pPr>
              <w:ind w:left="20"/>
              <w:spacing w:after="0" w:line="195" w:lineRule="exact"/>
              <w:rPr>
                <w:sz w:val="20"/>
                <w:szCs w:val="20"/>
                <w:color w:val="auto"/>
              </w:rPr>
            </w:pPr>
            <w:r>
              <w:rPr>
                <w:rFonts w:ascii="Arial" w:cs="Arial" w:eastAsia="Arial" w:hAnsi="Arial"/>
                <w:sz w:val="13"/>
                <w:szCs w:val="13"/>
                <w:color w:val="auto"/>
              </w:rPr>
              <w:t xml:space="preserve">Debt (Current and non-current) </w:t>
            </w:r>
            <w:r>
              <w:rPr>
                <w:rFonts w:ascii="Arial" w:cs="Arial" w:eastAsia="Arial" w:hAnsi="Arial"/>
                <w:sz w:val="18"/>
                <w:szCs w:val="18"/>
                <w:color w:val="auto"/>
                <w:vertAlign w:val="superscript"/>
              </w:rPr>
              <w:t>(a)</w:t>
            </w:r>
          </w:p>
        </w:tc>
        <w:tc>
          <w:tcPr>
            <w:tcW w:w="280" w:type="dxa"/>
            <w:vAlign w:val="bottom"/>
          </w:tcPr>
          <w:p>
            <w:pPr>
              <w:spacing w:after="0"/>
              <w:rPr>
                <w:sz w:val="16"/>
                <w:szCs w:val="16"/>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320</w:t>
            </w:r>
          </w:p>
        </w:tc>
      </w:tr>
      <w:tr>
        <w:trPr>
          <w:trHeight w:val="19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9980" w:type="dxa"/>
            <w:vAlign w:val="bottom"/>
          </w:tcPr>
          <w:p>
            <w:pPr>
              <w:ind w:left="120"/>
              <w:spacing w:after="0"/>
              <w:rPr>
                <w:sz w:val="20"/>
                <w:szCs w:val="20"/>
                <w:color w:val="auto"/>
              </w:rPr>
            </w:pPr>
            <w:r>
              <w:rPr>
                <w:rFonts w:ascii="Arial" w:cs="Arial" w:eastAsia="Arial" w:hAnsi="Arial"/>
                <w:sz w:val="13"/>
                <w:szCs w:val="13"/>
                <w:color w:val="auto"/>
              </w:rPr>
              <w:t>Total liabilities assumed</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323</w:t>
            </w:r>
          </w:p>
        </w:tc>
      </w:tr>
      <w:tr>
        <w:trPr>
          <w:trHeight w:val="20"/>
        </w:trPr>
        <w:tc>
          <w:tcPr>
            <w:tcW w:w="9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9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assets acquired</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41859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2"/>
          <w:szCs w:val="12"/>
          <w:color w:val="auto"/>
        </w:rPr>
        <w:t xml:space="preserve"> Net of $8 million of debt issuance costs.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2016 Acquisitions</w:t>
      </w:r>
    </w:p>
    <w:p>
      <w:pPr>
        <w:spacing w:after="0" w:line="119" w:lineRule="exact"/>
        <w:rPr>
          <w:sz w:val="20"/>
          <w:szCs w:val="20"/>
          <w:color w:val="auto"/>
        </w:rPr>
      </w:pPr>
    </w:p>
    <w:p>
      <w:pPr>
        <w:jc w:val="both"/>
        <w:ind w:right="20" w:firstLine="291"/>
        <w:spacing w:after="0" w:line="259" w:lineRule="auto"/>
        <w:rPr>
          <w:sz w:val="20"/>
          <w:szCs w:val="20"/>
          <w:color w:val="auto"/>
        </w:rPr>
      </w:pPr>
      <w:r>
        <w:rPr>
          <w:rFonts w:ascii="Arial" w:cs="Arial" w:eastAsia="Arial" w:hAnsi="Arial"/>
          <w:sz w:val="13"/>
          <w:szCs w:val="13"/>
          <w:b w:val="1"/>
          <w:bCs w:val="1"/>
          <w:i w:val="1"/>
          <w:iCs w:val="1"/>
          <w:color w:val="auto"/>
        </w:rPr>
        <w:t xml:space="preserve">CVSR Drop Down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 to September 1, 2016, the Company had a 48.95% interest in CVSR, which was accounted for as an equity method investment. On September 1, 2016, the Company acquired from NRG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remaining 51.05% interest of CVSR Holdco LLC, which indirectly owns the CVSR solar facility, or the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of the closing date. The acquisition was funded with cash on hand.</w:t>
      </w:r>
    </w:p>
    <w:p>
      <w:pPr>
        <w:spacing w:after="0" w:line="9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and historical value of the CVSR Drop Down of $112 million, as well as $6 million of AOCL,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480"/>
          </w:cols>
          <w:pgMar w:left="220" w:top="710" w:right="199" w:bottom="1440" w:gutter="0" w:footer="0" w:header="0"/>
        </w:sectPr>
      </w:pPr>
    </w:p>
    <w:bookmarkStart w:id="81" w:name="page82"/>
    <w:bookmarkEnd w:id="81"/>
    <w:p>
      <w:pPr>
        <w:jc w:val="both"/>
        <w:ind w:left="2" w:right="20"/>
        <w:spacing w:after="0" w:line="260" w:lineRule="auto"/>
        <w:rPr>
          <w:sz w:val="20"/>
          <w:szCs w:val="20"/>
          <w:color w:val="auto"/>
        </w:rPr>
      </w:pPr>
      <w:r>
        <w:rPr>
          <w:rFonts w:ascii="Arial" w:cs="Arial" w:eastAsia="Arial" w:hAnsi="Arial"/>
          <w:sz w:val="13"/>
          <w:szCs w:val="13"/>
          <w:color w:val="auto"/>
        </w:rPr>
        <w:t>CVSR and 100% of its debt, consisting of $771 million of project level debt and $200 million of notes issued under the CVSR Holdco Financing Agreement as of September 1, 2016</w:t>
      </w:r>
      <w:r>
        <w:rPr>
          <w:rFonts w:ascii="Arial" w:cs="Arial" w:eastAsia="Arial" w:hAnsi="Arial"/>
          <w:sz w:val="13"/>
          <w:szCs w:val="13"/>
          <w:i w:val="1"/>
          <w:iCs w:val="1"/>
          <w:color w:val="auto"/>
        </w:rPr>
        <w:t>.</w:t>
      </w:r>
      <w:r>
        <w:rPr>
          <w:rFonts w:ascii="Arial" w:cs="Arial" w:eastAsia="Arial" w:hAnsi="Arial"/>
          <w:sz w:val="13"/>
          <w:szCs w:val="13"/>
          <w:color w:val="auto"/>
        </w:rPr>
        <w:t xml:space="preserve"> In addition,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9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2015 Acquisitions</w:t>
      </w:r>
    </w:p>
    <w:p>
      <w:pPr>
        <w:spacing w:after="0" w:line="119" w:lineRule="exact"/>
        <w:rPr>
          <w:sz w:val="20"/>
          <w:szCs w:val="20"/>
          <w:color w:val="auto"/>
        </w:rPr>
      </w:pPr>
    </w:p>
    <w:p>
      <w:pPr>
        <w:jc w:val="both"/>
        <w:ind w:left="2" w:right="20" w:firstLine="291"/>
        <w:spacing w:after="0" w:line="263" w:lineRule="auto"/>
        <w:rPr>
          <w:sz w:val="20"/>
          <w:szCs w:val="20"/>
          <w:color w:val="auto"/>
        </w:rPr>
      </w:pPr>
      <w:r>
        <w:rPr>
          <w:rFonts w:ascii="Arial" w:cs="Arial" w:eastAsia="Arial" w:hAnsi="Arial"/>
          <w:sz w:val="13"/>
          <w:szCs w:val="13"/>
          <w:b w:val="1"/>
          <w:bCs w:val="1"/>
          <w:i w:val="1"/>
          <w:iCs w:val="1"/>
          <w:color w:val="auto"/>
        </w:rPr>
        <w:t xml:space="preserve">November 2015 Drop Down Assets from NRG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3, 2015, the Company acquired the November 2015 Drop Down Assets, a portfolio of 12 wind facilities totaling 814 net MW, from NRG for 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consideration of $207 million. The Company was responsible for its pro-rata share of non-recourse project debt of $193 million and noncontrolling interest associated with a tax equity structure of $159 million (as of the acquisition date).</w:t>
      </w:r>
    </w:p>
    <w:p>
      <w:pPr>
        <w:spacing w:after="0" w:line="95"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57" w:lineRule="exact"/>
        <w:rPr>
          <w:sz w:val="20"/>
          <w:szCs w:val="20"/>
          <w:color w:val="auto"/>
        </w:rPr>
      </w:pPr>
    </w:p>
    <w:p>
      <w:pPr>
        <w:jc w:val="both"/>
        <w:ind w:left="2" w:right="20" w:firstLine="291"/>
        <w:spacing w:after="0" w:line="295" w:lineRule="auto"/>
        <w:rPr>
          <w:sz w:val="20"/>
          <w:szCs w:val="20"/>
          <w:color w:val="auto"/>
        </w:rPr>
      </w:pPr>
      <w:r>
        <w:rPr>
          <w:rFonts w:ascii="Arial" w:cs="Arial" w:eastAsia="Arial" w:hAnsi="Arial"/>
          <w:sz w:val="12"/>
          <w:szCs w:val="12"/>
          <w:b w:val="1"/>
          <w:bCs w:val="1"/>
          <w:i w:val="1"/>
          <w:iCs w:val="1"/>
          <w:color w:val="auto"/>
        </w:rPr>
        <w:t xml:space="preserve">Desert Sunlight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June 29, 2015, the Company acquired 25% of the membership interest in Desert Sunlight Investment Holdings, LLC, which owns two solar photovoltaic facilities that total 550 MW, located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45" w:lineRule="exact"/>
        <w:rPr>
          <w:sz w:val="20"/>
          <w:szCs w:val="20"/>
          <w:color w:val="auto"/>
        </w:rPr>
      </w:pPr>
    </w:p>
    <w:p>
      <w:pPr>
        <w:jc w:val="both"/>
        <w:ind w:left="2" w:right="20" w:firstLine="291"/>
        <w:spacing w:after="0" w:line="263" w:lineRule="auto"/>
        <w:rPr>
          <w:sz w:val="20"/>
          <w:szCs w:val="20"/>
          <w:color w:val="auto"/>
        </w:rPr>
      </w:pPr>
      <w:r>
        <w:rPr>
          <w:rFonts w:ascii="Arial" w:cs="Arial" w:eastAsia="Arial" w:hAnsi="Arial"/>
          <w:sz w:val="13"/>
          <w:szCs w:val="13"/>
          <w:b w:val="1"/>
          <w:bCs w:val="1"/>
          <w:i w:val="1"/>
          <w:iCs w:val="1"/>
          <w:color w:val="auto"/>
        </w:rPr>
        <w:t xml:space="preserve">Spring Canyon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May 7, 2015, the Company acquired a 90.1% interest in Spring Canyon II, a 32 MW wind facility, and Spring Canyon III, a 28 MW wind facility, each located in Logan County, Colorado,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62" w:lineRule="exact"/>
        <w:rPr>
          <w:sz w:val="20"/>
          <w:szCs w:val="20"/>
          <w:color w:val="auto"/>
        </w:rPr>
      </w:pPr>
    </w:p>
    <w:p>
      <w:pPr>
        <w:jc w:val="both"/>
        <w:ind w:left="2" w:right="20" w:firstLine="291"/>
        <w:spacing w:after="0" w:line="321" w:lineRule="auto"/>
        <w:rPr>
          <w:sz w:val="20"/>
          <w:szCs w:val="20"/>
          <w:color w:val="auto"/>
        </w:rPr>
      </w:pPr>
      <w:r>
        <w:rPr>
          <w:rFonts w:ascii="Arial" w:cs="Arial" w:eastAsia="Arial" w:hAnsi="Arial"/>
          <w:sz w:val="12"/>
          <w:szCs w:val="12"/>
          <w:b w:val="1"/>
          <w:bCs w:val="1"/>
          <w:i w:val="1"/>
          <w:iCs w:val="1"/>
          <w:color w:val="auto"/>
        </w:rPr>
        <w:t xml:space="preserve">University of Bridgeport Fuel Cell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April 30, 2015, the Company completed the acquisition of the University of Bridgeport Fuel Cell project in Bridgeport, Connecticut from FuelCell Energy, Inc. The project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added an additional 1.4 MW of thermal capacity to the Company's portfolio, with a 12-year contract, with the option for a 7-year extension. The acquisition is reflected in the Company's Thermal segment.</w:t>
      </w:r>
    </w:p>
    <w:p>
      <w:pPr>
        <w:spacing w:after="0" w:line="29" w:lineRule="exact"/>
        <w:rPr>
          <w:sz w:val="20"/>
          <w:szCs w:val="20"/>
          <w:color w:val="auto"/>
        </w:rPr>
      </w:pPr>
    </w:p>
    <w:p>
      <w:pPr>
        <w:ind w:left="282"/>
        <w:spacing w:after="0"/>
        <w:rPr>
          <w:sz w:val="20"/>
          <w:szCs w:val="20"/>
          <w:color w:val="auto"/>
        </w:rPr>
      </w:pPr>
      <w:r>
        <w:rPr>
          <w:rFonts w:ascii="Arial" w:cs="Arial" w:eastAsia="Arial" w:hAnsi="Arial"/>
          <w:sz w:val="12"/>
          <w:szCs w:val="12"/>
          <w:b w:val="1"/>
          <w:bCs w:val="1"/>
          <w:i w:val="1"/>
          <w:iCs w:val="1"/>
          <w:color w:val="auto"/>
        </w:rPr>
        <w:t xml:space="preserve">January 2015 Drop Down Assets from NRG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January 2, 2015, the Company acquired the following projects from NRG: (i) Laredo Ridge, an 80 MW wind facility located in Petersburg, Nebraska,</w:t>
      </w:r>
    </w:p>
    <w:p>
      <w:pPr>
        <w:spacing w:after="0" w:line="29" w:lineRule="exact"/>
        <w:rPr>
          <w:sz w:val="20"/>
          <w:szCs w:val="20"/>
          <w:color w:val="auto"/>
        </w:rPr>
      </w:pPr>
    </w:p>
    <w:p>
      <w:pPr>
        <w:jc w:val="both"/>
        <w:ind w:left="2" w:right="20" w:hanging="2"/>
        <w:spacing w:after="0" w:line="280" w:lineRule="auto"/>
        <w:tabs>
          <w:tab w:leader="none" w:pos="196" w:val="left"/>
        </w:tabs>
        <w:numPr>
          <w:ilvl w:val="0"/>
          <w:numId w:val="36"/>
        </w:numPr>
        <w:rPr>
          <w:rFonts w:ascii="Arial" w:cs="Arial" w:eastAsia="Arial" w:hAnsi="Arial"/>
          <w:sz w:val="12"/>
          <w:szCs w:val="12"/>
          <w:color w:val="auto"/>
        </w:rPr>
      </w:pPr>
      <w:r>
        <w:rPr>
          <w:rFonts w:ascii="Arial" w:cs="Arial" w:eastAsia="Arial" w:hAnsi="Arial"/>
          <w:sz w:val="12"/>
          <w:szCs w:val="12"/>
          <w:color w:val="auto"/>
        </w:rPr>
        <w:t>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was recorded as a distribution to NRG and reduced the balance of its contributed capital.</w:t>
      </w:r>
    </w:p>
    <w:p>
      <w:pPr>
        <w:spacing w:after="0" w:line="200" w:lineRule="exact"/>
        <w:rPr>
          <w:sz w:val="20"/>
          <w:szCs w:val="20"/>
          <w:color w:val="auto"/>
        </w:rPr>
      </w:pPr>
    </w:p>
    <w:p>
      <w:pPr>
        <w:spacing w:after="0" w:line="37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482"/>
          </w:cols>
          <w:pgMar w:left="218" w:top="713" w:right="199" w:bottom="1440" w:gutter="0" w:footer="0" w:header="0"/>
        </w:sectPr>
      </w:pPr>
    </w:p>
    <w:bookmarkStart w:id="82" w:name="page83"/>
    <w:bookmarkEnd w:id="82"/>
    <w:p>
      <w:pPr>
        <w:ind w:left="2"/>
        <w:spacing w:after="0"/>
        <w:rPr>
          <w:sz w:val="20"/>
          <w:szCs w:val="20"/>
          <w:color w:val="auto"/>
        </w:rPr>
      </w:pPr>
      <w:r>
        <w:rPr>
          <w:rFonts w:ascii="Arial" w:cs="Arial" w:eastAsia="Arial" w:hAnsi="Arial"/>
          <w:sz w:val="13"/>
          <w:szCs w:val="13"/>
          <w:b w:val="1"/>
          <w:bCs w:val="1"/>
          <w:color w:val="auto"/>
        </w:rPr>
        <w:t>Note 4 — Property, Plant and Equipment</w:t>
      </w:r>
    </w:p>
    <w:p>
      <w:pPr>
        <w:spacing w:after="0" w:line="12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Company’s major classes of property, plant, and equipment were as follows:</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December 31, 2017</w:t>
            </w: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w w:val="99"/>
              </w:rPr>
              <w:t>December 31, 2016</w:t>
            </w:r>
          </w:p>
        </w:tc>
        <w:tc>
          <w:tcPr>
            <w:tcW w:w="10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Depreciable Lives</w:t>
            </w:r>
          </w:p>
        </w:tc>
      </w:tr>
      <w:tr>
        <w:trPr>
          <w:trHeight w:val="184"/>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15"/>
              <w:spacing w:after="0"/>
              <w:rPr>
                <w:sz w:val="20"/>
                <w:szCs w:val="20"/>
                <w:color w:val="auto"/>
              </w:rPr>
            </w:pPr>
            <w:r>
              <w:rPr>
                <w:rFonts w:ascii="Arial" w:cs="Arial" w:eastAsia="Arial" w:hAnsi="Arial"/>
                <w:sz w:val="10"/>
                <w:szCs w:val="10"/>
                <w:b w:val="1"/>
                <w:bCs w:val="1"/>
                <w:color w:val="auto"/>
              </w:rPr>
              <w:t>(In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Facilities and equipment</w:t>
            </w: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6,289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6,339</w:t>
            </w: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2 - 45 Years</w:t>
            </w:r>
          </w:p>
        </w:tc>
      </w:tr>
      <w:tr>
        <w:trPr>
          <w:trHeight w:val="174"/>
        </w:trPr>
        <w:tc>
          <w:tcPr>
            <w:tcW w:w="6420" w:type="dxa"/>
            <w:vAlign w:val="bottom"/>
          </w:tcPr>
          <w:p>
            <w:pPr>
              <w:ind w:left="20"/>
              <w:spacing w:after="0"/>
              <w:rPr>
                <w:sz w:val="20"/>
                <w:szCs w:val="20"/>
                <w:color w:val="auto"/>
              </w:rPr>
            </w:pPr>
            <w:r>
              <w:rPr>
                <w:rFonts w:ascii="Arial" w:cs="Arial" w:eastAsia="Arial" w:hAnsi="Arial"/>
                <w:sz w:val="13"/>
                <w:szCs w:val="13"/>
                <w:color w:val="auto"/>
              </w:rPr>
              <w:t>Land and improvements</w:t>
            </w:r>
          </w:p>
        </w:tc>
        <w:tc>
          <w:tcPr>
            <w:tcW w:w="240" w:type="dxa"/>
            <w:vAlign w:val="bottom"/>
          </w:tcPr>
          <w:p>
            <w:pPr>
              <w:spacing w:after="0"/>
              <w:rPr>
                <w:sz w:val="15"/>
                <w:szCs w:val="15"/>
                <w:color w:val="auto"/>
              </w:rPr>
            </w:pPr>
          </w:p>
        </w:tc>
        <w:tc>
          <w:tcPr>
            <w:tcW w:w="1380" w:type="dxa"/>
            <w:vAlign w:val="bottom"/>
          </w:tcPr>
          <w:p>
            <w:pPr>
              <w:jc w:val="right"/>
              <w:ind w:right="58"/>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4"/>
        </w:trPr>
        <w:tc>
          <w:tcPr>
            <w:tcW w:w="6420" w:type="dxa"/>
            <w:vAlign w:val="bottom"/>
            <w:shd w:val="clear" w:color="auto" w:fill="CCEEFF"/>
          </w:tcPr>
          <w:p>
            <w:pPr>
              <w:ind w:left="20"/>
              <w:spacing w:after="0" w:line="195" w:lineRule="exact"/>
              <w:rPr>
                <w:sz w:val="20"/>
                <w:szCs w:val="20"/>
                <w:color w:val="auto"/>
              </w:rPr>
            </w:pPr>
            <w:r>
              <w:rPr>
                <w:rFonts w:ascii="Arial" w:cs="Arial" w:eastAsia="Arial" w:hAnsi="Arial"/>
                <w:sz w:val="13"/>
                <w:szCs w:val="13"/>
                <w:color w:val="auto"/>
              </w:rPr>
              <w:t xml:space="preserve">Construction in progress </w:t>
            </w:r>
            <w:r>
              <w:rPr>
                <w:rFonts w:ascii="Arial" w:cs="Arial" w:eastAsia="Arial" w:hAnsi="Arial"/>
                <w:sz w:val="18"/>
                <w:szCs w:val="18"/>
                <w:color w:val="auto"/>
                <w:vertAlign w:val="superscript"/>
              </w:rPr>
              <w:t>(a)</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64"/>
        </w:trPr>
        <w:tc>
          <w:tcPr>
            <w:tcW w:w="6420" w:type="dxa"/>
            <w:vAlign w:val="bottom"/>
          </w:tcPr>
          <w:p>
            <w:pPr>
              <w:ind w:left="200"/>
              <w:spacing w:after="0"/>
              <w:rPr>
                <w:sz w:val="20"/>
                <w:szCs w:val="20"/>
                <w:color w:val="auto"/>
              </w:rPr>
            </w:pPr>
            <w:r>
              <w:rPr>
                <w:rFonts w:ascii="Arial" w:cs="Arial" w:eastAsia="Arial" w:hAnsi="Arial"/>
                <w:sz w:val="13"/>
                <w:szCs w:val="13"/>
                <w:color w:val="auto"/>
              </w:rPr>
              <w:t>Total property, plant and equipment</w:t>
            </w:r>
          </w:p>
        </w:tc>
        <w:tc>
          <w:tcPr>
            <w:tcW w:w="240" w:type="dxa"/>
            <w:vAlign w:val="bottom"/>
          </w:tcPr>
          <w:p>
            <w:pPr>
              <w:spacing w:after="0"/>
              <w:rPr>
                <w:sz w:val="14"/>
                <w:szCs w:val="14"/>
                <w:color w:val="auto"/>
              </w:rPr>
            </w:pPr>
          </w:p>
        </w:tc>
        <w:tc>
          <w:tcPr>
            <w:tcW w:w="1380" w:type="dxa"/>
            <w:vAlign w:val="bottom"/>
          </w:tcPr>
          <w:p>
            <w:pPr>
              <w:jc w:val="right"/>
              <w:ind w:right="58"/>
              <w:spacing w:after="0"/>
              <w:rPr>
                <w:sz w:val="20"/>
                <w:szCs w:val="20"/>
                <w:color w:val="auto"/>
              </w:rPr>
            </w:pPr>
            <w:r>
              <w:rPr>
                <w:rFonts w:ascii="Arial" w:cs="Arial" w:eastAsia="Arial" w:hAnsi="Arial"/>
                <w:sz w:val="13"/>
                <w:szCs w:val="13"/>
                <w:color w:val="auto"/>
              </w:rPr>
              <w:t>6,489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6,530</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(1,285)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193"/>
        </w:trPr>
        <w:tc>
          <w:tcPr>
            <w:tcW w:w="6420" w:type="dxa"/>
            <w:vAlign w:val="bottom"/>
          </w:tcPr>
          <w:p>
            <w:pPr>
              <w:ind w:left="200"/>
              <w:spacing w:after="0"/>
              <w:rPr>
                <w:sz w:val="20"/>
                <w:szCs w:val="20"/>
                <w:color w:val="auto"/>
              </w:rPr>
            </w:pPr>
            <w:r>
              <w:rPr>
                <w:rFonts w:ascii="Arial" w:cs="Arial" w:eastAsia="Arial" w:hAnsi="Arial"/>
                <w:sz w:val="13"/>
                <w:szCs w:val="13"/>
                <w:color w:val="auto"/>
              </w:rPr>
              <w:t>Net property, plant and equipment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5,204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5,554</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3" w:lineRule="exact"/>
        <w:rPr>
          <w:sz w:val="20"/>
          <w:szCs w:val="20"/>
          <w:color w:val="auto"/>
        </w:rPr>
      </w:pPr>
    </w:p>
    <w:p>
      <w:pPr>
        <w:ind w:left="122" w:hanging="122"/>
        <w:spacing w:after="0"/>
        <w:tabs>
          <w:tab w:leader="none" w:pos="122" w:val="left"/>
        </w:tabs>
        <w:numPr>
          <w:ilvl w:val="0"/>
          <w:numId w:val="37"/>
        </w:numPr>
        <w:rPr>
          <w:rFonts w:ascii="Arial" w:cs="Arial" w:eastAsia="Arial" w:hAnsi="Arial"/>
          <w:sz w:val="14"/>
          <w:szCs w:val="14"/>
          <w:color w:val="auto"/>
          <w:vertAlign w:val="superscript"/>
        </w:rPr>
      </w:pPr>
      <w:r>
        <w:rPr>
          <w:rFonts w:ascii="Arial" w:cs="Arial" w:eastAsia="Arial" w:hAnsi="Arial"/>
          <w:sz w:val="11"/>
          <w:szCs w:val="11"/>
          <w:color w:val="auto"/>
        </w:rPr>
        <w:t>As of December 31, 2017 and 2016, construction in progress includes $24 million and $20 million of capital expenditures that relate to prepaid long-term service agreements in the Conventional segment, respectively.</w:t>
      </w:r>
    </w:p>
    <w:p>
      <w:pPr>
        <w:spacing w:after="0" w:line="102" w:lineRule="exact"/>
        <w:rPr>
          <w:rFonts w:ascii="Arial" w:cs="Arial" w:eastAsia="Arial" w:hAnsi="Arial"/>
          <w:sz w:val="14"/>
          <w:szCs w:val="14"/>
          <w:color w:val="auto"/>
          <w:vertAlign w:val="superscript"/>
        </w:rPr>
      </w:pPr>
    </w:p>
    <w:p>
      <w:pPr>
        <w:ind w:left="282"/>
        <w:spacing w:after="0"/>
        <w:rPr>
          <w:rFonts w:ascii="Arial" w:cs="Arial" w:eastAsia="Arial" w:hAnsi="Arial"/>
          <w:sz w:val="14"/>
          <w:szCs w:val="14"/>
          <w:color w:val="auto"/>
          <w:vertAlign w:val="superscript"/>
        </w:rPr>
      </w:pPr>
      <w:r>
        <w:rPr>
          <w:rFonts w:ascii="Arial" w:cs="Arial" w:eastAsia="Arial" w:hAnsi="Arial"/>
          <w:sz w:val="13"/>
          <w:szCs w:val="13"/>
          <w:color w:val="auto"/>
        </w:rPr>
        <w:t xml:space="preserve">The Company recorded long-lived asset impairments during the years ended December 31, 2017 and 2016, as further described in Note 9, </w:t>
      </w:r>
      <w:r>
        <w:rPr>
          <w:rFonts w:ascii="Arial" w:cs="Arial" w:eastAsia="Arial" w:hAnsi="Arial"/>
          <w:sz w:val="13"/>
          <w:szCs w:val="13"/>
          <w:i w:val="1"/>
          <w:iCs w:val="1"/>
          <w:color w:val="auto"/>
        </w:rPr>
        <w:t>Asset Impairments.</w:t>
      </w:r>
    </w:p>
    <w:p>
      <w:pPr>
        <w:spacing w:after="0" w:line="119"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5 — Investments Accounted for by the Equity Method and Variable Interest Entities</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Equity Method Investments</w:t>
      </w:r>
    </w:p>
    <w:p>
      <w:pPr>
        <w:spacing w:after="0" w:line="12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Company's equity method investments as of December 31, 2017:</w:t>
      </w:r>
    </w:p>
    <w:p>
      <w:pPr>
        <w:spacing w:after="0" w:line="171" w:lineRule="exact"/>
        <w:rPr>
          <w:sz w:val="20"/>
          <w:szCs w:val="20"/>
          <w:color w:val="auto"/>
        </w:rPr>
      </w:pPr>
    </w:p>
    <w:tbl>
      <w:tblPr>
        <w:tblLayout w:type="fixed"/>
        <w:tblInd w:w="222" w:type="dxa"/>
        <w:tblCellMar>
          <w:top w:w="0" w:type="dxa"/>
          <w:left w:w="0" w:type="dxa"/>
          <w:bottom w:w="0" w:type="dxa"/>
          <w:right w:w="0" w:type="dxa"/>
        </w:tblCellMar>
      </w:tblPr>
      <w:tr>
        <w:trPr>
          <w:trHeight w:val="150"/>
        </w:trPr>
        <w:tc>
          <w:tcPr>
            <w:tcW w:w="6080" w:type="dxa"/>
            <w:vAlign w:val="bottom"/>
            <w:gridSpan w:val="2"/>
          </w:tcPr>
          <w:p>
            <w:pPr>
              <w:ind w:left="2840"/>
              <w:spacing w:after="0"/>
              <w:rPr>
                <w:sz w:val="20"/>
                <w:szCs w:val="20"/>
                <w:color w:val="auto"/>
              </w:rPr>
            </w:pPr>
            <w:r>
              <w:rPr>
                <w:rFonts w:ascii="Arial" w:cs="Arial" w:eastAsia="Arial" w:hAnsi="Arial"/>
                <w:sz w:val="12"/>
                <w:szCs w:val="12"/>
                <w:b w:val="1"/>
                <w:bCs w:val="1"/>
                <w:color w:val="auto"/>
              </w:rPr>
              <w:t>Name</w:t>
            </w:r>
          </w:p>
        </w:tc>
        <w:tc>
          <w:tcPr>
            <w:tcW w:w="2540" w:type="dxa"/>
            <w:vAlign w:val="bottom"/>
            <w:gridSpan w:val="2"/>
          </w:tcPr>
          <w:p>
            <w:pPr>
              <w:ind w:left="760"/>
              <w:spacing w:after="0"/>
              <w:rPr>
                <w:sz w:val="20"/>
                <w:szCs w:val="20"/>
                <w:color w:val="auto"/>
              </w:rPr>
            </w:pPr>
            <w:r>
              <w:rPr>
                <w:rFonts w:ascii="Arial" w:cs="Arial" w:eastAsia="Arial" w:hAnsi="Arial"/>
                <w:sz w:val="12"/>
                <w:szCs w:val="12"/>
                <w:b w:val="1"/>
                <w:bCs w:val="1"/>
                <w:color w:val="auto"/>
              </w:rPr>
              <w:t>Economic Interest</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6"/>
              </w:rPr>
              <w:t>Investment Balance</w:t>
            </w:r>
          </w:p>
        </w:tc>
      </w:tr>
      <w:tr>
        <w:trPr>
          <w:trHeight w:val="24"/>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(In millions)</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Utah Solar Portfolio </w:t>
            </w:r>
            <w:r>
              <w:rPr>
                <w:rFonts w:ascii="Arial" w:cs="Arial" w:eastAsia="Arial" w:hAnsi="Arial"/>
                <w:sz w:val="15"/>
                <w:szCs w:val="15"/>
                <w:color w:val="auto"/>
                <w:vertAlign w:val="superscript"/>
              </w:rPr>
              <w:t>(a)</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$345</w:t>
            </w:r>
          </w:p>
        </w:tc>
      </w:tr>
      <w:tr>
        <w:trPr>
          <w:trHeight w:val="170"/>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Desert Sunlight</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79"/>
              </w:rPr>
              <w:t>272</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GenConn</w:t>
            </w:r>
            <w:r>
              <w:rPr>
                <w:rFonts w:ascii="Arial" w:cs="Arial" w:eastAsia="Arial" w:hAnsi="Arial"/>
                <w:sz w:val="15"/>
                <w:szCs w:val="15"/>
                <w:color w:val="auto"/>
                <w:vertAlign w:val="superscript"/>
              </w:rPr>
              <w:t>(b)</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9"/>
              </w:rPr>
              <w:t>102</w:t>
            </w:r>
          </w:p>
        </w:tc>
      </w:tr>
      <w:tr>
        <w:trPr>
          <w:trHeight w:val="170"/>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Agua Caliente Borrower 2</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16%</w:t>
            </w:r>
          </w:p>
        </w:tc>
        <w:tc>
          <w:tcPr>
            <w:tcW w:w="10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92</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Elkhorn Ridge</w:t>
            </w:r>
            <w:r>
              <w:rPr>
                <w:rFonts w:ascii="Arial" w:cs="Arial" w:eastAsia="Arial" w:hAnsi="Arial"/>
                <w:sz w:val="15"/>
                <w:szCs w:val="15"/>
                <w:color w:val="auto"/>
                <w:vertAlign w:val="superscript"/>
              </w:rPr>
              <w:t>(c)</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66.7%</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73</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San Juan Mesa</w:t>
            </w:r>
            <w:r>
              <w:rPr>
                <w:rFonts w:ascii="Arial" w:cs="Arial" w:eastAsia="Arial" w:hAnsi="Arial"/>
                <w:sz w:val="15"/>
                <w:szCs w:val="15"/>
                <w:color w:val="auto"/>
                <w:vertAlign w:val="superscript"/>
              </w:rPr>
              <w:t>(c)</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75%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66</w:t>
            </w: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NRG DGPV Holdco 1 LLC </w:t>
            </w:r>
            <w:r>
              <w:rPr>
                <w:rFonts w:ascii="Arial" w:cs="Arial" w:eastAsia="Arial" w:hAnsi="Arial"/>
                <w:sz w:val="15"/>
                <w:szCs w:val="15"/>
                <w:color w:val="auto"/>
                <w:vertAlign w:val="superscript"/>
              </w:rPr>
              <w:t>(d)</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76</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 xml:space="preserve">NRG DGPV Holdco 2 LLC </w:t>
            </w:r>
            <w:r>
              <w:rPr>
                <w:rFonts w:ascii="Arial" w:cs="Arial" w:eastAsia="Arial" w:hAnsi="Arial"/>
                <w:sz w:val="15"/>
                <w:szCs w:val="15"/>
                <w:color w:val="auto"/>
                <w:vertAlign w:val="superscript"/>
              </w:rPr>
              <w:t>(d)</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61</w:t>
            </w: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NRG DGPV Holdco 3 LLC </w:t>
            </w:r>
            <w:r>
              <w:rPr>
                <w:rFonts w:ascii="Arial" w:cs="Arial" w:eastAsia="Arial" w:hAnsi="Arial"/>
                <w:sz w:val="15"/>
                <w:szCs w:val="15"/>
                <w:color w:val="auto"/>
                <w:vertAlign w:val="superscript"/>
              </w:rPr>
              <w:t>(d)</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99%</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39</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NRG RPV Holdco 1 LLC</w:t>
            </w:r>
            <w:r>
              <w:rPr>
                <w:rFonts w:ascii="Arial" w:cs="Arial" w:eastAsia="Arial" w:hAnsi="Arial"/>
                <w:sz w:val="15"/>
                <w:szCs w:val="15"/>
                <w:color w:val="auto"/>
                <w:vertAlign w:val="superscript"/>
              </w:rPr>
              <w:t>(d)</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58</w:t>
            </w:r>
          </w:p>
        </w:tc>
      </w:tr>
      <w:tr>
        <w:trPr>
          <w:trHeight w:val="194"/>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Avenal</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5"/>
              </w:rPr>
              <w:t>(6)</w:t>
            </w:r>
          </w:p>
        </w:tc>
      </w:tr>
      <w:tr>
        <w:trPr>
          <w:trHeight w:val="183"/>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equity investments in affiliates</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7"/>
              </w:rPr>
              <w:t>$1,178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140652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06525" cy="6350"/>
                    </a:xfrm>
                    <a:prstGeom prst="rect">
                      <a:avLst/>
                    </a:prstGeom>
                    <a:noFill/>
                  </pic:spPr>
                </pic:pic>
              </a:graphicData>
            </a:graphic>
          </wp:anchor>
        </w:drawing>
      </w:r>
    </w:p>
    <w:p>
      <w:pPr>
        <w:spacing w:after="0" w:line="190" w:lineRule="exact"/>
        <w:rPr>
          <w:sz w:val="20"/>
          <w:szCs w:val="20"/>
          <w:color w:val="auto"/>
        </w:rPr>
      </w:pPr>
    </w:p>
    <w:p>
      <w:pPr>
        <w:ind w:left="222" w:hanging="106"/>
        <w:spacing w:after="0"/>
        <w:tabs>
          <w:tab w:leader="none" w:pos="222" w:val="left"/>
        </w:tabs>
        <w:numPr>
          <w:ilvl w:val="0"/>
          <w:numId w:val="38"/>
        </w:numPr>
        <w:rPr>
          <w:rFonts w:ascii="Arial" w:cs="Arial" w:eastAsia="Arial" w:hAnsi="Arial"/>
          <w:sz w:val="6"/>
          <w:szCs w:val="6"/>
          <w:color w:val="auto"/>
        </w:rPr>
      </w:pPr>
      <w:r>
        <w:rPr>
          <w:rFonts w:ascii="Arial" w:cs="Arial" w:eastAsia="Arial" w:hAnsi="Arial"/>
          <w:sz w:val="10"/>
          <w:szCs w:val="10"/>
          <w:color w:val="auto"/>
        </w:rPr>
        <w:t>Economic interest based on cash to be distributed. Four Brothers Solar, LLC, Granite Mountain Holdings, LLC and Iron Springs Holdings, LLC are tax equity structures and VIEs. The related allocations are described below.</w:t>
      </w:r>
    </w:p>
    <w:p>
      <w:pPr>
        <w:ind w:left="222" w:hanging="106"/>
        <w:spacing w:after="0" w:line="223" w:lineRule="auto"/>
        <w:tabs>
          <w:tab w:leader="none" w:pos="222" w:val="left"/>
        </w:tabs>
        <w:numPr>
          <w:ilvl w:val="0"/>
          <w:numId w:val="38"/>
        </w:numPr>
        <w:rPr>
          <w:rFonts w:ascii="Arial" w:cs="Arial" w:eastAsia="Arial" w:hAnsi="Arial"/>
          <w:sz w:val="6"/>
          <w:szCs w:val="6"/>
          <w:color w:val="auto"/>
        </w:rPr>
      </w:pPr>
      <w:r>
        <w:rPr>
          <w:rFonts w:ascii="Arial" w:cs="Arial" w:eastAsia="Arial" w:hAnsi="Arial"/>
          <w:sz w:val="10"/>
          <w:szCs w:val="10"/>
          <w:color w:val="auto"/>
        </w:rPr>
        <w:t>GenConn is a variable interest entity.</w:t>
      </w:r>
    </w:p>
    <w:p>
      <w:pPr>
        <w:ind w:left="122" w:right="140" w:hanging="6"/>
        <w:spacing w:after="0" w:line="212" w:lineRule="auto"/>
        <w:tabs>
          <w:tab w:leader="none" w:pos="220" w:val="left"/>
        </w:tabs>
        <w:numPr>
          <w:ilvl w:val="0"/>
          <w:numId w:val="38"/>
        </w:numPr>
        <w:rPr>
          <w:rFonts w:ascii="Arial" w:cs="Arial" w:eastAsia="Arial" w:hAnsi="Arial"/>
          <w:sz w:val="6"/>
          <w:szCs w:val="6"/>
          <w:color w:val="auto"/>
        </w:rPr>
      </w:pPr>
      <w:r>
        <w:rPr>
          <w:rFonts w:ascii="Arial" w:cs="Arial" w:eastAsia="Arial" w:hAnsi="Arial"/>
          <w:sz w:val="10"/>
          <w:szCs w:val="10"/>
          <w:color w:val="auto"/>
        </w:rPr>
        <w:t>San Juan Mesa and Elkhorn Ridge are part of the Wind TE Holdco tax equity structure, as described below. San Juan Mesa and Elkhorn Ridge are owned 75% and 66.7%, respectively, by Wind TE Holdco. The Company owns 100% of the Class B interests in Wind TE Holdco.</w:t>
      </w:r>
    </w:p>
    <w:p>
      <w:pPr>
        <w:ind w:left="202" w:hanging="86"/>
        <w:spacing w:after="0"/>
        <w:tabs>
          <w:tab w:leader="none" w:pos="202" w:val="left"/>
        </w:tabs>
        <w:numPr>
          <w:ilvl w:val="0"/>
          <w:numId w:val="38"/>
        </w:numPr>
        <w:rPr>
          <w:rFonts w:ascii="Arial" w:cs="Arial" w:eastAsia="Arial" w:hAnsi="Arial"/>
          <w:sz w:val="6"/>
          <w:szCs w:val="6"/>
          <w:color w:val="auto"/>
        </w:rPr>
      </w:pPr>
      <w:r>
        <w:rPr>
          <w:rFonts w:ascii="Arial" w:cs="Arial" w:eastAsia="Arial" w:hAnsi="Arial"/>
          <w:sz w:val="10"/>
          <w:szCs w:val="10"/>
          <w:color w:val="auto"/>
        </w:rPr>
        <w:t>Economic interest based on cash to be distributed. NRG DGPV Holdco 1 LLC, NRG DGPV Holdco 2 LLC, NRG DGPV Holdco 3 LLC and NRG RPV Holdco 1 LLC are tax equity structures and VIEs. The related allocations are described below.</w:t>
      </w:r>
    </w:p>
    <w:p>
      <w:pPr>
        <w:spacing w:after="0" w:line="104" w:lineRule="exact"/>
        <w:rPr>
          <w:sz w:val="20"/>
          <w:szCs w:val="20"/>
          <w:color w:val="auto"/>
        </w:rPr>
      </w:pPr>
    </w:p>
    <w:p>
      <w:pPr>
        <w:ind w:left="282"/>
        <w:spacing w:after="0"/>
        <w:rPr>
          <w:sz w:val="20"/>
          <w:szCs w:val="20"/>
          <w:color w:val="auto"/>
        </w:rPr>
      </w:pPr>
      <w:r>
        <w:rPr>
          <w:rFonts w:ascii="Arial" w:cs="Arial" w:eastAsia="Arial" w:hAnsi="Arial"/>
          <w:sz w:val="13"/>
          <w:szCs w:val="13"/>
          <w:color w:val="auto"/>
        </w:rPr>
        <w:t>As of December 31, 2017 and 2016, the Company had $57 million and $51 million, respectively, of undistributed earnings from its equity method investments.</w:t>
      </w:r>
    </w:p>
    <w:p>
      <w:pPr>
        <w:spacing w:after="0" w:line="123" w:lineRule="exact"/>
        <w:rPr>
          <w:sz w:val="20"/>
          <w:szCs w:val="20"/>
          <w:color w:val="auto"/>
        </w:rPr>
      </w:pPr>
    </w:p>
    <w:p>
      <w:pPr>
        <w:jc w:val="both"/>
        <w:ind w:left="2" w:right="20" w:firstLine="291"/>
        <w:spacing w:after="0" w:line="329" w:lineRule="auto"/>
        <w:rPr>
          <w:sz w:val="20"/>
          <w:szCs w:val="20"/>
          <w:color w:val="auto"/>
        </w:rPr>
      </w:pPr>
      <w:r>
        <w:rPr>
          <w:rFonts w:ascii="Arial" w:cs="Arial" w:eastAsia="Arial" w:hAnsi="Arial"/>
          <w:sz w:val="11"/>
          <w:szCs w:val="11"/>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w:t>
      </w:r>
    </w:p>
    <w:p>
      <w:pPr>
        <w:spacing w:after="0" w:line="2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482"/>
          </w:cols>
          <w:pgMar w:left="218" w:top="709" w:right="19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The Company is amortizing the related basis differences to equity in earnings (losses) over the related useful life of the underlying assets acquired.</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Non-recourse project-level debt of unconsolidated affiliates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pro-rata share of non-recourse debt held by unconsolidated affiliates was $777 million as of December 31, 2017.</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present summarized financial information for the Company's significant equity method investments:</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139"/>
        </w:trPr>
        <w:tc>
          <w:tcPr>
            <w:tcW w:w="3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99"/>
              </w:rPr>
              <w:t>Year Ended December 31,</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80"/>
        </w:trPr>
        <w:tc>
          <w:tcPr>
            <w:tcW w:w="3480" w:type="dxa"/>
            <w:vAlign w:val="bottom"/>
          </w:tcPr>
          <w:p>
            <w:pPr>
              <w:spacing w:after="0"/>
              <w:rPr>
                <w:sz w:val="15"/>
                <w:szCs w:val="15"/>
                <w:color w:val="auto"/>
              </w:rPr>
            </w:pPr>
          </w:p>
        </w:tc>
        <w:tc>
          <w:tcPr>
            <w:tcW w:w="2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2017</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77"/>
              <w:spacing w:after="0"/>
              <w:rPr>
                <w:sz w:val="20"/>
                <w:szCs w:val="20"/>
                <w:color w:val="auto"/>
              </w:rPr>
            </w:pPr>
            <w:r>
              <w:rPr>
                <w:rFonts w:ascii="Arial" w:cs="Arial" w:eastAsia="Arial" w:hAnsi="Arial"/>
                <w:sz w:val="10"/>
                <w:szCs w:val="10"/>
                <w:b w:val="1"/>
                <w:bCs w:val="1"/>
                <w:color w:val="auto"/>
              </w:rPr>
              <w:t>2016</w:t>
            </w:r>
          </w:p>
        </w:tc>
        <w:tc>
          <w:tcPr>
            <w:tcW w:w="760" w:type="dxa"/>
            <w:vAlign w:val="bottom"/>
          </w:tcPr>
          <w:p>
            <w:pPr>
              <w:spacing w:after="0"/>
              <w:rPr>
                <w:sz w:val="15"/>
                <w:szCs w:val="15"/>
                <w:color w:val="auto"/>
              </w:rPr>
            </w:pPr>
          </w:p>
        </w:tc>
        <w:tc>
          <w:tcPr>
            <w:tcW w:w="1020" w:type="dxa"/>
            <w:vAlign w:val="bottom"/>
          </w:tcPr>
          <w:p>
            <w:pPr>
              <w:jc w:val="right"/>
              <w:ind w:right="596"/>
              <w:spacing w:after="0"/>
              <w:rPr>
                <w:sz w:val="20"/>
                <w:szCs w:val="20"/>
                <w:color w:val="auto"/>
              </w:rPr>
            </w:pPr>
            <w:r>
              <w:rPr>
                <w:rFonts w:ascii="Arial" w:cs="Arial" w:eastAsia="Arial" w:hAnsi="Arial"/>
                <w:sz w:val="10"/>
                <w:szCs w:val="10"/>
                <w:b w:val="1"/>
                <w:bCs w:val="1"/>
                <w:color w:val="auto"/>
              </w:rPr>
              <w:t>2015</w:t>
            </w:r>
          </w:p>
        </w:tc>
      </w:tr>
      <w:tr>
        <w:trPr>
          <w:trHeight w:val="169"/>
        </w:trPr>
        <w:tc>
          <w:tcPr>
            <w:tcW w:w="3480" w:type="dxa"/>
            <w:vAlign w:val="bottom"/>
          </w:tcPr>
          <w:p>
            <w:pPr>
              <w:spacing w:after="0"/>
              <w:rPr>
                <w:sz w:val="20"/>
                <w:szCs w:val="20"/>
                <w:color w:val="auto"/>
              </w:rPr>
            </w:pPr>
            <w:r>
              <w:rPr>
                <w:rFonts w:ascii="Arial" w:cs="Arial" w:eastAsia="Arial" w:hAnsi="Arial"/>
                <w:sz w:val="12"/>
                <w:szCs w:val="12"/>
                <w:b w:val="1"/>
                <w:bCs w:val="1"/>
                <w:color w:val="auto"/>
              </w:rPr>
              <w:t>Income Statement Data:</w:t>
            </w:r>
          </w:p>
        </w:tc>
        <w:tc>
          <w:tcPr>
            <w:tcW w:w="19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GenConn</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2960" w:type="dxa"/>
            <w:vAlign w:val="bottom"/>
            <w:gridSpan w:val="2"/>
          </w:tcPr>
          <w:p>
            <w:pPr>
              <w:jc w:val="right"/>
              <w:ind w:right="9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71</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76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78</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36</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40</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28</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Desert Sunlight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211</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206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127</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129</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80</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Utah Solar Portfolio </w:t>
            </w:r>
            <w:r>
              <w:rPr>
                <w:rFonts w:ascii="Arial" w:cs="Arial" w:eastAsia="Arial" w:hAnsi="Arial"/>
                <w:sz w:val="15"/>
                <w:szCs w:val="15"/>
                <w:b w:val="1"/>
                <w:bCs w:val="1"/>
                <w:color w:val="auto"/>
                <w:vertAlign w:val="superscript"/>
              </w:rPr>
              <w:t>(a)</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18</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DGPV entities </w:t>
            </w:r>
            <w:r>
              <w:rPr>
                <w:rFonts w:ascii="Arial" w:cs="Arial" w:eastAsia="Arial" w:hAnsi="Arial"/>
                <w:sz w:val="15"/>
                <w:szCs w:val="15"/>
                <w:b w:val="1"/>
                <w:bCs w:val="1"/>
                <w:color w:val="auto"/>
                <w:vertAlign w:val="superscript"/>
              </w:rPr>
              <w:t>(b)</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7</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RPV Holdco</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34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0"/>
        </w:trPr>
        <w:tc>
          <w:tcPr>
            <w:tcW w:w="3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0"/>
                <w:szCs w:val="10"/>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180"/>
        </w:trPr>
        <w:tc>
          <w:tcPr>
            <w:tcW w:w="3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0"/>
                <w:szCs w:val="10"/>
                <w:b w:val="1"/>
                <w:bCs w:val="1"/>
                <w:color w:val="auto"/>
              </w:rPr>
              <w:t>2017</w:t>
            </w: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0"/>
                <w:szCs w:val="10"/>
                <w:b w:val="1"/>
                <w:bCs w:val="1"/>
                <w:color w:val="auto"/>
              </w:rPr>
              <w:t>2016</w:t>
            </w:r>
          </w:p>
        </w:tc>
      </w:tr>
      <w:tr>
        <w:trPr>
          <w:trHeight w:val="179"/>
        </w:trPr>
        <w:tc>
          <w:tcPr>
            <w:tcW w:w="3480" w:type="dxa"/>
            <w:vAlign w:val="bottom"/>
          </w:tcPr>
          <w:p>
            <w:pPr>
              <w:spacing w:after="0"/>
              <w:rPr>
                <w:sz w:val="20"/>
                <w:szCs w:val="20"/>
                <w:color w:val="auto"/>
              </w:rPr>
            </w:pPr>
            <w:r>
              <w:rPr>
                <w:rFonts w:ascii="Arial" w:cs="Arial" w:eastAsia="Arial" w:hAnsi="Arial"/>
                <w:sz w:val="12"/>
                <w:szCs w:val="12"/>
                <w:b w:val="1"/>
                <w:bCs w:val="1"/>
                <w:color w:val="auto"/>
              </w:rPr>
              <w:t>Balance Sheet Data:</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right"/>
              <w:ind w:right="275"/>
              <w:spacing w:after="0"/>
              <w:rPr>
                <w:sz w:val="20"/>
                <w:szCs w:val="20"/>
                <w:color w:val="auto"/>
              </w:rPr>
            </w:pPr>
            <w:r>
              <w:rPr>
                <w:rFonts w:ascii="Arial" w:cs="Arial" w:eastAsia="Arial" w:hAnsi="Arial"/>
                <w:sz w:val="10"/>
                <w:szCs w:val="10"/>
                <w:b w:val="1"/>
                <w:bCs w:val="1"/>
                <w:color w:val="auto"/>
              </w:rPr>
              <w:t>(In millions)</w:t>
            </w:r>
          </w:p>
        </w:tc>
        <w:tc>
          <w:tcPr>
            <w:tcW w:w="1020" w:type="dxa"/>
            <w:vAlign w:val="bottom"/>
          </w:tcPr>
          <w:p>
            <w:pPr>
              <w:spacing w:after="0"/>
              <w:rPr>
                <w:sz w:val="15"/>
                <w:szCs w:val="15"/>
                <w:color w:val="auto"/>
              </w:rPr>
            </w:pPr>
          </w:p>
        </w:tc>
      </w:tr>
      <w:tr>
        <w:trPr>
          <w:trHeight w:val="17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GenConn</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76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374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389</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189</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196</w:t>
            </w:r>
          </w:p>
        </w:tc>
      </w:tr>
      <w:tr>
        <w:trPr>
          <w:trHeight w:val="170"/>
        </w:trPr>
        <w:tc>
          <w:tcPr>
            <w:tcW w:w="3480" w:type="dxa"/>
            <w:vAlign w:val="bottom"/>
          </w:tcPr>
          <w:p>
            <w:pPr>
              <w:spacing w:after="0"/>
              <w:rPr>
                <w:sz w:val="20"/>
                <w:szCs w:val="20"/>
                <w:color w:val="auto"/>
              </w:rPr>
            </w:pPr>
            <w:r>
              <w:rPr>
                <w:rFonts w:ascii="Arial" w:cs="Arial" w:eastAsia="Arial" w:hAnsi="Arial"/>
                <w:sz w:val="12"/>
                <w:szCs w:val="12"/>
                <w:b w:val="1"/>
                <w:bCs w:val="1"/>
                <w:color w:val="auto"/>
              </w:rPr>
              <w:t>Desert Sunlight</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
        </w:trPr>
        <w:tc>
          <w:tcPr>
            <w:tcW w:w="3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1,350</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1,401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1,003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1,043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line="195" w:lineRule="exact"/>
              <w:rPr>
                <w:sz w:val="20"/>
                <w:szCs w:val="20"/>
                <w:color w:val="auto"/>
              </w:rPr>
            </w:pPr>
            <w:r>
              <w:rPr>
                <w:rFonts w:ascii="Arial" w:cs="Arial" w:eastAsia="Arial" w:hAnsi="Arial"/>
                <w:sz w:val="13"/>
                <w:szCs w:val="13"/>
                <w:b w:val="1"/>
                <w:bCs w:val="1"/>
                <w:color w:val="auto"/>
              </w:rPr>
              <w:t xml:space="preserve">Utah Solar Portfolio </w:t>
            </w:r>
            <w:r>
              <w:rPr>
                <w:rFonts w:ascii="Arial" w:cs="Arial" w:eastAsia="Arial" w:hAnsi="Arial"/>
                <w:sz w:val="18"/>
                <w:szCs w:val="18"/>
                <w:b w:val="1"/>
                <w:bCs w:val="1"/>
                <w:color w:val="auto"/>
                <w:vertAlign w:val="superscript"/>
              </w:rPr>
              <w:t>(a)</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20</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1,090</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1,105</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14</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w:t>
            </w:r>
          </w:p>
        </w:tc>
      </w:tr>
      <w:tr>
        <w:trPr>
          <w:trHeight w:val="194"/>
        </w:trPr>
        <w:tc>
          <w:tcPr>
            <w:tcW w:w="3480" w:type="dxa"/>
            <w:vAlign w:val="bottom"/>
          </w:tcPr>
          <w:p>
            <w:pPr>
              <w:spacing w:after="0"/>
              <w:rPr>
                <w:sz w:val="20"/>
                <w:szCs w:val="20"/>
                <w:color w:val="auto"/>
              </w:rPr>
            </w:pPr>
            <w:r>
              <w:rPr>
                <w:rFonts w:ascii="Arial" w:cs="Arial" w:eastAsia="Arial" w:hAnsi="Arial"/>
                <w:sz w:val="12"/>
                <w:szCs w:val="12"/>
                <w:b w:val="1"/>
                <w:bCs w:val="1"/>
                <w:color w:val="auto"/>
              </w:rPr>
              <w:t xml:space="preserve">DGPV entities </w:t>
            </w:r>
            <w:r>
              <w:rPr>
                <w:rFonts w:ascii="Arial" w:cs="Arial" w:eastAsia="Arial" w:hAnsi="Arial"/>
                <w:sz w:val="15"/>
                <w:szCs w:val="15"/>
                <w:b w:val="1"/>
                <w:bCs w:val="1"/>
                <w:color w:val="auto"/>
                <w:vertAlign w:val="superscript"/>
              </w:rPr>
              <w:t>(b)</w:t>
            </w: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671</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562</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112</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216</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Redeemable Noncontrolling Interest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w:t>
            </w:r>
          </w:p>
        </w:tc>
      </w:tr>
      <w:tr>
        <w:trPr>
          <w:trHeight w:val="170"/>
        </w:trPr>
        <w:tc>
          <w:tcPr>
            <w:tcW w:w="3480" w:type="dxa"/>
            <w:vAlign w:val="bottom"/>
          </w:tcPr>
          <w:p>
            <w:pPr>
              <w:spacing w:after="0"/>
              <w:rPr>
                <w:sz w:val="20"/>
                <w:szCs w:val="20"/>
                <w:color w:val="auto"/>
              </w:rPr>
            </w:pPr>
            <w:r>
              <w:rPr>
                <w:rFonts w:ascii="Arial" w:cs="Arial" w:eastAsia="Arial" w:hAnsi="Arial"/>
                <w:sz w:val="12"/>
                <w:szCs w:val="12"/>
                <w:b w:val="1"/>
                <w:bCs w:val="1"/>
                <w:color w:val="auto"/>
              </w:rPr>
              <w:t>RPV Holdco</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
        </w:trPr>
        <w:tc>
          <w:tcPr>
            <w:tcW w:w="3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191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Redeemable Noncontrolling Interest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76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329"/>
        </w:trPr>
        <w:tc>
          <w:tcPr>
            <w:tcW w:w="3480" w:type="dxa"/>
            <w:vAlign w:val="bottom"/>
          </w:tcPr>
          <w:p>
            <w:pPr>
              <w:spacing w:after="0"/>
              <w:rPr>
                <w:sz w:val="24"/>
                <w:szCs w:val="24"/>
                <w:color w:val="auto"/>
              </w:rPr>
            </w:pPr>
          </w:p>
        </w:tc>
        <w:tc>
          <w:tcPr>
            <w:tcW w:w="1920" w:type="dxa"/>
            <w:vAlign w:val="bottom"/>
          </w:tcPr>
          <w:p>
            <w:pPr>
              <w:jc w:val="right"/>
              <w:ind w:right="137"/>
              <w:spacing w:after="0"/>
              <w:rPr>
                <w:sz w:val="20"/>
                <w:szCs w:val="20"/>
                <w:color w:val="auto"/>
              </w:rPr>
            </w:pPr>
            <w:r>
              <w:rPr>
                <w:rFonts w:ascii="Arial" w:cs="Arial" w:eastAsia="Arial" w:hAnsi="Arial"/>
                <w:sz w:val="13"/>
                <w:szCs w:val="13"/>
                <w:color w:val="auto"/>
              </w:rPr>
              <w:t>84</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880"/>
          </w:cols>
          <w:pgMar w:left="220" w:top="713" w:right="799" w:bottom="1440" w:gutter="0" w:footer="0" w:header="0"/>
        </w:sectPr>
      </w:pPr>
    </w:p>
    <w:bookmarkStart w:id="84" w:name="page85"/>
    <w:bookmarkEnd w:id="84"/>
    <w:p>
      <w:pPr>
        <w:ind w:left="382" w:hanging="91"/>
        <w:spacing w:after="0"/>
        <w:tabs>
          <w:tab w:leader="none" w:pos="382" w:val="left"/>
        </w:tabs>
        <w:numPr>
          <w:ilvl w:val="1"/>
          <w:numId w:val="39"/>
        </w:numPr>
        <w:rPr>
          <w:rFonts w:ascii="Arial" w:cs="Arial" w:eastAsia="Arial" w:hAnsi="Arial"/>
          <w:sz w:val="6"/>
          <w:szCs w:val="6"/>
          <w:color w:val="auto"/>
        </w:rPr>
      </w:pPr>
      <w:r>
        <w:rPr>
          <w:rFonts w:ascii="Arial" w:cs="Arial" w:eastAsia="Arial" w:hAnsi="Arial"/>
          <w:sz w:val="10"/>
          <w:szCs w:val="10"/>
          <w:color w:val="auto"/>
        </w:rPr>
        <w:t>Utah Solar Portfolio was acquired by NRG on November 2, 2016.</w:t>
      </w:r>
    </w:p>
    <w:p>
      <w:pPr>
        <w:ind w:left="102" w:hanging="102"/>
        <w:spacing w:after="0"/>
        <w:tabs>
          <w:tab w:leader="none" w:pos="102" w:val="left"/>
        </w:tabs>
        <w:numPr>
          <w:ilvl w:val="0"/>
          <w:numId w:val="40"/>
        </w:numPr>
        <w:rPr>
          <w:rFonts w:ascii="Arial" w:cs="Arial" w:eastAsia="Arial" w:hAnsi="Arial"/>
          <w:sz w:val="6"/>
          <w:szCs w:val="6"/>
          <w:color w:val="auto"/>
        </w:rPr>
      </w:pPr>
      <w:r>
        <w:rPr>
          <w:rFonts w:ascii="Arial" w:cs="Arial" w:eastAsia="Arial" w:hAnsi="Arial"/>
          <w:sz w:val="10"/>
          <w:szCs w:val="10"/>
          <w:color w:val="auto"/>
        </w:rPr>
        <w:t>Includes DGPV Holdco 1, DGPV Holdco 2 and DGPV Holdco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-130810</wp:posOffset>
            </wp:positionV>
            <wp:extent cx="138176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1760" cy="6350"/>
                    </a:xfrm>
                    <a:prstGeom prst="rect">
                      <a:avLst/>
                    </a:prstGeom>
                    <a:noFill/>
                  </pic:spPr>
                </pic:pic>
              </a:graphicData>
            </a:graphic>
          </wp:anchor>
        </w:drawing>
      </w:r>
    </w:p>
    <w:p>
      <w:pPr>
        <w:spacing w:after="0" w:line="21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Variable Interest Entities, or VIEs</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Entities that are Consolidated</w:t>
      </w:r>
    </w:p>
    <w:p>
      <w:pPr>
        <w:spacing w:after="0" w:line="119" w:lineRule="exact"/>
        <w:rPr>
          <w:sz w:val="20"/>
          <w:szCs w:val="20"/>
          <w:color w:val="auto"/>
        </w:rPr>
      </w:pPr>
    </w:p>
    <w:p>
      <w:pPr>
        <w:jc w:val="both"/>
        <w:ind w:left="2" w:firstLine="291"/>
        <w:spacing w:after="0" w:line="283" w:lineRule="auto"/>
        <w:rPr>
          <w:sz w:val="20"/>
          <w:szCs w:val="20"/>
          <w:color w:val="auto"/>
        </w:rPr>
      </w:pPr>
      <w:r>
        <w:rPr>
          <w:rFonts w:ascii="Arial" w:cs="Arial" w:eastAsia="Arial" w:hAnsi="Arial"/>
          <w:sz w:val="12"/>
          <w:szCs w:val="12"/>
          <w:b w:val="1"/>
          <w:bCs w:val="1"/>
          <w:i w:val="1"/>
          <w:iCs w:val="1"/>
          <w:color w:val="auto"/>
        </w:rPr>
        <w:t xml:space="preserve">NRG Wind TE Holdco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described in Note 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August 1, 2017, the Company acquired from NRG the remaining 25% interest in NRG Wind TE Holdco. NRG Wind TE Holdco is a VIE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the Company is the primary beneficiary through its position as managing member and consolidates NRG Wind TE Holdco.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The Company utilizes the HLBV method to determine the net income or loss allocated to the TE Investor noncontrolling interest.</w:t>
      </w:r>
    </w:p>
    <w:p>
      <w:pPr>
        <w:spacing w:after="0" w:line="80" w:lineRule="exact"/>
        <w:rPr>
          <w:sz w:val="20"/>
          <w:szCs w:val="20"/>
          <w:color w:val="auto"/>
        </w:rPr>
      </w:pPr>
    </w:p>
    <w:p>
      <w:pPr>
        <w:jc w:val="both"/>
        <w:ind w:left="2" w:firstLine="291"/>
        <w:spacing w:after="0" w:line="255" w:lineRule="auto"/>
        <w:rPr>
          <w:sz w:val="20"/>
          <w:szCs w:val="20"/>
          <w:color w:val="auto"/>
        </w:rPr>
      </w:pPr>
      <w:r>
        <w:rPr>
          <w:rFonts w:ascii="Arial" w:cs="Arial" w:eastAsia="Arial" w:hAnsi="Arial"/>
          <w:sz w:val="13"/>
          <w:szCs w:val="13"/>
          <w:b w:val="1"/>
          <w:bCs w:val="1"/>
          <w:i w:val="1"/>
          <w:iCs w:val="1"/>
          <w:color w:val="auto"/>
        </w:rPr>
        <w:t xml:space="preserve">Alta TE Holdco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June 30, 2015, the Company sold an economic interest in Alta TE Holdco to a financial institution in order to monetize certain cash and tax attributes, primarily PTCs. The financial institution,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96" w:lineRule="exact"/>
        <w:rPr>
          <w:sz w:val="20"/>
          <w:szCs w:val="20"/>
          <w:color w:val="auto"/>
        </w:rPr>
      </w:pPr>
    </w:p>
    <w:p>
      <w:pPr>
        <w:jc w:val="both"/>
        <w:ind w:left="2" w:firstLine="291"/>
        <w:spacing w:after="0" w:line="278" w:lineRule="auto"/>
        <w:rPr>
          <w:sz w:val="20"/>
          <w:szCs w:val="20"/>
          <w:color w:val="auto"/>
        </w:rPr>
      </w:pPr>
      <w:r>
        <w:rPr>
          <w:rFonts w:ascii="Arial" w:cs="Arial" w:eastAsia="Arial" w:hAnsi="Arial"/>
          <w:sz w:val="12"/>
          <w:szCs w:val="12"/>
          <w:b w:val="1"/>
          <w:bCs w:val="1"/>
          <w:i w:val="1"/>
          <w:iCs w:val="1"/>
          <w:color w:val="auto"/>
        </w:rPr>
        <w:t xml:space="preserve">Spring Canyon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holds a 90.1% of the Class B interests in Spring Canyon II, a 32 MW wind facility, and Spring Canyon III, a 28 MW wind facility, each located in Logan County, Colorado,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61" w:lineRule="exact"/>
        <w:rPr>
          <w:sz w:val="20"/>
          <w:szCs w:val="20"/>
          <w:color w:val="auto"/>
        </w:rPr>
      </w:pPr>
    </w:p>
    <w:p>
      <w:pPr>
        <w:ind w:left="282"/>
        <w:spacing w:after="0"/>
        <w:rPr>
          <w:sz w:val="20"/>
          <w:szCs w:val="20"/>
          <w:color w:val="auto"/>
        </w:rPr>
      </w:pPr>
      <w:r>
        <w:rPr>
          <w:rFonts w:ascii="Arial" w:cs="Arial" w:eastAsia="Arial" w:hAnsi="Arial"/>
          <w:sz w:val="13"/>
          <w:szCs w:val="13"/>
          <w:color w:val="auto"/>
        </w:rPr>
        <w:t>Summarized financial information for the Company's consolidated VIEs consisted of the following as of December 31, 2017:</w:t>
      </w:r>
    </w:p>
    <w:p>
      <w:pPr>
        <w:spacing w:after="0" w:line="250" w:lineRule="exact"/>
        <w:rPr>
          <w:sz w:val="20"/>
          <w:szCs w:val="20"/>
          <w:color w:val="auto"/>
        </w:rPr>
      </w:pPr>
    </w:p>
    <w:tbl>
      <w:tblPr>
        <w:tblLayout w:type="fixed"/>
        <w:tblInd w:w="1122" w:type="dxa"/>
        <w:tblCellMar>
          <w:top w:w="0" w:type="dxa"/>
          <w:left w:w="0" w:type="dxa"/>
          <w:bottom w:w="0" w:type="dxa"/>
          <w:right w:w="0" w:type="dxa"/>
        </w:tblCellMar>
      </w:tblPr>
      <w:tr>
        <w:trPr>
          <w:trHeight w:val="13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NRG Wind TE Holdco</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Alta TE Holdco</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Spring Canyon</w:t>
            </w:r>
          </w:p>
        </w:tc>
      </w:tr>
      <w:tr>
        <w:trPr>
          <w:trHeight w:val="16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assets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r>
      <w:tr>
        <w:trPr>
          <w:trHeight w:val="174"/>
        </w:trPr>
        <w:tc>
          <w:tcPr>
            <w:tcW w:w="34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95</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64"/>
        </w:trPr>
        <w:tc>
          <w:tcPr>
            <w:tcW w:w="3460" w:type="dxa"/>
            <w:vAlign w:val="bottom"/>
          </w:tcPr>
          <w:p>
            <w:pPr>
              <w:ind w:left="200"/>
              <w:spacing w:after="0"/>
              <w:rPr>
                <w:sz w:val="20"/>
                <w:szCs w:val="20"/>
                <w:color w:val="auto"/>
              </w:rPr>
            </w:pPr>
            <w:r>
              <w:rPr>
                <w:rFonts w:ascii="Arial" w:cs="Arial" w:eastAsia="Arial" w:hAnsi="Arial"/>
                <w:sz w:val="13"/>
                <w:szCs w:val="13"/>
                <w:color w:val="auto"/>
              </w:rPr>
              <w:t>Total assets</w:t>
            </w:r>
          </w:p>
        </w:tc>
        <w:tc>
          <w:tcPr>
            <w:tcW w:w="1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and non-current liabilities</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r>
      <w:tr>
        <w:trPr>
          <w:trHeight w:val="164"/>
        </w:trPr>
        <w:tc>
          <w:tcPr>
            <w:tcW w:w="3460" w:type="dxa"/>
            <w:vAlign w:val="bottom"/>
          </w:tcPr>
          <w:p>
            <w:pPr>
              <w:ind w:left="200"/>
              <w:spacing w:after="0"/>
              <w:rPr>
                <w:sz w:val="20"/>
                <w:szCs w:val="20"/>
                <w:color w:val="auto"/>
              </w:rPr>
            </w:pPr>
            <w:r>
              <w:rPr>
                <w:rFonts w:ascii="Arial" w:cs="Arial" w:eastAsia="Arial" w:hAnsi="Arial"/>
                <w:sz w:val="13"/>
                <w:szCs w:val="13"/>
                <w:color w:val="auto"/>
              </w:rPr>
              <w:t>Total liabilities</w:t>
            </w:r>
          </w:p>
        </w:tc>
        <w:tc>
          <w:tcPr>
            <w:tcW w:w="1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Noncontrolling interest</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60</w:t>
            </w:r>
          </w:p>
        </w:tc>
      </w:tr>
      <w:tr>
        <w:trPr>
          <w:trHeight w:val="193"/>
        </w:trPr>
        <w:tc>
          <w:tcPr>
            <w:tcW w:w="3460" w:type="dxa"/>
            <w:vAlign w:val="bottom"/>
          </w:tcPr>
          <w:p>
            <w:pPr>
              <w:ind w:left="360"/>
              <w:spacing w:after="0"/>
              <w:rPr>
                <w:sz w:val="20"/>
                <w:szCs w:val="20"/>
                <w:color w:val="auto"/>
              </w:rPr>
            </w:pPr>
            <w:r>
              <w:rPr>
                <w:rFonts w:ascii="Arial" w:cs="Arial" w:eastAsia="Arial" w:hAnsi="Arial"/>
                <w:sz w:val="13"/>
                <w:szCs w:val="13"/>
                <w:color w:val="auto"/>
              </w:rPr>
              <w:t>Net assets less noncontrolling interests</w:t>
            </w:r>
          </w:p>
        </w:tc>
        <w:tc>
          <w:tcPr>
            <w:tcW w:w="14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32</w:t>
            </w:r>
          </w:p>
        </w:tc>
      </w:tr>
      <w:tr>
        <w:trPr>
          <w:trHeight w:val="446"/>
        </w:trPr>
        <w:tc>
          <w:tcPr>
            <w:tcW w:w="3460" w:type="dxa"/>
            <w:vAlign w:val="bottom"/>
          </w:tcPr>
          <w:p>
            <w:pPr>
              <w:spacing w:after="0"/>
              <w:rPr>
                <w:sz w:val="24"/>
                <w:szCs w:val="24"/>
                <w:color w:val="auto"/>
              </w:rPr>
            </w:pPr>
          </w:p>
        </w:tc>
        <w:tc>
          <w:tcPr>
            <w:tcW w:w="1440" w:type="dxa"/>
            <w:vAlign w:val="bottom"/>
          </w:tcPr>
          <w:p>
            <w:pPr>
              <w:jc w:val="right"/>
              <w:ind w:right="155"/>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2"/>
          </w:cols>
          <w:pgMar w:left="218" w:top="884" w:right="21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i w:val="1"/>
          <w:iCs w:val="1"/>
          <w:color w:val="auto"/>
        </w:rPr>
        <w:t>Entities that are not Consolidated</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 xml:space="preserve">The Company has interests in entities that are considered VIEs under ASC 810, </w:t>
      </w:r>
      <w:r>
        <w:rPr>
          <w:rFonts w:ascii="Arial" w:cs="Arial" w:eastAsia="Arial" w:hAnsi="Arial"/>
          <w:sz w:val="13"/>
          <w:szCs w:val="13"/>
          <w:i w:val="1"/>
          <w:iCs w:val="1"/>
          <w:color w:val="auto"/>
        </w:rPr>
        <w:t>Consolidation</w:t>
      </w:r>
      <w:r>
        <w:rPr>
          <w:rFonts w:ascii="Arial" w:cs="Arial" w:eastAsia="Arial" w:hAnsi="Arial"/>
          <w:sz w:val="13"/>
          <w:szCs w:val="13"/>
          <w:color w:val="auto"/>
        </w:rPr>
        <w:t>, but for which it is not considered the primary beneficiary. The Company accounts for its interests in these entities under the equity method of accounting.</w:t>
      </w:r>
    </w:p>
    <w:p>
      <w:pPr>
        <w:spacing w:after="0" w:line="86"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b w:val="1"/>
          <w:bCs w:val="1"/>
          <w:i w:val="1"/>
          <w:iCs w:val="1"/>
          <w:color w:val="auto"/>
        </w:rPr>
        <w:t xml:space="preserve">Utah Solar Portfolio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described in Note 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Business Acquisitions</w:t>
      </w:r>
      <w:r>
        <w:rPr>
          <w:rFonts w:ascii="Arial" w:cs="Arial" w:eastAsia="Arial" w:hAnsi="Arial"/>
          <w:sz w:val="13"/>
          <w:szCs w:val="13"/>
          <w:color w:val="auto"/>
        </w:rPr>
        <w:t>, as part of the March 2017 Drop Down Assets acquisition, the Company acquired from NRG 100% of the Class A equity interests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96"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1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and NRG are parties to the NRG DGPV Holdco 1 LLC partnership, or DGPV Holdco 1, the purpose of which is to own or purchase solar power generation projects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 ancillary related assets from NRG Renew LLC or its subsidiaries via intermediate funds. The Company owns approximately 47 MW of distributed solar capacity, based on cash to be distributed, with a weighted average contract life of 18 years. Under this partnership, the Company committed to fund up to $100 million of capital.</w:t>
      </w:r>
    </w:p>
    <w:p>
      <w:pPr>
        <w:spacing w:after="0" w:line="91"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2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and NRG are parties to the NRG DGPV Holdco 2 LLC partnership, or DGPV Holdco 2, the purpose of which is to own or hold solar power generation projects as well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other ancillary related assets from NRG Renew LLC or its subsidiaries. The Company owns approximately 113 MW of distributed solar capacity, based on cash to be distributed, with a weighted average contract life of 21 years. Under this partnership, the Company committed to fund up to $60 million of capital.</w:t>
      </w:r>
    </w:p>
    <w:p>
      <w:pPr>
        <w:spacing w:after="0" w:line="91"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3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September 26, 2017, the Company entered into an additional partnership with NRG by forming NRG DGPV Holdco 3 LLC, or DGPV Holdco 3, in which the Company would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 up to $50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maximum exposure to loss is limited to its equity investment in DGPV Holdco 1, DGPV Holdco 2 and DGPV Holdco 3, which was $176 million on a combined basis.</w:t>
      </w:r>
    </w:p>
    <w:p>
      <w:pPr>
        <w:spacing w:after="0" w:line="119" w:lineRule="exact"/>
        <w:rPr>
          <w:sz w:val="20"/>
          <w:szCs w:val="20"/>
          <w:color w:val="auto"/>
        </w:rPr>
      </w:pPr>
    </w:p>
    <w:p>
      <w:pPr>
        <w:jc w:val="both"/>
        <w:ind w:firstLine="291"/>
        <w:spacing w:after="0" w:line="287" w:lineRule="auto"/>
        <w:rPr>
          <w:sz w:val="20"/>
          <w:szCs w:val="20"/>
          <w:color w:val="auto"/>
        </w:rPr>
      </w:pPr>
      <w:r>
        <w:rPr>
          <w:rFonts w:ascii="Arial" w:cs="Arial" w:eastAsia="Arial" w:hAnsi="Arial"/>
          <w:sz w:val="12"/>
          <w:szCs w:val="12"/>
          <w:b w:val="1"/>
          <w:bCs w:val="1"/>
          <w:i w:val="1"/>
          <w:iCs w:val="1"/>
          <w:color w:val="auto"/>
        </w:rPr>
        <w:t xml:space="preserve">NRG RPV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NRG are parties to the NRG RPV Holdco 1 LLC partnership, or RPV Holdco, the purpose of which is to hold operating portfolios of residential solar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developed by NRG's residential solar business, including: (i) an existing, unlevered portfolio of over 2,200 leases across nine states representing approximately 14 MW, based on cash to be distributed, with a weighted average remaining lease term of approximately 15 years that was acquired outside of the partnership; and (ii) a tax equity-financed portfolio of approximately 5,400 leases representing approximately 30 MW, based on cash to be distributed, with a weighted average remaining lease term for the existing and new leases of approximately 18 years. The Company has fully funded the partnership as of December 31, 2017.</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maximum exposure to loss is limited to its equity investment, which was $58 million as of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6 — Fair Value of Financial Instruments</w:t>
      </w:r>
    </w:p>
    <w:p>
      <w:pPr>
        <w:spacing w:after="0" w:line="127" w:lineRule="exact"/>
        <w:rPr>
          <w:sz w:val="20"/>
          <w:szCs w:val="20"/>
          <w:color w:val="auto"/>
        </w:rPr>
      </w:pPr>
    </w:p>
    <w:p>
      <w:pPr>
        <w:jc w:val="both"/>
        <w:ind w:firstLine="350"/>
        <w:spacing w:after="0" w:line="271" w:lineRule="auto"/>
        <w:rPr>
          <w:sz w:val="20"/>
          <w:szCs w:val="20"/>
          <w:color w:val="auto"/>
        </w:rPr>
      </w:pPr>
      <w:r>
        <w:rPr>
          <w:rFonts w:ascii="Arial" w:cs="Arial" w:eastAsia="Arial" w:hAnsi="Arial"/>
          <w:sz w:val="13"/>
          <w:szCs w:val="13"/>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460"/>
          </w:cols>
          <w:pgMar w:left="220" w:top="714" w:right="219" w:bottom="1440" w:gutter="0" w:footer="0" w:header="0"/>
        </w:sectPr>
      </w:pPr>
    </w:p>
    <w:bookmarkStart w:id="86" w:name="page87"/>
    <w:bookmarkEnd w:id="86"/>
    <w:p>
      <w:pPr>
        <w:ind w:left="342"/>
        <w:spacing w:after="0"/>
        <w:rPr>
          <w:sz w:val="20"/>
          <w:szCs w:val="20"/>
          <w:color w:val="auto"/>
        </w:rPr>
      </w:pPr>
      <w:r>
        <w:rPr>
          <w:rFonts w:ascii="Arial" w:cs="Arial" w:eastAsia="Arial" w:hAnsi="Arial"/>
          <w:sz w:val="13"/>
          <w:szCs w:val="13"/>
          <w:color w:val="auto"/>
        </w:rPr>
        <w:t>The estimated carrying amounts and fair values of the Company’s recorded financial instruments not carried at fair market value are as follows:</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0"/>
                <w:szCs w:val="10"/>
                <w:b w:val="1"/>
                <w:bCs w:val="1"/>
                <w:color w:val="auto"/>
              </w:rPr>
              <w:t>As of December 31, 2017</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0"/>
                <w:szCs w:val="10"/>
                <w:b w:val="1"/>
                <w:bCs w:val="1"/>
                <w:color w:val="auto"/>
              </w:rPr>
              <w:t>As of December 31, 2016</w:t>
            </w:r>
          </w:p>
        </w:tc>
      </w:tr>
      <w:tr>
        <w:trPr>
          <w:trHeight w:val="184"/>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Carrying Amount</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95"/>
              </w:rPr>
              <w:t>Carrying Amount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Fair Value</w:t>
            </w:r>
          </w:p>
        </w:tc>
      </w:tr>
      <w:tr>
        <w:trPr>
          <w:trHeight w:val="174"/>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6080" w:type="dxa"/>
            <w:vAlign w:val="bottom"/>
          </w:tcPr>
          <w:p>
            <w:pPr>
              <w:ind w:left="120"/>
              <w:spacing w:after="0"/>
              <w:rPr>
                <w:sz w:val="20"/>
                <w:szCs w:val="20"/>
                <w:color w:val="auto"/>
              </w:rPr>
            </w:pPr>
            <w:r>
              <w:rPr>
                <w:rFonts w:ascii="Arial" w:cs="Arial" w:eastAsia="Arial" w:hAnsi="Arial"/>
                <w:sz w:val="13"/>
                <w:szCs w:val="13"/>
                <w:color w:val="auto"/>
              </w:rPr>
              <w:t>Notes receivable, including current portion</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13</w:t>
            </w:r>
          </w:p>
        </w:tc>
        <w:tc>
          <w:tcPr>
            <w:tcW w:w="3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30</w:t>
            </w:r>
          </w:p>
        </w:tc>
        <w:tc>
          <w:tcPr>
            <w:tcW w:w="3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30</w:t>
            </w: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6080" w:type="dxa"/>
            <w:vAlign w:val="bottom"/>
          </w:tcPr>
          <w:p>
            <w:pPr>
              <w:ind w:left="120"/>
              <w:spacing w:after="0"/>
              <w:rPr>
                <w:sz w:val="20"/>
                <w:szCs w:val="20"/>
                <w:color w:val="auto"/>
              </w:rPr>
            </w:pPr>
            <w:r>
              <w:rPr>
                <w:rFonts w:ascii="Arial" w:cs="Arial" w:eastAsia="Arial" w:hAnsi="Arial"/>
                <w:sz w:val="13"/>
                <w:szCs w:val="13"/>
                <w:color w:val="auto"/>
              </w:rPr>
              <w:t>Long-term debt, including current portion — affiliate</w:t>
            </w: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618</w:t>
            </w:r>
          </w:p>
        </w:tc>
        <w:tc>
          <w:tcPr>
            <w:tcW w:w="36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618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618</w:t>
            </w:r>
          </w:p>
        </w:tc>
        <w:tc>
          <w:tcPr>
            <w:tcW w:w="340" w:type="dxa"/>
            <w:vAlign w:val="bottom"/>
          </w:tcPr>
          <w:p>
            <w:pPr>
              <w:spacing w:after="0"/>
              <w:rPr>
                <w:sz w:val="15"/>
                <w:szCs w:val="15"/>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608</w:t>
            </w: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including current portion — external</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5,281</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5,297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5,516</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5,500</w:t>
            </w: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30" w:lineRule="exact"/>
        <w:rPr>
          <w:sz w:val="20"/>
          <w:szCs w:val="20"/>
          <w:color w:val="auto"/>
        </w:rPr>
      </w:pPr>
    </w:p>
    <w:p>
      <w:pPr>
        <w:ind w:left="342"/>
        <w:spacing w:after="0"/>
        <w:rPr>
          <w:sz w:val="20"/>
          <w:szCs w:val="20"/>
          <w:color w:val="auto"/>
        </w:rPr>
      </w:pPr>
      <w:r>
        <w:rPr>
          <w:rFonts w:ascii="Arial" w:cs="Arial" w:eastAsia="Arial" w:hAnsi="Arial"/>
          <w:sz w:val="13"/>
          <w:szCs w:val="13"/>
          <w:b w:val="1"/>
          <w:bCs w:val="1"/>
          <w:i w:val="1"/>
          <w:iCs w:val="1"/>
          <w:color w:val="auto"/>
        </w:rPr>
        <w:t>Fair Value Accounting under ASC 820</w:t>
      </w:r>
    </w:p>
    <w:p>
      <w:pPr>
        <w:spacing w:after="0" w:line="123" w:lineRule="exact"/>
        <w:rPr>
          <w:sz w:val="20"/>
          <w:szCs w:val="20"/>
          <w:color w:val="auto"/>
        </w:rPr>
      </w:pPr>
    </w:p>
    <w:p>
      <w:pPr>
        <w:ind w:left="342"/>
        <w:spacing w:after="0"/>
        <w:rPr>
          <w:sz w:val="20"/>
          <w:szCs w:val="20"/>
          <w:color w:val="auto"/>
        </w:rPr>
      </w:pPr>
      <w:r>
        <w:rPr>
          <w:rFonts w:ascii="Arial" w:cs="Arial" w:eastAsia="Arial" w:hAnsi="Arial"/>
          <w:sz w:val="13"/>
          <w:szCs w:val="13"/>
          <w:color w:val="auto"/>
        </w:rPr>
        <w:t>ASC 820 establishes a fair value hierarchy that prioritizes the inputs to valuation techniques used to measure fair value into three levels as follows:</w:t>
      </w:r>
    </w:p>
    <w:p>
      <w:pPr>
        <w:spacing w:after="0" w:line="45" w:lineRule="exact"/>
        <w:rPr>
          <w:sz w:val="20"/>
          <w:szCs w:val="20"/>
          <w:color w:val="auto"/>
        </w:rPr>
      </w:pPr>
    </w:p>
    <w:p>
      <w:pPr>
        <w:ind w:left="882" w:hanging="183"/>
        <w:spacing w:after="0"/>
        <w:tabs>
          <w:tab w:leader="none" w:pos="882" w:val="left"/>
        </w:tabs>
        <w:numPr>
          <w:ilvl w:val="0"/>
          <w:numId w:val="41"/>
        </w:numPr>
        <w:rPr>
          <w:rFonts w:ascii="Arial" w:cs="Arial" w:eastAsia="Arial" w:hAnsi="Arial"/>
          <w:sz w:val="13"/>
          <w:szCs w:val="13"/>
          <w:color w:val="auto"/>
        </w:rPr>
      </w:pPr>
      <w:r>
        <w:rPr>
          <w:rFonts w:ascii="Arial" w:cs="Arial" w:eastAsia="Arial" w:hAnsi="Arial"/>
          <w:sz w:val="13"/>
          <w:szCs w:val="13"/>
          <w:color w:val="auto"/>
        </w:rPr>
        <w:t>Level 1—quoted prices (unadjusted) in active markets for identical assets or liabilities that the Company has the ability to access as of the measurement date.</w:t>
      </w:r>
    </w:p>
    <w:p>
      <w:pPr>
        <w:spacing w:after="0" w:line="44" w:lineRule="exact"/>
        <w:rPr>
          <w:rFonts w:ascii="Arial" w:cs="Arial" w:eastAsia="Arial" w:hAnsi="Arial"/>
          <w:sz w:val="13"/>
          <w:szCs w:val="13"/>
          <w:color w:val="auto"/>
        </w:rPr>
      </w:pPr>
    </w:p>
    <w:p>
      <w:pPr>
        <w:ind w:left="882" w:hanging="183"/>
        <w:spacing w:after="0"/>
        <w:tabs>
          <w:tab w:leader="none" w:pos="882" w:val="left"/>
        </w:tabs>
        <w:numPr>
          <w:ilvl w:val="0"/>
          <w:numId w:val="41"/>
        </w:numPr>
        <w:rPr>
          <w:rFonts w:ascii="Arial" w:cs="Arial" w:eastAsia="Arial" w:hAnsi="Arial"/>
          <w:sz w:val="12"/>
          <w:szCs w:val="12"/>
          <w:color w:val="auto"/>
        </w:rPr>
      </w:pPr>
      <w:r>
        <w:rPr>
          <w:rFonts w:ascii="Arial" w:cs="Arial" w:eastAsia="Arial" w:hAnsi="Arial"/>
          <w:sz w:val="12"/>
          <w:szCs w:val="12"/>
          <w:color w:val="auto"/>
        </w:rPr>
        <w:t>Level 2—inputs other than quoted prices included within Level 1 that are directly observable for the asset or liability or indirectly observable through corroboration with observable market data.</w:t>
      </w:r>
    </w:p>
    <w:p>
      <w:pPr>
        <w:spacing w:after="0" w:line="56" w:lineRule="exact"/>
        <w:rPr>
          <w:rFonts w:ascii="Arial" w:cs="Arial" w:eastAsia="Arial" w:hAnsi="Arial"/>
          <w:sz w:val="12"/>
          <w:szCs w:val="12"/>
          <w:color w:val="auto"/>
        </w:rPr>
      </w:pPr>
    </w:p>
    <w:p>
      <w:pPr>
        <w:ind w:left="882" w:hanging="183"/>
        <w:spacing w:after="0"/>
        <w:tabs>
          <w:tab w:leader="none" w:pos="882" w:val="left"/>
        </w:tabs>
        <w:numPr>
          <w:ilvl w:val="0"/>
          <w:numId w:val="41"/>
        </w:numPr>
        <w:rPr>
          <w:rFonts w:ascii="Arial" w:cs="Arial" w:eastAsia="Arial" w:hAnsi="Arial"/>
          <w:sz w:val="13"/>
          <w:szCs w:val="13"/>
          <w:color w:val="auto"/>
        </w:rPr>
      </w:pPr>
      <w:r>
        <w:rPr>
          <w:rFonts w:ascii="Arial" w:cs="Arial" w:eastAsia="Arial" w:hAnsi="Arial"/>
          <w:sz w:val="13"/>
          <w:szCs w:val="13"/>
          <w:color w:val="auto"/>
        </w:rPr>
        <w:t>Level 3—unobservable inputs for the asset or liability only used when there is little, if any, market activity for the asset or liability at the measurement date.</w:t>
      </w:r>
    </w:p>
    <w:p>
      <w:pPr>
        <w:spacing w:after="0" w:line="84" w:lineRule="exact"/>
        <w:rPr>
          <w:sz w:val="20"/>
          <w:szCs w:val="20"/>
          <w:color w:val="auto"/>
        </w:rPr>
      </w:pPr>
    </w:p>
    <w:p>
      <w:pPr>
        <w:jc w:val="both"/>
        <w:ind w:left="2" w:right="20" w:firstLine="350"/>
        <w:spacing w:after="0" w:line="271" w:lineRule="auto"/>
        <w:rPr>
          <w:sz w:val="20"/>
          <w:szCs w:val="20"/>
          <w:color w:val="auto"/>
        </w:rPr>
      </w:pPr>
      <w:r>
        <w:rPr>
          <w:rFonts w:ascii="Arial" w:cs="Arial" w:eastAsia="Arial" w:hAnsi="Arial"/>
          <w:sz w:val="13"/>
          <w:szCs w:val="13"/>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68" w:lineRule="exact"/>
        <w:rPr>
          <w:sz w:val="20"/>
          <w:szCs w:val="20"/>
          <w:color w:val="auto"/>
        </w:rPr>
      </w:pPr>
    </w:p>
    <w:p>
      <w:pPr>
        <w:jc w:val="both"/>
        <w:ind w:left="2" w:right="20" w:firstLine="291"/>
        <w:spacing w:after="0" w:line="329" w:lineRule="auto"/>
        <w:rPr>
          <w:sz w:val="20"/>
          <w:szCs w:val="20"/>
          <w:color w:val="auto"/>
        </w:rPr>
      </w:pPr>
      <w:r>
        <w:rPr>
          <w:rFonts w:ascii="Arial" w:cs="Arial" w:eastAsia="Arial" w:hAnsi="Arial"/>
          <w:sz w:val="11"/>
          <w:szCs w:val="11"/>
          <w:color w:val="auto"/>
        </w:rPr>
        <w:t>The fair value of the Company's publicly-traded long-term debt is based on quoted market prices and is classified as Level 2 within the fair value hierarchy. The fair value of debt securities, non-publicly traded long-term debt, affiliate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2017 and 2016:</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0"/>
                <w:szCs w:val="10"/>
                <w:b w:val="1"/>
                <w:bCs w:val="1"/>
                <w:color w:val="auto"/>
                <w:w w:val="89"/>
              </w:rPr>
              <w:t>As of December 31, 2017</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0"/>
                <w:szCs w:val="10"/>
                <w:b w:val="1"/>
                <w:bCs w:val="1"/>
                <w:color w:val="auto"/>
              </w:rPr>
              <w:t>As of December 31, 2016</w:t>
            </w:r>
          </w:p>
        </w:tc>
      </w:tr>
      <w:tr>
        <w:trPr>
          <w:trHeight w:val="184"/>
        </w:trPr>
        <w:tc>
          <w:tcPr>
            <w:tcW w:w="60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Level 3</w:t>
            </w:r>
          </w:p>
        </w:tc>
      </w:tr>
      <w:tr>
        <w:trPr>
          <w:trHeight w:val="135"/>
        </w:trPr>
        <w:tc>
          <w:tcPr>
            <w:tcW w:w="6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3"/>
          </w:tcPr>
          <w:p>
            <w:pPr>
              <w:jc w:val="right"/>
              <w:ind w:right="75"/>
              <w:spacing w:after="0"/>
              <w:rPr>
                <w:sz w:val="20"/>
                <w:szCs w:val="20"/>
                <w:color w:val="auto"/>
              </w:rPr>
            </w:pPr>
            <w:r>
              <w:rPr>
                <w:rFonts w:ascii="Arial" w:cs="Arial" w:eastAsia="Arial" w:hAnsi="Arial"/>
                <w:sz w:val="10"/>
                <w:szCs w:val="10"/>
                <w:b w:val="1"/>
                <w:bCs w:val="1"/>
                <w:color w:val="auto"/>
              </w:rPr>
              <w:t>(In millions)</w:t>
            </w: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8"/>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including current portion</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870</w:t>
            </w:r>
          </w:p>
        </w:tc>
        <w:tc>
          <w:tcPr>
            <w:tcW w:w="940" w:type="dxa"/>
            <w:vAlign w:val="bottom"/>
            <w:shd w:val="clear" w:color="auto" w:fill="CCEEFF"/>
          </w:tcPr>
          <w:p>
            <w:pPr>
              <w:jc w:val="right"/>
              <w:ind w:right="682"/>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w w:val="92"/>
              </w:rPr>
              <w:t>5,045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3"/>
                <w:szCs w:val="13"/>
                <w:color w:val="auto"/>
              </w:rPr>
              <w:t>833</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5,275</w:t>
            </w:r>
          </w:p>
        </w:tc>
      </w:tr>
      <w:tr>
        <w:trPr>
          <w:trHeight w:val="20"/>
        </w:trPr>
        <w:tc>
          <w:tcPr>
            <w:tcW w:w="60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08" w:lineRule="exact"/>
        <w:rPr>
          <w:sz w:val="20"/>
          <w:szCs w:val="20"/>
          <w:color w:val="auto"/>
        </w:rPr>
      </w:pPr>
    </w:p>
    <w:p>
      <w:pPr>
        <w:ind w:left="342"/>
        <w:spacing w:after="0"/>
        <w:rPr>
          <w:sz w:val="20"/>
          <w:szCs w:val="20"/>
          <w:color w:val="auto"/>
        </w:rPr>
      </w:pPr>
      <w:r>
        <w:rPr>
          <w:rFonts w:ascii="Arial" w:cs="Arial" w:eastAsia="Arial" w:hAnsi="Arial"/>
          <w:sz w:val="13"/>
          <w:szCs w:val="13"/>
          <w:b w:val="1"/>
          <w:bCs w:val="1"/>
          <w:i w:val="1"/>
          <w:iCs w:val="1"/>
          <w:color w:val="auto"/>
        </w:rPr>
        <w:t>Recurring Fair Value Measurements</w:t>
      </w:r>
    </w:p>
    <w:p>
      <w:pPr>
        <w:spacing w:after="0" w:line="123"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30" w:lineRule="exact"/>
        <w:rPr>
          <w:sz w:val="20"/>
          <w:szCs w:val="20"/>
          <w:color w:val="auto"/>
        </w:rPr>
      </w:pPr>
    </w:p>
    <w:tbl>
      <w:tblPr>
        <w:tblLayout w:type="fixed"/>
        <w:tblInd w:w="842" w:type="dxa"/>
        <w:tblCellMar>
          <w:top w:w="0" w:type="dxa"/>
          <w:left w:w="0" w:type="dxa"/>
          <w:bottom w:w="0" w:type="dxa"/>
          <w:right w:w="0" w:type="dxa"/>
        </w:tblCellMar>
      </w:tblPr>
      <w:tr>
        <w:trPr>
          <w:trHeight w:val="139"/>
        </w:trPr>
        <w:tc>
          <w:tcPr>
            <w:tcW w:w="3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As of December 31, 2017</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6"/>
              </w:rPr>
              <w:t>As of December 31, 2016</w:t>
            </w:r>
          </w:p>
        </w:tc>
        <w:tc>
          <w:tcPr>
            <w:tcW w:w="1300" w:type="dxa"/>
            <w:vAlign w:val="bottom"/>
            <w:tcBorders>
              <w:bottom w:val="single" w:sz="8" w:color="auto"/>
            </w:tcBorders>
          </w:tcPr>
          <w:p>
            <w:pPr>
              <w:spacing w:after="0"/>
              <w:rPr>
                <w:sz w:val="12"/>
                <w:szCs w:val="12"/>
                <w:color w:val="auto"/>
              </w:rPr>
            </w:pPr>
          </w:p>
        </w:tc>
      </w:tr>
      <w:tr>
        <w:trPr>
          <w:trHeight w:val="184"/>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r>
      <w:tr>
        <w:trPr>
          <w:trHeight w:val="184"/>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6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8"/>
              <w:spacing w:after="0"/>
              <w:rPr>
                <w:sz w:val="20"/>
                <w:szCs w:val="20"/>
                <w:color w:val="auto"/>
              </w:rPr>
            </w:pPr>
            <w:r>
              <w:rPr>
                <w:rFonts w:ascii="Arial" w:cs="Arial" w:eastAsia="Arial" w:hAnsi="Arial"/>
                <w:sz w:val="10"/>
                <w:szCs w:val="10"/>
                <w:b w:val="1"/>
                <w:bCs w:val="1"/>
                <w:color w:val="auto"/>
              </w:rPr>
              <w:t>Level 2</w:t>
            </w:r>
          </w:p>
        </w:tc>
      </w:tr>
      <w:tr>
        <w:trPr>
          <w:trHeight w:val="16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Derivative assets:</w:t>
            </w:r>
          </w:p>
        </w:tc>
        <w:tc>
          <w:tcPr>
            <w:tcW w:w="16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74"/>
        </w:trPr>
        <w:tc>
          <w:tcPr>
            <w:tcW w:w="3840" w:type="dxa"/>
            <w:vAlign w:val="bottom"/>
            <w:gridSpan w:val="2"/>
          </w:tcPr>
          <w:p>
            <w:pPr>
              <w:jc w:val="center"/>
              <w:ind w:right="2180"/>
              <w:spacing w:after="0"/>
              <w:rPr>
                <w:sz w:val="20"/>
                <w:szCs w:val="20"/>
                <w:color w:val="auto"/>
              </w:rPr>
            </w:pPr>
            <w:r>
              <w:rPr>
                <w:rFonts w:ascii="Arial" w:cs="Arial" w:eastAsia="Arial" w:hAnsi="Arial"/>
                <w:sz w:val="13"/>
                <w:szCs w:val="13"/>
                <w:color w:val="auto"/>
                <w:w w:val="90"/>
              </w:rPr>
              <w:t>Commodity contracts</w:t>
            </w:r>
          </w:p>
        </w:tc>
        <w:tc>
          <w:tcPr>
            <w:tcW w:w="1660" w:type="dxa"/>
            <w:vAlign w:val="bottom"/>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300" w:type="dxa"/>
            <w:vAlign w:val="bottom"/>
          </w:tcPr>
          <w:p>
            <w:pPr>
              <w:jc w:val="right"/>
              <w:ind w:right="1162"/>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38"/>
              <w:spacing w:after="0"/>
              <w:rPr>
                <w:sz w:val="20"/>
                <w:szCs w:val="20"/>
                <w:color w:val="auto"/>
              </w:rPr>
            </w:pPr>
            <w:r>
              <w:rPr>
                <w:rFonts w:ascii="Arial" w:cs="Arial" w:eastAsia="Arial" w:hAnsi="Arial"/>
                <w:sz w:val="13"/>
                <w:szCs w:val="13"/>
                <w:color w:val="auto"/>
              </w:rPr>
              <w:t>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3840" w:type="dxa"/>
            <w:vAlign w:val="bottom"/>
            <w:tcBorders>
              <w:bottom w:val="single" w:sz="8" w:color="CCEEFF"/>
            </w:tcBorders>
            <w:gridSpan w:val="2"/>
            <w:shd w:val="clear" w:color="auto" w:fill="CCEEFF"/>
          </w:tcPr>
          <w:p>
            <w:pPr>
              <w:jc w:val="center"/>
              <w:ind w:right="2180"/>
              <w:spacing w:after="0"/>
              <w:rPr>
                <w:sz w:val="20"/>
                <w:szCs w:val="20"/>
                <w:color w:val="auto"/>
              </w:rPr>
            </w:pPr>
            <w:r>
              <w:rPr>
                <w:rFonts w:ascii="Arial" w:cs="Arial" w:eastAsia="Arial" w:hAnsi="Arial"/>
                <w:sz w:val="13"/>
                <w:szCs w:val="13"/>
                <w:color w:val="auto"/>
                <w:w w:val="87"/>
              </w:rPr>
              <w:t>Interest rate contracts</w:t>
            </w:r>
          </w:p>
        </w:tc>
        <w:tc>
          <w:tcPr>
            <w:tcW w:w="1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r>
      <w:tr>
        <w:trPr>
          <w:trHeight w:val="193"/>
        </w:trPr>
        <w:tc>
          <w:tcPr>
            <w:tcW w:w="3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b w:val="1"/>
                <w:bCs w:val="1"/>
                <w:color w:val="auto"/>
              </w:rPr>
              <w:t>Total assets</w:t>
            </w:r>
          </w:p>
        </w:tc>
        <w:tc>
          <w:tcPr>
            <w:tcW w:w="1660" w:type="dxa"/>
            <w:vAlign w:val="bottom"/>
            <w:tcBorders>
              <w:top w:val="single" w:sz="8" w:color="auto"/>
              <w:bottom w:val="single" w:sz="8" w:color="auto"/>
            </w:tcBorders>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w:t>
            </w:r>
          </w:p>
        </w:tc>
      </w:tr>
      <w:tr>
        <w:trPr>
          <w:trHeight w:val="174"/>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Derivative liabilities:</w:t>
            </w:r>
          </w:p>
        </w:tc>
        <w:tc>
          <w:tcPr>
            <w:tcW w:w="16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74"/>
        </w:trPr>
        <w:tc>
          <w:tcPr>
            <w:tcW w:w="3840" w:type="dxa"/>
            <w:vAlign w:val="bottom"/>
            <w:gridSpan w:val="2"/>
          </w:tcPr>
          <w:p>
            <w:pPr>
              <w:jc w:val="center"/>
              <w:ind w:right="2180"/>
              <w:spacing w:after="0"/>
              <w:rPr>
                <w:sz w:val="20"/>
                <w:szCs w:val="20"/>
                <w:color w:val="auto"/>
              </w:rPr>
            </w:pPr>
            <w:r>
              <w:rPr>
                <w:rFonts w:ascii="Arial" w:cs="Arial" w:eastAsia="Arial" w:hAnsi="Arial"/>
                <w:sz w:val="13"/>
                <w:szCs w:val="13"/>
                <w:color w:val="auto"/>
                <w:w w:val="90"/>
              </w:rPr>
              <w:t>Commodity contracts</w:t>
            </w:r>
          </w:p>
        </w:tc>
        <w:tc>
          <w:tcPr>
            <w:tcW w:w="1660" w:type="dxa"/>
            <w:vAlign w:val="bottom"/>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300" w:type="dxa"/>
            <w:vAlign w:val="bottom"/>
          </w:tcPr>
          <w:p>
            <w:pPr>
              <w:jc w:val="right"/>
              <w:ind w:right="38"/>
              <w:spacing w:after="0"/>
              <w:rPr>
                <w:sz w:val="20"/>
                <w:szCs w:val="20"/>
                <w:color w:val="auto"/>
              </w:rPr>
            </w:pPr>
            <w:r>
              <w:rPr>
                <w:rFonts w:ascii="Arial" w:cs="Arial" w:eastAsia="Arial" w:hAnsi="Arial"/>
                <w:sz w:val="13"/>
                <w:szCs w:val="13"/>
                <w:color w:val="auto"/>
              </w:rPr>
              <w:t>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3840" w:type="dxa"/>
            <w:vAlign w:val="bottom"/>
            <w:tcBorders>
              <w:bottom w:val="single" w:sz="8" w:color="CCEEFF"/>
            </w:tcBorders>
            <w:gridSpan w:val="2"/>
            <w:shd w:val="clear" w:color="auto" w:fill="CCEEFF"/>
          </w:tcPr>
          <w:p>
            <w:pPr>
              <w:jc w:val="center"/>
              <w:ind w:right="2180"/>
              <w:spacing w:after="0"/>
              <w:rPr>
                <w:sz w:val="20"/>
                <w:szCs w:val="20"/>
                <w:color w:val="auto"/>
              </w:rPr>
            </w:pPr>
            <w:r>
              <w:rPr>
                <w:rFonts w:ascii="Arial" w:cs="Arial" w:eastAsia="Arial" w:hAnsi="Arial"/>
                <w:sz w:val="13"/>
                <w:szCs w:val="13"/>
                <w:color w:val="auto"/>
                <w:w w:val="87"/>
              </w:rPr>
              <w:t>Interest rate contracts</w:t>
            </w:r>
          </w:p>
        </w:tc>
        <w:tc>
          <w:tcPr>
            <w:tcW w:w="1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78</w:t>
            </w:r>
          </w:p>
        </w:tc>
      </w:tr>
      <w:tr>
        <w:trPr>
          <w:trHeight w:val="193"/>
        </w:trPr>
        <w:tc>
          <w:tcPr>
            <w:tcW w:w="3840" w:type="dxa"/>
            <w:vAlign w:val="bottom"/>
            <w:gridSpan w:val="2"/>
          </w:tcPr>
          <w:p>
            <w:pPr>
              <w:jc w:val="center"/>
              <w:ind w:right="2180"/>
              <w:spacing w:after="0"/>
              <w:rPr>
                <w:sz w:val="20"/>
                <w:szCs w:val="20"/>
                <w:color w:val="auto"/>
              </w:rPr>
            </w:pPr>
            <w:r>
              <w:rPr>
                <w:rFonts w:ascii="Arial" w:cs="Arial" w:eastAsia="Arial" w:hAnsi="Arial"/>
                <w:sz w:val="13"/>
                <w:szCs w:val="13"/>
                <w:b w:val="1"/>
                <w:bCs w:val="1"/>
                <w:color w:val="auto"/>
                <w:w w:val="90"/>
              </w:rPr>
              <w:t>Total liabilities</w:t>
            </w:r>
          </w:p>
        </w:tc>
        <w:tc>
          <w:tcPr>
            <w:tcW w:w="1660" w:type="dxa"/>
            <w:vAlign w:val="bottom"/>
            <w:tcBorders>
              <w:top w:val="single" w:sz="8" w:color="auto"/>
              <w:bottom w:val="single" w:sz="8" w:color="auto"/>
            </w:tcBorders>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48</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162"/>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39" w:lineRule="exact"/>
        <w:rPr>
          <w:sz w:val="20"/>
          <w:szCs w:val="20"/>
          <w:color w:val="auto"/>
        </w:rPr>
      </w:pPr>
    </w:p>
    <w:p>
      <w:pPr>
        <w:ind w:left="82" w:hanging="82"/>
        <w:spacing w:after="0"/>
        <w:tabs>
          <w:tab w:leader="none" w:pos="82" w:val="left"/>
        </w:tabs>
        <w:numPr>
          <w:ilvl w:val="0"/>
          <w:numId w:val="42"/>
        </w:numPr>
        <w:rPr>
          <w:rFonts w:ascii="Arial" w:cs="Arial" w:eastAsia="Arial" w:hAnsi="Arial"/>
          <w:sz w:val="6"/>
          <w:szCs w:val="6"/>
          <w:color w:val="auto"/>
        </w:rPr>
      </w:pPr>
      <w:r>
        <w:rPr>
          <w:rFonts w:ascii="Arial" w:cs="Arial" w:eastAsia="Arial" w:hAnsi="Arial"/>
          <w:sz w:val="10"/>
          <w:szCs w:val="10"/>
          <w:color w:val="auto"/>
        </w:rPr>
        <w:t>There were no derivative assets or liabilities classified Level 1 as of December 31, 2017. There were no derivative assets or liabilities classified Level 3 as of December 31, 2017 and 2016.</w:t>
      </w:r>
    </w:p>
    <w:p>
      <w:pPr>
        <w:spacing w:after="0" w:line="29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482"/>
          </w:cols>
          <w:pgMar w:left="218" w:top="713" w:right="19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i w:val="1"/>
          <w:iCs w:val="1"/>
          <w:color w:val="auto"/>
        </w:rPr>
        <w:t>Derivative Fair Value Measurements</w:t>
      </w:r>
    </w:p>
    <w:p>
      <w:pPr>
        <w:spacing w:after="0" w:line="123"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66"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2017, the credit reserve resulted in a $1 million increase in fair value in interest expense. It is possible that future market prices could vary from those used in recording assets and liabilities and such variations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23" w:lineRule="exact"/>
        <w:rPr>
          <w:sz w:val="20"/>
          <w:szCs w:val="20"/>
          <w:color w:val="auto"/>
        </w:rPr>
      </w:pPr>
    </w:p>
    <w:p>
      <w:pPr>
        <w:jc w:val="both"/>
        <w:ind w:firstLine="282"/>
        <w:spacing w:after="0" w:line="253" w:lineRule="auto"/>
        <w:rPr>
          <w:sz w:val="20"/>
          <w:szCs w:val="20"/>
          <w:color w:val="auto"/>
        </w:rPr>
      </w:pPr>
      <w:r>
        <w:rPr>
          <w:rFonts w:ascii="Arial" w:cs="Arial" w:eastAsia="Arial" w:hAnsi="Arial"/>
          <w:sz w:val="13"/>
          <w:szCs w:val="13"/>
          <w:color w:val="auto"/>
        </w:rPr>
        <w:t xml:space="preserve">In addition to the credit risk discussion as disclosed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4"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2017, credit risk exposure to these counterparties attributable to the Company's ownership interests was approximately $2.7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Accounting for Derivative Instruments and Hedging Activities</w:t>
      </w:r>
    </w:p>
    <w:p>
      <w:pPr>
        <w:spacing w:after="0" w:line="127"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3"/>
          <w:szCs w:val="13"/>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460"/>
          </w:cols>
          <w:pgMar w:left="220" w:top="713" w:right="2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i w:val="1"/>
          <w:iCs w:val="1"/>
          <w:color w:val="auto"/>
        </w:rPr>
        <w:t>Energy-Related Commodities</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2017, the Company had forward contracts for the purchase of fuel commodities relating to the forecasted usage of the Company’s district energy centers extending through 2020 and electricity contracts to supply retail power to the Company's district energy centers extending through 2020. At December 31, 2017, these contracts were not designated as cash flow or fair value hedges.</w:t>
      </w:r>
    </w:p>
    <w:p>
      <w:pPr>
        <w:spacing w:after="0" w:line="86"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Also, as of December 31, 2017, the Company had other energy-related contracts that did not meet the definition of a derivative instrument or qualified for the NPNS exception and were therefore exempt from fair value accounting treatment as follows:</w:t>
      </w:r>
    </w:p>
    <w:p>
      <w:pPr>
        <w:spacing w:after="0" w:line="90" w:lineRule="exact"/>
        <w:rPr>
          <w:sz w:val="20"/>
          <w:szCs w:val="20"/>
          <w:color w:val="auto"/>
        </w:rPr>
      </w:pPr>
    </w:p>
    <w:p>
      <w:pPr>
        <w:ind w:left="460" w:hanging="229"/>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Power tolling contracts through 2039,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Natural gas transportation contracts through 2028.</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is exposed to changes in interest rates through the issuance of variable rate debt. In order to manage interest rate risk, it enters into interest rate swap agreements.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 had interest rate derivative instruments on non-recourse debt extending through 2036, a portion of which are designated as cash flow hedges.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Volumetric Underlying Derivative Transactions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the net notional volume buy/(sell) of the Company's open derivative transactions broken out by commodity as of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0"/>
                <w:szCs w:val="10"/>
                <w:b w:val="1"/>
                <w:bCs w:val="1"/>
                <w:color w:val="auto"/>
                <w:w w:val="92"/>
              </w:rPr>
              <w:t>Total Volume</w:t>
            </w:r>
          </w:p>
        </w:tc>
        <w:tc>
          <w:tcPr>
            <w:tcW w:w="1460" w:type="dxa"/>
            <w:vAlign w:val="bottom"/>
            <w:tcBorders>
              <w:bottom w:val="single" w:sz="8" w:color="auto"/>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2017</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December 31, 2016</w:t>
            </w:r>
          </w:p>
        </w:tc>
      </w:tr>
      <w:tr>
        <w:trPr>
          <w:trHeight w:val="150"/>
        </w:trPr>
        <w:tc>
          <w:tcPr>
            <w:tcW w:w="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0"/>
                <w:szCs w:val="10"/>
                <w:b w:val="1"/>
                <w:bCs w:val="1"/>
                <w:color w:val="auto"/>
              </w:rPr>
              <w:t>Commodity</w:t>
            </w:r>
          </w:p>
        </w:tc>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Units</w:t>
            </w:r>
          </w:p>
        </w:tc>
        <w:tc>
          <w:tcPr>
            <w:tcW w:w="3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gridSpan w:val="2"/>
          </w:tcPr>
          <w:p>
            <w:pPr>
              <w:jc w:val="center"/>
              <w:ind w:left="22"/>
              <w:spacing w:after="0"/>
              <w:rPr>
                <w:sz w:val="20"/>
                <w:szCs w:val="20"/>
                <w:color w:val="auto"/>
              </w:rPr>
            </w:pPr>
            <w:r>
              <w:rPr>
                <w:rFonts w:ascii="Arial" w:cs="Arial" w:eastAsia="Arial" w:hAnsi="Arial"/>
                <w:sz w:val="10"/>
                <w:szCs w:val="10"/>
                <w:b w:val="1"/>
                <w:bCs w:val="1"/>
                <w:color w:val="auto"/>
                <w:w w:val="96"/>
              </w:rPr>
              <w:t>(In millions)</w:t>
            </w:r>
          </w:p>
        </w:tc>
        <w:tc>
          <w:tcPr>
            <w:tcW w:w="1460" w:type="dxa"/>
            <w:vAlign w:val="bottom"/>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Natural Gas</w:t>
            </w:r>
          </w:p>
        </w:tc>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MMBtu</w:t>
            </w:r>
          </w:p>
        </w:tc>
        <w:tc>
          <w:tcPr>
            <w:tcW w:w="39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3"/>
                <w:szCs w:val="13"/>
                <w:color w:val="auto"/>
              </w:rPr>
              <w:t>2</w:t>
            </w:r>
          </w:p>
        </w:tc>
        <w:tc>
          <w:tcPr>
            <w:tcW w:w="4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r>
      <w:tr>
        <w:trPr>
          <w:trHeight w:val="174"/>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Interest</w:t>
            </w:r>
          </w:p>
        </w:tc>
        <w:tc>
          <w:tcPr>
            <w:tcW w:w="2340" w:type="dxa"/>
            <w:vAlign w:val="bottom"/>
            <w:gridSpan w:val="2"/>
          </w:tcPr>
          <w:p>
            <w:pPr>
              <w:spacing w:after="0"/>
              <w:rPr>
                <w:sz w:val="20"/>
                <w:szCs w:val="20"/>
                <w:color w:val="auto"/>
              </w:rPr>
            </w:pPr>
            <w:r>
              <w:rPr>
                <w:rFonts w:ascii="Arial" w:cs="Arial" w:eastAsia="Arial" w:hAnsi="Arial"/>
                <w:sz w:val="13"/>
                <w:szCs w:val="13"/>
                <w:color w:val="auto"/>
              </w:rPr>
              <w:t>Dollars</w:t>
            </w:r>
          </w:p>
        </w:tc>
        <w:tc>
          <w:tcPr>
            <w:tcW w:w="5340" w:type="dxa"/>
            <w:vAlign w:val="bottom"/>
            <w:gridSpan w:val="2"/>
          </w:tcPr>
          <w:p>
            <w:pPr>
              <w:jc w:val="right"/>
              <w:ind w:right="1248"/>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62"/>
              <w:spacing w:after="0"/>
              <w:rPr>
                <w:sz w:val="20"/>
                <w:szCs w:val="20"/>
                <w:color w:val="auto"/>
              </w:rPr>
            </w:pPr>
            <w:r>
              <w:rPr>
                <w:rFonts w:ascii="Arial" w:cs="Arial" w:eastAsia="Arial" w:hAnsi="Arial"/>
                <w:sz w:val="13"/>
                <w:szCs w:val="13"/>
                <w:color w:val="auto"/>
                <w:w w:val="98"/>
              </w:rPr>
              <w:t>1,940</w:t>
            </w: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60"/>
              <w:spacing w:after="0"/>
              <w:rPr>
                <w:sz w:val="20"/>
                <w:szCs w:val="20"/>
                <w:color w:val="auto"/>
              </w:rPr>
            </w:pPr>
            <w:r>
              <w:rPr>
                <w:rFonts w:ascii="Arial" w:cs="Arial" w:eastAsia="Arial" w:hAnsi="Arial"/>
                <w:sz w:val="13"/>
                <w:szCs w:val="13"/>
                <w:color w:val="auto"/>
              </w:rPr>
              <w:t>2,090</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tcPr>
          <w:p>
            <w:pPr>
              <w:jc w:val="right"/>
              <w:ind w:right="1835"/>
              <w:spacing w:after="0"/>
              <w:rPr>
                <w:sz w:val="20"/>
                <w:szCs w:val="20"/>
                <w:color w:val="auto"/>
              </w:rPr>
            </w:pPr>
            <w:r>
              <w:rPr>
                <w:rFonts w:ascii="Arial" w:cs="Arial" w:eastAsia="Arial" w:hAnsi="Arial"/>
                <w:sz w:val="13"/>
                <w:szCs w:val="13"/>
                <w:color w:val="auto"/>
              </w:rPr>
              <w:t>89</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0"/>
          </w:cols>
          <w:pgMar w:left="220" w:top="713" w:right="199" w:bottom="1440" w:gutter="0" w:footer="0" w:header="0"/>
        </w:sectPr>
      </w:pPr>
    </w:p>
    <w:bookmarkStart w:id="89" w:name="page90"/>
    <w:bookmarkEnd w:id="89"/>
    <w:p>
      <w:pPr>
        <w:ind w:left="2"/>
        <w:spacing w:after="0"/>
        <w:rPr>
          <w:sz w:val="20"/>
          <w:szCs w:val="20"/>
          <w:color w:val="auto"/>
        </w:rPr>
      </w:pPr>
      <w:r>
        <w:rPr>
          <w:rFonts w:ascii="Arial" w:cs="Arial" w:eastAsia="Arial" w:hAnsi="Arial"/>
          <w:sz w:val="13"/>
          <w:szCs w:val="13"/>
          <w:b w:val="1"/>
          <w:bCs w:val="1"/>
          <w:color w:val="auto"/>
        </w:rPr>
        <w:t>Fair Value of Derivative Instruments</w:t>
      </w:r>
    </w:p>
    <w:p>
      <w:pPr>
        <w:spacing w:after="0" w:line="10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fair value within the derivative instrument valuation on the balance sheet:</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51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0"/>
                <w:szCs w:val="10"/>
                <w:b w:val="1"/>
                <w:bCs w:val="1"/>
                <w:color w:val="auto"/>
              </w:rPr>
              <w:t>Fair Value</w:t>
            </w: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84"/>
        </w:trPr>
        <w:tc>
          <w:tcPr>
            <w:tcW w:w="51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0"/>
                <w:szCs w:val="10"/>
                <w:b w:val="1"/>
                <w:bCs w:val="1"/>
                <w:color w:val="auto"/>
              </w:rPr>
              <w:t xml:space="preserve">Derivative Assets </w:t>
            </w:r>
            <w:r>
              <w:rPr>
                <w:rFonts w:ascii="Arial" w:cs="Arial" w:eastAsia="Arial" w:hAnsi="Arial"/>
                <w:sz w:val="6"/>
                <w:szCs w:val="6"/>
                <w:b w:val="1"/>
                <w:bCs w:val="1"/>
                <w:color w:val="auto"/>
              </w:rPr>
              <w:t>(a)</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0"/>
                <w:szCs w:val="10"/>
                <w:b w:val="1"/>
                <w:bCs w:val="1"/>
                <w:color w:val="auto"/>
              </w:rPr>
              <w:t>Derivative Liabilities</w:t>
            </w:r>
          </w:p>
        </w:tc>
      </w:tr>
      <w:tr>
        <w:trPr>
          <w:trHeight w:val="184"/>
        </w:trPr>
        <w:tc>
          <w:tcPr>
            <w:tcW w:w="51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2016</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December 31, 2016</w:t>
            </w:r>
          </w:p>
        </w:tc>
      </w:tr>
      <w:tr>
        <w:trPr>
          <w:trHeight w:val="174"/>
        </w:trPr>
        <w:tc>
          <w:tcPr>
            <w:tcW w:w="5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Derivatives Designated as Cash Flow Hedges:</w:t>
            </w: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Interest rate contracts current</w:t>
            </w:r>
          </w:p>
        </w:tc>
        <w:tc>
          <w:tcPr>
            <w:tcW w:w="1220" w:type="dxa"/>
            <w:vAlign w:val="bottom"/>
          </w:tcPr>
          <w:p>
            <w:pPr>
              <w:jc w:val="right"/>
              <w:ind w:right="1082"/>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060"/>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26</w:t>
            </w: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rate contracts long-term</w:t>
            </w: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r>
      <w:tr>
        <w:trPr>
          <w:trHeight w:val="164"/>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Total Derivatives Designated as Cash Flow Hedges</w:t>
            </w:r>
          </w:p>
        </w:tc>
        <w:tc>
          <w:tcPr>
            <w:tcW w:w="1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Derivatives Not Designated as Cash Flow Hedges:</w:t>
            </w:r>
          </w:p>
        </w:tc>
        <w:tc>
          <w:tcPr>
            <w:tcW w:w="1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Interest rate contracts current</w:t>
            </w:r>
          </w:p>
        </w:tc>
        <w:tc>
          <w:tcPr>
            <w:tcW w:w="12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rate contracts long-term</w:t>
            </w:r>
          </w:p>
        </w:tc>
        <w:tc>
          <w:tcPr>
            <w:tcW w:w="1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Commodity contracts current</w:t>
            </w:r>
          </w:p>
        </w:tc>
        <w:tc>
          <w:tcPr>
            <w:tcW w:w="1220" w:type="dxa"/>
            <w:vAlign w:val="bottom"/>
          </w:tcPr>
          <w:p>
            <w:pPr>
              <w:spacing w:after="0"/>
              <w:rPr>
                <w:sz w:val="15"/>
                <w:szCs w:val="15"/>
                <w:color w:val="auto"/>
              </w:rPr>
            </w:pP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Derivatives Not Designated as Cash Flow Hedges</w:t>
            </w: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r>
      <w:tr>
        <w:trPr>
          <w:trHeight w:val="193"/>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Total Derivatives</w:t>
            </w:r>
          </w:p>
        </w:tc>
        <w:tc>
          <w:tcPr>
            <w:tcW w:w="122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60"/>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0" w:lineRule="exact"/>
        <w:rPr>
          <w:sz w:val="20"/>
          <w:szCs w:val="20"/>
          <w:color w:val="auto"/>
        </w:rPr>
      </w:pPr>
    </w:p>
    <w:p>
      <w:pPr>
        <w:ind w:left="2" w:right="360" w:hanging="2"/>
        <w:spacing w:after="0" w:line="275" w:lineRule="auto"/>
        <w:tabs>
          <w:tab w:leader="none" w:pos="90" w:val="left"/>
        </w:tabs>
        <w:numPr>
          <w:ilvl w:val="0"/>
          <w:numId w:val="44"/>
        </w:numPr>
        <w:rPr>
          <w:rFonts w:ascii="Arial" w:cs="Arial" w:eastAsia="Arial" w:hAnsi="Arial"/>
          <w:sz w:val="6"/>
          <w:szCs w:val="6"/>
          <w:color w:val="auto"/>
        </w:rPr>
      </w:pPr>
      <w:r>
        <w:rPr>
          <w:rFonts w:ascii="Arial" w:cs="Arial" w:eastAsia="Arial" w:hAnsi="Arial"/>
          <w:sz w:val="10"/>
          <w:szCs w:val="10"/>
          <w:color w:val="auto"/>
        </w:rPr>
        <w:t>Derivative Asset balances classified as current are included within the prepayments and other current assets line item of the Consolidated Balance Sheet. Derivative Asset balances classified as long-term are included within the other non-current assets line item of the Consolidated Balance Sheet.</w:t>
      </w:r>
    </w:p>
    <w:p>
      <w:pPr>
        <w:spacing w:after="0" w:line="207" w:lineRule="exact"/>
        <w:rPr>
          <w:sz w:val="20"/>
          <w:szCs w:val="20"/>
          <w:color w:val="auto"/>
        </w:rPr>
      </w:pPr>
    </w:p>
    <w:p>
      <w:pPr>
        <w:ind w:left="2" w:right="20" w:firstLine="291"/>
        <w:spacing w:after="0" w:line="271" w:lineRule="auto"/>
        <w:rPr>
          <w:sz w:val="20"/>
          <w:szCs w:val="20"/>
          <w:color w:val="auto"/>
        </w:rPr>
      </w:pPr>
      <w:r>
        <w:rPr>
          <w:rFonts w:ascii="Arial" w:cs="Arial" w:eastAsia="Arial" w:hAnsi="Arial"/>
          <w:sz w:val="13"/>
          <w:szCs w:val="13"/>
          <w:color w:val="auto"/>
        </w:rPr>
        <w:t>The Company has elected to present derivative assets and liabilities on the balance sheet on a trade-by-trade basis and does not offset amounts at the counterparty master agreement level. As of December 31, 2017 and 2016, there was no outstanding collateral paid or received. The following tables summarize the offsetting of derivatives by counterparty master agreement level:</w:t>
      </w:r>
    </w:p>
    <w:p>
      <w:pPr>
        <w:spacing w:after="0" w:line="325"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40" w:type="dxa"/>
            <w:vAlign w:val="bottom"/>
            <w:tcBorders>
              <w:bottom w:val="single" w:sz="8" w:color="auto"/>
            </w:tcBorders>
            <w:gridSpan w:val="6"/>
          </w:tcPr>
          <w:p>
            <w:pPr>
              <w:jc w:val="center"/>
              <w:ind w:left="1079"/>
              <w:spacing w:after="0"/>
              <w:rPr>
                <w:sz w:val="20"/>
                <w:szCs w:val="20"/>
                <w:color w:val="auto"/>
              </w:rPr>
            </w:pPr>
            <w:r>
              <w:rPr>
                <w:rFonts w:ascii="Arial" w:cs="Arial" w:eastAsia="Arial" w:hAnsi="Arial"/>
                <w:sz w:val="10"/>
                <w:szCs w:val="10"/>
                <w:b w:val="1"/>
                <w:bCs w:val="1"/>
                <w:color w:val="auto"/>
                <w:w w:val="93"/>
              </w:rPr>
              <w:t>Gross Amounts Not Offset in the Statement of Financial Position</w:t>
            </w: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December 31, 2017</w:t>
            </w: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0"/>
              </w:rPr>
              <w:t>Gross Amounts of Recognized</w:t>
            </w:r>
          </w:p>
        </w:tc>
        <w:tc>
          <w:tcPr>
            <w:tcW w:w="240" w:type="dxa"/>
            <w:vAlign w:val="bottom"/>
          </w:tcPr>
          <w:p>
            <w:pPr>
              <w:spacing w:after="0"/>
              <w:rPr>
                <w:sz w:val="9"/>
                <w:szCs w:val="9"/>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4"/>
              </w:rPr>
              <w:t>Derivative Instruments</w:t>
            </w:r>
          </w:p>
        </w:tc>
        <w:tc>
          <w:tcPr>
            <w:tcW w:w="500" w:type="dxa"/>
            <w:vAlign w:val="bottom"/>
          </w:tcPr>
          <w:p>
            <w:pPr>
              <w:spacing w:after="0"/>
              <w:rPr>
                <w:sz w:val="9"/>
                <w:szCs w:val="9"/>
                <w:color w:val="auto"/>
              </w:rPr>
            </w:pPr>
          </w:p>
        </w:tc>
        <w:tc>
          <w:tcPr>
            <w:tcW w:w="1320" w:type="dxa"/>
            <w:vAlign w:val="bottom"/>
            <w:vMerge w:val="restart"/>
          </w:tcPr>
          <w:p>
            <w:pPr>
              <w:jc w:val="right"/>
              <w:ind w:right="577"/>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34"/>
        </w:trPr>
        <w:tc>
          <w:tcPr>
            <w:tcW w:w="36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2"/>
              </w:rPr>
              <w:t>Assets/Liabilities</w:t>
            </w: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(In millions)</w:t>
            </w: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30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commodity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Interest rate contracts:</w:t>
            </w:r>
          </w:p>
        </w:tc>
        <w:tc>
          <w:tcPr>
            <w:tcW w:w="2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interest rate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Total derivative instruments</w:t>
            </w:r>
          </w:p>
        </w:tc>
        <w:tc>
          <w:tcPr>
            <w:tcW w:w="2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7"/>
        </w:trPr>
        <w:tc>
          <w:tcPr>
            <w:tcW w:w="3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6"/>
          </w:tcPr>
          <w:p>
            <w:pPr>
              <w:jc w:val="center"/>
              <w:ind w:left="1079"/>
              <w:spacing w:after="0"/>
              <w:rPr>
                <w:sz w:val="20"/>
                <w:szCs w:val="20"/>
                <w:color w:val="auto"/>
              </w:rPr>
            </w:pPr>
            <w:r>
              <w:rPr>
                <w:rFonts w:ascii="Arial" w:cs="Arial" w:eastAsia="Arial" w:hAnsi="Arial"/>
                <w:sz w:val="10"/>
                <w:szCs w:val="10"/>
                <w:b w:val="1"/>
                <w:bCs w:val="1"/>
                <w:color w:val="auto"/>
                <w:w w:val="93"/>
              </w:rPr>
              <w:t>Gross Amounts Not Offset in the Statement of Financial Position</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December 31, 2016</w:t>
            </w: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0"/>
              </w:rPr>
              <w:t>Gross Amounts of Recognized</w:t>
            </w:r>
          </w:p>
        </w:tc>
        <w:tc>
          <w:tcPr>
            <w:tcW w:w="240" w:type="dxa"/>
            <w:vAlign w:val="bottom"/>
          </w:tcPr>
          <w:p>
            <w:pPr>
              <w:spacing w:after="0"/>
              <w:rPr>
                <w:sz w:val="9"/>
                <w:szCs w:val="9"/>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4"/>
              </w:rPr>
              <w:t>Derivative Instruments</w:t>
            </w:r>
          </w:p>
        </w:tc>
        <w:tc>
          <w:tcPr>
            <w:tcW w:w="500" w:type="dxa"/>
            <w:vAlign w:val="bottom"/>
          </w:tcPr>
          <w:p>
            <w:pPr>
              <w:spacing w:after="0"/>
              <w:rPr>
                <w:sz w:val="9"/>
                <w:szCs w:val="9"/>
                <w:color w:val="auto"/>
              </w:rPr>
            </w:pPr>
          </w:p>
        </w:tc>
        <w:tc>
          <w:tcPr>
            <w:tcW w:w="1320" w:type="dxa"/>
            <w:vAlign w:val="bottom"/>
            <w:vMerge w:val="restart"/>
          </w:tcPr>
          <w:p>
            <w:pPr>
              <w:jc w:val="right"/>
              <w:ind w:right="577"/>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34"/>
        </w:trPr>
        <w:tc>
          <w:tcPr>
            <w:tcW w:w="36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2"/>
              </w:rPr>
              <w:t>Assets/Liabilities</w:t>
            </w: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(In millions)</w:t>
            </w: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30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commodity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Interest rate contracts:</w:t>
            </w:r>
          </w:p>
        </w:tc>
        <w:tc>
          <w:tcPr>
            <w:tcW w:w="2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interest rate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Total derivative instruments</w:t>
            </w:r>
          </w:p>
        </w:tc>
        <w:tc>
          <w:tcPr>
            <w:tcW w:w="2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397"/>
        </w:trPr>
        <w:tc>
          <w:tcPr>
            <w:tcW w:w="3620" w:type="dxa"/>
            <w:vAlign w:val="bottom"/>
          </w:tcPr>
          <w:p>
            <w:pPr>
              <w:spacing w:after="0"/>
              <w:rPr>
                <w:sz w:val="24"/>
                <w:szCs w:val="24"/>
                <w:color w:val="auto"/>
              </w:rPr>
            </w:pPr>
          </w:p>
        </w:tc>
        <w:tc>
          <w:tcPr>
            <w:tcW w:w="2300" w:type="dxa"/>
            <w:vAlign w:val="bottom"/>
            <w:gridSpan w:val="2"/>
          </w:tcPr>
          <w:p>
            <w:pPr>
              <w:jc w:val="right"/>
              <w:ind w:right="55"/>
              <w:spacing w:after="0"/>
              <w:rPr>
                <w:sz w:val="20"/>
                <w:szCs w:val="20"/>
                <w:color w:val="auto"/>
              </w:rPr>
            </w:pPr>
            <w:r>
              <w:rPr>
                <w:rFonts w:ascii="Arial" w:cs="Arial" w:eastAsia="Arial" w:hAnsi="Arial"/>
                <w:sz w:val="13"/>
                <w:szCs w:val="13"/>
                <w:color w:val="auto"/>
              </w:rPr>
              <w:t>90</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2"/>
          </w:cols>
          <w:pgMar w:left="218" w:top="709" w:right="19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i w:val="1"/>
          <w:iCs w:val="1"/>
          <w:color w:val="auto"/>
        </w:rPr>
        <w:t>Accumulated Other Comprehensive Loss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the effects on the Company’s accumulated OCL balance attributable to interest rate swaps designated as cash flow hedge derivatives: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84"/>
        </w:trPr>
        <w:tc>
          <w:tcPr>
            <w:tcW w:w="7120" w:type="dxa"/>
            <w:vAlign w:val="bottom"/>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0"/>
                <w:szCs w:val="10"/>
                <w:b w:val="1"/>
                <w:bCs w:val="1"/>
                <w:color w:val="auto"/>
              </w:rPr>
              <w:t>2015</w:t>
            </w:r>
          </w:p>
        </w:tc>
      </w:tr>
      <w:tr>
        <w:trPr>
          <w:trHeight w:val="174"/>
        </w:trPr>
        <w:tc>
          <w:tcPr>
            <w:tcW w:w="7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(In millions)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OCL beginning balance</w:t>
            </w:r>
          </w:p>
        </w:tc>
        <w:tc>
          <w:tcPr>
            <w:tcW w:w="94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r>
      <w:tr>
        <w:trPr>
          <w:trHeight w:val="174"/>
        </w:trPr>
        <w:tc>
          <w:tcPr>
            <w:tcW w:w="7120" w:type="dxa"/>
            <w:vAlign w:val="bottom"/>
          </w:tcPr>
          <w:p>
            <w:pPr>
              <w:ind w:left="140"/>
              <w:spacing w:after="0"/>
              <w:rPr>
                <w:sz w:val="20"/>
                <w:szCs w:val="20"/>
                <w:color w:val="auto"/>
              </w:rPr>
            </w:pPr>
            <w:r>
              <w:rPr>
                <w:rFonts w:ascii="Arial" w:cs="Arial" w:eastAsia="Arial" w:hAnsi="Arial"/>
                <w:sz w:val="13"/>
                <w:szCs w:val="13"/>
                <w:color w:val="auto"/>
              </w:rPr>
              <w:t>Reclassified from accumulated OCL to income due to realization of previously deferred amounts</w:t>
            </w:r>
          </w:p>
        </w:tc>
        <w:tc>
          <w:tcPr>
            <w:tcW w:w="9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17</w:t>
            </w:r>
          </w:p>
        </w:tc>
      </w:tr>
      <w:tr>
        <w:trPr>
          <w:trHeight w:val="20"/>
        </w:trPr>
        <w:tc>
          <w:tcPr>
            <w:tcW w:w="7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Mark-to-market of cash flow hedge accounting contracts</w:t>
            </w: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OCL ending balance</w:t>
            </w:r>
          </w:p>
        </w:tc>
        <w:tc>
          <w:tcPr>
            <w:tcW w:w="9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(99)</w:t>
            </w:r>
          </w:p>
        </w:tc>
      </w:tr>
      <w:tr>
        <w:trPr>
          <w:trHeight w:val="19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OCL attributable to NRG Yield LLC</w:t>
            </w:r>
          </w:p>
        </w:tc>
        <w:tc>
          <w:tcPr>
            <w:tcW w:w="94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(98)</w:t>
            </w:r>
          </w:p>
        </w:tc>
      </w:tr>
      <w:tr>
        <w:trPr>
          <w:trHeight w:val="174"/>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expected to be realized from OCL during the next 12 months</w:t>
            </w:r>
          </w:p>
        </w:tc>
        <w:tc>
          <w:tcPr>
            <w:tcW w:w="94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Amounts reclassified from accumulated OCL into income are recorded to interest expense.</w:t>
      </w:r>
    </w:p>
    <w:p>
      <w:pPr>
        <w:spacing w:after="0" w:line="161" w:lineRule="exact"/>
        <w:rPr>
          <w:sz w:val="20"/>
          <w:szCs w:val="20"/>
          <w:color w:val="auto"/>
        </w:rPr>
      </w:pPr>
    </w:p>
    <w:p>
      <w:pPr>
        <w:jc w:val="both"/>
        <w:ind w:firstLine="282"/>
        <w:spacing w:after="0" w:line="260" w:lineRule="auto"/>
        <w:rPr>
          <w:sz w:val="20"/>
          <w:szCs w:val="20"/>
          <w:color w:val="auto"/>
        </w:rPr>
      </w:pPr>
      <w:r>
        <w:rPr>
          <w:rFonts w:ascii="Arial" w:cs="Arial" w:eastAsia="Arial" w:hAnsi="Arial"/>
          <w:sz w:val="13"/>
          <w:szCs w:val="13"/>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136" w:lineRule="exact"/>
        <w:rPr>
          <w:sz w:val="20"/>
          <w:szCs w:val="20"/>
          <w:color w:val="auto"/>
        </w:rPr>
      </w:pPr>
    </w:p>
    <w:p>
      <w:pPr>
        <w:jc w:val="both"/>
        <w:ind w:right="20" w:firstLine="282"/>
        <w:spacing w:after="0" w:line="364" w:lineRule="auto"/>
        <w:rPr>
          <w:sz w:val="20"/>
          <w:szCs w:val="20"/>
          <w:color w:val="auto"/>
        </w:rPr>
      </w:pPr>
      <w:r>
        <w:rPr>
          <w:rFonts w:ascii="Arial" w:cs="Arial" w:eastAsia="Arial" w:hAnsi="Arial"/>
          <w:sz w:val="11"/>
          <w:szCs w:val="11"/>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Derivative Instruments on the Statements of Income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Company has interest rate derivative instruments that are not designated as cash flow hedges. The effect of interest rate hedges is recorded to interest expense. For the years ended December 31, 2017, 2016 and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2015 the impact to the consolidated statements of income was a gain of $7 million, loss of $2 million and a gain of $17 million, respectively.</w:t>
      </w:r>
    </w:p>
    <w:p>
      <w:pPr>
        <w:spacing w:after="0" w:line="115"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2015, commodity contracts also hedged the forecasted sale of power for the Elbow Creek until the start of the PPA with NRG Power Marketing LLC, or Power Marketing, with effective date of November 1, 2015.</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The effect of these commodity hedges was recorded to operating revenues. For the year ended December 31, 2015, the impact to the consolidated statements of income was an unrealized loss of $2 million.</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See Note 6, </w:t>
      </w: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 for a discussion regarding concentration of credit risk.</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Intangible Assets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Intangible Assets </w:t>
      </w:r>
      <w:r>
        <w:rPr>
          <w:rFonts w:ascii="Arial" w:cs="Arial" w:eastAsia="Arial" w:hAnsi="Arial"/>
          <w:sz w:val="12"/>
          <w:szCs w:val="12"/>
          <w:color w:val="auto"/>
        </w:rPr>
        <w:t>— The Company's intangible assets as of December 31, 2017 and 2016 primarily reflect intangible assets established from its business acquisitions and are comprised of the following:</w:t>
      </w:r>
    </w:p>
    <w:p>
      <w:pPr>
        <w:spacing w:after="0" w:line="134" w:lineRule="exact"/>
        <w:rPr>
          <w:sz w:val="20"/>
          <w:szCs w:val="20"/>
          <w:color w:val="auto"/>
        </w:rPr>
      </w:pPr>
    </w:p>
    <w:p>
      <w:pPr>
        <w:ind w:left="460" w:right="20" w:hanging="229"/>
        <w:spacing w:after="0" w:line="271" w:lineRule="auto"/>
        <w:tabs>
          <w:tab w:leader="none" w:pos="46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PPAs </w:t>
      </w:r>
      <w:r>
        <w:rPr>
          <w:rFonts w:ascii="Arial" w:cs="Arial" w:eastAsia="Arial" w:hAnsi="Arial"/>
          <w:sz w:val="13"/>
          <w:szCs w:val="13"/>
          <w:color w:val="auto"/>
        </w:rPr>
        <w:t>— Established predominantly with the acquisitions of the Alta Wind Portfolio, Walnut Creek, Tapestry and Laredo Ridge, these represent the fair value of the PPAs acquired. These are amortized,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on a straight-line basis, over the term of the PPA.</w:t>
      </w:r>
    </w:p>
    <w:p>
      <w:pPr>
        <w:spacing w:after="0" w:line="50" w:lineRule="exact"/>
        <w:rPr>
          <w:rFonts w:ascii="Arial" w:cs="Arial" w:eastAsia="Arial" w:hAnsi="Arial"/>
          <w:sz w:val="13"/>
          <w:szCs w:val="13"/>
          <w:i w:val="1"/>
          <w:iCs w:val="1"/>
          <w:color w:val="auto"/>
        </w:rPr>
      </w:pPr>
    </w:p>
    <w:p>
      <w:pPr>
        <w:ind w:left="460" w:right="180" w:hanging="229"/>
        <w:spacing w:after="0" w:line="271" w:lineRule="auto"/>
        <w:tabs>
          <w:tab w:leader="none" w:pos="46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Leasehold Rights </w:t>
      </w:r>
      <w:r>
        <w:rPr>
          <w:rFonts w:ascii="Arial" w:cs="Arial" w:eastAsia="Arial" w:hAnsi="Arial"/>
          <w:sz w:val="13"/>
          <w:szCs w:val="13"/>
          <w:color w:val="auto"/>
        </w:rPr>
        <w:t>— Established with the acquisition of the Alta Wind Portfolio, this represents the fair value of contractual rights to receive royalty payments equal to a percentage of PPA revenue from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projects. These are amortized on a straight-line basis.</w:t>
      </w:r>
    </w:p>
    <w:p>
      <w:pPr>
        <w:spacing w:after="0" w:line="50" w:lineRule="exact"/>
        <w:rPr>
          <w:rFonts w:ascii="Arial" w:cs="Arial" w:eastAsia="Arial" w:hAnsi="Arial"/>
          <w:sz w:val="13"/>
          <w:szCs w:val="13"/>
          <w:i w:val="1"/>
          <w:iCs w:val="1"/>
          <w:color w:val="auto"/>
        </w:rPr>
      </w:pPr>
    </w:p>
    <w:p>
      <w:pPr>
        <w:ind w:left="460" w:hanging="229"/>
        <w:spacing w:after="0"/>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Customer relationships </w:t>
      </w:r>
      <w:r>
        <w:rPr>
          <w:rFonts w:ascii="Arial" w:cs="Arial" w:eastAsia="Arial" w:hAnsi="Arial"/>
          <w:sz w:val="13"/>
          <w:szCs w:val="13"/>
          <w:color w:val="auto"/>
        </w:rPr>
        <w:t>— Established with the acquisition of NRG Energy Center Phoenix and NRG Energy Center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480"/>
          </w:cols>
          <w:pgMar w:left="220" w:top="714" w:right="199" w:bottom="1440" w:gutter="0" w:footer="0" w:header="0"/>
        </w:sectPr>
      </w:pPr>
    </w:p>
    <w:bookmarkStart w:id="91" w:name="page92"/>
    <w:bookmarkEnd w:id="91"/>
    <w:p>
      <w:pPr>
        <w:ind w:left="462" w:right="660"/>
        <w:spacing w:after="0" w:line="257" w:lineRule="auto"/>
        <w:rPr>
          <w:sz w:val="20"/>
          <w:szCs w:val="20"/>
          <w:color w:val="auto"/>
        </w:rPr>
      </w:pPr>
      <w:r>
        <w:rPr>
          <w:rFonts w:ascii="Arial" w:cs="Arial" w:eastAsia="Arial" w:hAnsi="Arial"/>
          <w:sz w:val="16"/>
          <w:szCs w:val="16"/>
          <w:color w:val="auto"/>
        </w:rPr>
        <w:t>Omaha, these intangibles represent the fair value at the acquisition date of the businesses' customer base. The customer relationships are amortized to depreciation and amortization expense based on the expected discounted future net cash flows by year.</w:t>
      </w:r>
    </w:p>
    <w:p>
      <w:pPr>
        <w:spacing w:after="0" w:line="49" w:lineRule="exact"/>
        <w:rPr>
          <w:sz w:val="20"/>
          <w:szCs w:val="20"/>
          <w:color w:val="auto"/>
        </w:rPr>
      </w:pPr>
    </w:p>
    <w:p>
      <w:pPr>
        <w:ind w:left="462" w:right="60" w:hanging="229"/>
        <w:spacing w:after="0" w:line="259"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Customer contracts </w:t>
      </w:r>
      <w:r>
        <w:rPr>
          <w:rFonts w:ascii="Arial" w:cs="Arial" w:eastAsia="Arial" w:hAnsi="Arial"/>
          <w:sz w:val="13"/>
          <w:szCs w:val="13"/>
          <w:color w:val="auto"/>
        </w:rPr>
        <w:t>— Established with the acquisition of NRG Energy Center Phoenix, these intangibles represent the fair value at the acquisition date of contracts that primarily provide chilled water, steam and</w:t>
      </w:r>
      <w:r>
        <w:rPr>
          <w:rFonts w:ascii="Arial" w:cs="Arial" w:eastAsia="Arial" w:hAnsi="Arial"/>
          <w:sz w:val="13"/>
          <w:szCs w:val="13"/>
          <w:i w:val="1"/>
          <w:iCs w:val="1"/>
          <w:color w:val="auto"/>
        </w:rPr>
        <w:t xml:space="preserve"> </w:t>
      </w:r>
      <w:r>
        <w:rPr>
          <w:rFonts w:ascii="Arial" w:cs="Arial" w:eastAsia="Arial" w:hAnsi="Arial"/>
          <w:sz w:val="13"/>
          <w:szCs w:val="13"/>
          <w:color w:val="auto"/>
        </w:rPr>
        <w:t>electricity to its customers. These contracts are amortized to revenues based on expected volumes.</w:t>
      </w:r>
    </w:p>
    <w:p>
      <w:pPr>
        <w:ind w:left="462" w:right="20" w:hanging="229"/>
        <w:spacing w:after="0" w:line="232"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Emission Allowances </w:t>
      </w:r>
      <w:r>
        <w:rPr>
          <w:rFonts w:ascii="Arial" w:cs="Arial" w:eastAsia="Arial" w:hAnsi="Arial"/>
          <w:sz w:val="13"/>
          <w:szCs w:val="13"/>
          <w:color w:val="auto"/>
        </w:rPr>
        <w:t>— These intangibles primarily consist of SO</w:t>
      </w:r>
      <w:r>
        <w:rPr>
          <w:rFonts w:ascii="Arial" w:cs="Arial" w:eastAsia="Arial" w:hAnsi="Arial"/>
          <w:sz w:val="18"/>
          <w:szCs w:val="18"/>
          <w:color w:val="auto"/>
          <w:vertAlign w:val="subscript"/>
        </w:rPr>
        <w:t>2</w:t>
      </w:r>
      <w:r>
        <w:rPr>
          <w:rFonts w:ascii="Arial" w:cs="Arial" w:eastAsia="Arial" w:hAnsi="Arial"/>
          <w:sz w:val="13"/>
          <w:szCs w:val="13"/>
          <w:i w:val="1"/>
          <w:iCs w:val="1"/>
          <w:color w:val="auto"/>
        </w:rPr>
        <w:t xml:space="preserve"> </w:t>
      </w:r>
      <w:r>
        <w:rPr>
          <w:rFonts w:ascii="Arial" w:cs="Arial" w:eastAsia="Arial" w:hAnsi="Arial"/>
          <w:sz w:val="13"/>
          <w:szCs w:val="13"/>
          <w:color w:val="auto"/>
        </w:rPr>
        <w:t>and NO</w:t>
      </w:r>
      <w:r>
        <w:rPr>
          <w:rFonts w:ascii="Arial" w:cs="Arial" w:eastAsia="Arial" w:hAnsi="Arial"/>
          <w:sz w:val="10"/>
          <w:szCs w:val="10"/>
          <w:color w:val="auto"/>
        </w:rPr>
        <w:t>x</w:t>
      </w:r>
      <w:r>
        <w:rPr>
          <w:rFonts w:ascii="Arial" w:cs="Arial" w:eastAsia="Arial" w:hAnsi="Arial"/>
          <w:sz w:val="13"/>
          <w:szCs w:val="13"/>
          <w:i w:val="1"/>
          <w:iCs w:val="1"/>
          <w:color w:val="auto"/>
        </w:rPr>
        <w:t xml:space="preserve"> </w:t>
      </w:r>
      <w:r>
        <w:rPr>
          <w:rFonts w:ascii="Arial" w:cs="Arial" w:eastAsia="Arial" w:hAnsi="Arial"/>
          <w:sz w:val="13"/>
          <w:szCs w:val="13"/>
          <w:color w:val="auto"/>
        </w:rPr>
        <w:t>emission allowances established with the El Segundo and Walnut Creek acquisitions. These emission allowances are held-for-use and</w:t>
      </w:r>
      <w:r>
        <w:rPr>
          <w:rFonts w:ascii="Arial" w:cs="Arial" w:eastAsia="Arial" w:hAnsi="Arial"/>
          <w:sz w:val="13"/>
          <w:szCs w:val="13"/>
          <w:i w:val="1"/>
          <w:iCs w:val="1"/>
          <w:color w:val="auto"/>
        </w:rPr>
        <w:t xml:space="preserve"> </w:t>
      </w:r>
      <w:r>
        <w:rPr>
          <w:rFonts w:ascii="Arial" w:cs="Arial" w:eastAsia="Arial" w:hAnsi="Arial"/>
          <w:sz w:val="13"/>
          <w:szCs w:val="13"/>
          <w:color w:val="auto"/>
        </w:rPr>
        <w:t>are amortized to cost of operations, with NO</w:t>
      </w:r>
      <w:r>
        <w:rPr>
          <w:rFonts w:ascii="Arial" w:cs="Arial" w:eastAsia="Arial" w:hAnsi="Arial"/>
          <w:sz w:val="10"/>
          <w:szCs w:val="10"/>
          <w:color w:val="auto"/>
        </w:rPr>
        <w:t>x</w:t>
      </w:r>
      <w:r>
        <w:rPr>
          <w:rFonts w:ascii="Arial" w:cs="Arial" w:eastAsia="Arial" w:hAnsi="Arial"/>
          <w:sz w:val="13"/>
          <w:szCs w:val="13"/>
          <w:color w:val="auto"/>
        </w:rPr>
        <w:t xml:space="preserve"> allowances amortized on a straight-line basis and SO</w:t>
      </w:r>
      <w:r>
        <w:rPr>
          <w:rFonts w:ascii="Arial" w:cs="Arial" w:eastAsia="Arial" w:hAnsi="Arial"/>
          <w:sz w:val="18"/>
          <w:szCs w:val="18"/>
          <w:color w:val="auto"/>
          <w:vertAlign w:val="subscript"/>
        </w:rPr>
        <w:t>2</w:t>
      </w:r>
      <w:r>
        <w:rPr>
          <w:rFonts w:ascii="Arial" w:cs="Arial" w:eastAsia="Arial" w:hAnsi="Arial"/>
          <w:sz w:val="13"/>
          <w:szCs w:val="13"/>
          <w:color w:val="auto"/>
        </w:rPr>
        <w:t xml:space="preserve"> allowances amortized based on units of production.</w:t>
      </w:r>
    </w:p>
    <w:p>
      <w:pPr>
        <w:spacing w:after="0" w:line="72" w:lineRule="exact"/>
        <w:rPr>
          <w:rFonts w:ascii="Arial" w:cs="Arial" w:eastAsia="Arial" w:hAnsi="Arial"/>
          <w:sz w:val="13"/>
          <w:szCs w:val="13"/>
          <w:i w:val="1"/>
          <w:iCs w:val="1"/>
          <w:color w:val="auto"/>
        </w:rPr>
      </w:pPr>
    </w:p>
    <w:p>
      <w:pPr>
        <w:ind w:left="462" w:right="20" w:hanging="229"/>
        <w:spacing w:after="0" w:line="271"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Development rights </w:t>
      </w:r>
      <w:r>
        <w:rPr>
          <w:rFonts w:ascii="Arial" w:cs="Arial" w:eastAsia="Arial" w:hAnsi="Arial"/>
          <w:sz w:val="13"/>
          <w:szCs w:val="13"/>
          <w:color w:val="auto"/>
        </w:rPr>
        <w:t>— Arising primarily from the acquisition of solar businesses in 2010 and 2011, these intangibles are amortized to depreciation and amortization expense on a straight-line basis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estimated life of the related project portfolio.</w:t>
      </w:r>
    </w:p>
    <w:p>
      <w:pPr>
        <w:spacing w:after="0" w:line="50" w:lineRule="exact"/>
        <w:rPr>
          <w:rFonts w:ascii="Arial" w:cs="Arial" w:eastAsia="Arial" w:hAnsi="Arial"/>
          <w:sz w:val="13"/>
          <w:szCs w:val="13"/>
          <w:i w:val="1"/>
          <w:iCs w:val="1"/>
          <w:color w:val="auto"/>
        </w:rPr>
      </w:pPr>
    </w:p>
    <w:p>
      <w:pPr>
        <w:ind w:left="462" w:hanging="229"/>
        <w:spacing w:after="0" w:line="271"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Consists primarily of the acquisition date fair value of the contractual rights to a ground lease for South Trent and to utilize certain interconnection facilities for Blythe, as well as land rights acquired in</w:t>
      </w:r>
      <w:r>
        <w:rPr>
          <w:rFonts w:ascii="Arial" w:cs="Arial" w:eastAsia="Arial" w:hAnsi="Arial"/>
          <w:sz w:val="13"/>
          <w:szCs w:val="13"/>
          <w:i w:val="1"/>
          <w:iCs w:val="1"/>
          <w:color w:val="auto"/>
        </w:rPr>
        <w:t xml:space="preserve"> </w:t>
      </w:r>
      <w:r>
        <w:rPr>
          <w:rFonts w:ascii="Arial" w:cs="Arial" w:eastAsia="Arial" w:hAnsi="Arial"/>
          <w:sz w:val="13"/>
          <w:szCs w:val="13"/>
          <w:color w:val="auto"/>
        </w:rPr>
        <w:t>connection with the acquisition of Elbow Creek.</w:t>
      </w:r>
    </w:p>
    <w:p>
      <w:pPr>
        <w:spacing w:after="0" w:line="51" w:lineRule="exact"/>
        <w:rPr>
          <w:sz w:val="20"/>
          <w:szCs w:val="20"/>
          <w:color w:val="auto"/>
        </w:rPr>
      </w:pPr>
    </w:p>
    <w:p>
      <w:pPr>
        <w:ind w:left="302"/>
        <w:spacing w:after="0"/>
        <w:rPr>
          <w:sz w:val="20"/>
          <w:szCs w:val="20"/>
          <w:color w:val="auto"/>
        </w:rPr>
      </w:pPr>
      <w:r>
        <w:rPr>
          <w:rFonts w:ascii="Arial" w:cs="Arial" w:eastAsia="Arial" w:hAnsi="Arial"/>
          <w:sz w:val="13"/>
          <w:szCs w:val="13"/>
          <w:color w:val="auto"/>
        </w:rPr>
        <w:t>The following tables summarize the components of intangible assets subject to amortization:</w:t>
      </w:r>
    </w:p>
    <w:p>
      <w:pPr>
        <w:spacing w:after="0" w:line="10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Arial" w:cs="Arial" w:eastAsia="Arial" w:hAnsi="Arial"/>
                <w:sz w:val="10"/>
                <w:szCs w:val="10"/>
                <w:b w:val="1"/>
                <w:bCs w:val="1"/>
                <w:color w:val="auto"/>
                <w:w w:val="91"/>
              </w:rPr>
              <w:t>Year ended December 31, 2017</w:t>
            </w:r>
          </w:p>
        </w:tc>
        <w:tc>
          <w:tcPr>
            <w:tcW w:w="8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Leasehold Rights</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Customer</w:t>
            </w: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Customer Contracts</w:t>
            </w: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Emission Allowances</w:t>
            </w: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Development</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Relationships</w:t>
            </w:r>
          </w:p>
        </w:tc>
        <w:tc>
          <w:tcPr>
            <w:tcW w:w="116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6"/>
              </w:rPr>
              <w:t>Rights</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January 1, 2017</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spacing w:after="0" w:line="195" w:lineRule="exact"/>
              <w:rPr>
                <w:sz w:val="20"/>
                <w:szCs w:val="20"/>
                <w:color w:val="auto"/>
              </w:rPr>
            </w:pPr>
            <w:r>
              <w:rPr>
                <w:rFonts w:ascii="Arial" w:cs="Arial" w:eastAsia="Arial" w:hAnsi="Arial"/>
                <w:sz w:val="13"/>
                <w:szCs w:val="13"/>
                <w:color w:val="auto"/>
              </w:rPr>
              <w:t xml:space="preserve">Asset impairments </w:t>
            </w:r>
            <w:r>
              <w:rPr>
                <w:rFonts w:ascii="Arial" w:cs="Arial" w:eastAsia="Arial" w:hAnsi="Arial"/>
                <w:sz w:val="18"/>
                <w:szCs w:val="18"/>
                <w:color w:val="auto"/>
                <w:vertAlign w:val="superscript"/>
              </w:rPr>
              <w:t>(a)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December 31, 2017</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1,280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89" w:lineRule="exact"/>
        <w:rPr>
          <w:sz w:val="20"/>
          <w:szCs w:val="20"/>
          <w:color w:val="auto"/>
        </w:rPr>
      </w:pPr>
    </w:p>
    <w:p>
      <w:pPr>
        <w:ind w:left="122" w:hanging="122"/>
        <w:spacing w:after="0"/>
        <w:tabs>
          <w:tab w:leader="none" w:pos="122" w:val="left"/>
        </w:tabs>
        <w:numPr>
          <w:ilvl w:val="0"/>
          <w:numId w:val="47"/>
        </w:numPr>
        <w:rPr>
          <w:rFonts w:ascii="Arial" w:cs="Arial" w:eastAsia="Arial" w:hAnsi="Arial"/>
          <w:sz w:val="14"/>
          <w:szCs w:val="14"/>
          <w:color w:val="auto"/>
          <w:vertAlign w:val="superscript"/>
        </w:rPr>
      </w:pPr>
      <w:r>
        <w:rPr>
          <w:rFonts w:ascii="Arial" w:cs="Arial" w:eastAsia="Arial" w:hAnsi="Arial"/>
          <w:sz w:val="10"/>
          <w:szCs w:val="10"/>
          <w:color w:val="auto"/>
        </w:rPr>
        <w:t xml:space="preserve">$6 million of asset impairments relate to one of the November 2017 Drop Down Assets that was recorded by NRG during the quarter ended September 30, 2017, as further described in Note 9, </w:t>
      </w:r>
      <w:r>
        <w:rPr>
          <w:rFonts w:ascii="Arial" w:cs="Arial" w:eastAsia="Arial" w:hAnsi="Arial"/>
          <w:sz w:val="10"/>
          <w:szCs w:val="10"/>
          <w:i w:val="1"/>
          <w:iCs w:val="1"/>
          <w:color w:val="auto"/>
        </w:rPr>
        <w:t>Asset Impairments.</w:t>
      </w:r>
    </w:p>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Arial" w:cs="Arial" w:eastAsia="Arial" w:hAnsi="Arial"/>
                <w:sz w:val="10"/>
                <w:szCs w:val="10"/>
                <w:b w:val="1"/>
                <w:bCs w:val="1"/>
                <w:color w:val="auto"/>
                <w:w w:val="91"/>
              </w:rPr>
              <w:t>Year ended December 31, 2016</w:t>
            </w:r>
          </w:p>
        </w:tc>
        <w:tc>
          <w:tcPr>
            <w:tcW w:w="8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Leasehold Rights</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Customer</w:t>
            </w: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Customer Contracts</w:t>
            </w: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Emission Allowances</w:t>
            </w: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Development</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Relationships</w:t>
            </w:r>
          </w:p>
        </w:tc>
        <w:tc>
          <w:tcPr>
            <w:tcW w:w="116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6"/>
              </w:rPr>
              <w:t>Rights</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January 1, 2016</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December 31, 2016</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1,303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 w:right="20" w:firstLine="291"/>
        <w:spacing w:after="0" w:line="260" w:lineRule="auto"/>
        <w:rPr>
          <w:sz w:val="20"/>
          <w:szCs w:val="20"/>
          <w:color w:val="auto"/>
        </w:rPr>
      </w:pPr>
      <w:r>
        <w:rPr>
          <w:rFonts w:ascii="Arial" w:cs="Arial" w:eastAsia="Arial" w:hAnsi="Arial"/>
          <w:sz w:val="13"/>
          <w:szCs w:val="13"/>
          <w:color w:val="auto"/>
        </w:rPr>
        <w:t>The Company recorded amortization expense of $71 million during each of years ended December 31, 2017 and 2016, and $56 million during the year ended December 31, 2015. Of these amounts, $70 million for each of the years ended December 31, 2017 and 2016, and $55 million for the year ended December 31, 2015, were recorded to contract amortization expense and reduced operating revenues in the consolidated statements of operations. The Company estimates the future amortization expense for its intangibles to be $71 million for the next five years through 2022.</w:t>
      </w:r>
    </w:p>
    <w:p>
      <w:pPr>
        <w:spacing w:after="0" w:line="97" w:lineRule="exact"/>
        <w:rPr>
          <w:sz w:val="20"/>
          <w:szCs w:val="20"/>
          <w:color w:val="auto"/>
        </w:rPr>
      </w:pPr>
    </w:p>
    <w:p>
      <w:pPr>
        <w:jc w:val="both"/>
        <w:ind w:left="2" w:right="20" w:firstLine="291"/>
        <w:spacing w:after="0" w:line="253" w:lineRule="auto"/>
        <w:rPr>
          <w:sz w:val="20"/>
          <w:szCs w:val="20"/>
          <w:color w:val="auto"/>
        </w:rPr>
      </w:pPr>
      <w:r>
        <w:rPr>
          <w:rFonts w:ascii="Arial" w:cs="Arial" w:eastAsia="Arial" w:hAnsi="Arial"/>
          <w:sz w:val="13"/>
          <w:szCs w:val="13"/>
          <w:i w:val="1"/>
          <w:iCs w:val="1"/>
          <w:color w:val="auto"/>
        </w:rPr>
        <w:t xml:space="preserve">Out-of-market contracts </w:t>
      </w:r>
      <w:r>
        <w:rPr>
          <w:rFonts w:ascii="Arial" w:cs="Arial" w:eastAsia="Arial" w:hAnsi="Arial"/>
          <w:sz w:val="13"/>
          <w:szCs w:val="13"/>
          <w:color w:val="auto"/>
        </w:rPr>
        <w:t>— The out-of-market contract liability represents the out-of-market value of the PPAs for the Blythe solar project and Spring Canyon wind projects and the out-of-market value of the land</w:t>
      </w:r>
      <w:r>
        <w:rPr>
          <w:rFonts w:ascii="Arial" w:cs="Arial" w:eastAsia="Arial" w:hAnsi="Arial"/>
          <w:sz w:val="13"/>
          <w:szCs w:val="13"/>
          <w:i w:val="1"/>
          <w:iCs w:val="1"/>
          <w:color w:val="auto"/>
        </w:rPr>
        <w:t xml:space="preserve"> </w:t>
      </w:r>
      <w:r>
        <w:rPr>
          <w:rFonts w:ascii="Arial" w:cs="Arial" w:eastAsia="Arial" w:hAnsi="Arial"/>
          <w:sz w:val="13"/>
          <w:szCs w:val="13"/>
          <w:color w:val="auto"/>
        </w:rPr>
        <w:t>lease for Alta Wind XI, LLC, as of their respective acquisition dates. The Blythe solar project's liability of $7 million was recorded to other non-current liabilities on the consolidated balance sheet and is amortized to revenue in the consolidated statements of income on a units-of-production basis over the twenty-year term of the agreement. Spring Canyon's liability of $3 million was recorded to other non-current liabilities and is amortized to revenue on a straight-line basis over the twenty-five year term of the agreement. The Alta Wind XI, LLC's liability of $5 million was recorded to other non-current liabilities and is amortized as a reduction to cost of operations on a straight-line basis over the thirty-four year term of the land lease. At December 31, 2017, accumulated amortization of out-of-market contracts was $4 million and amortization expense was $1 million for each of the years ended December 31, 2017 and 2016.</w:t>
      </w: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482"/>
          </w:cols>
          <w:pgMar w:left="218" w:top="717" w:right="19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auto"/>
        </w:rPr>
        <w:t xml:space="preserve">Note 9 — </w:t>
      </w:r>
      <w:r>
        <w:rPr>
          <w:rFonts w:ascii="Arial" w:cs="Arial" w:eastAsia="Arial" w:hAnsi="Arial"/>
          <w:sz w:val="13"/>
          <w:szCs w:val="13"/>
          <w:b w:val="1"/>
          <w:bCs w:val="1"/>
          <w:i w:val="1"/>
          <w:iCs w:val="1"/>
          <w:color w:val="auto"/>
        </w:rPr>
        <w:t>Asset Impairments</w:t>
      </w:r>
    </w:p>
    <w:p>
      <w:pPr>
        <w:spacing w:after="0" w:line="127"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During the quarter ended December 31,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04" w:lineRule="exact"/>
        <w:rPr>
          <w:sz w:val="20"/>
          <w:szCs w:val="20"/>
          <w:color w:val="auto"/>
        </w:rPr>
      </w:pPr>
    </w:p>
    <w:p>
      <w:pPr>
        <w:jc w:val="both"/>
        <w:ind w:right="20" w:firstLine="291"/>
        <w:spacing w:after="0" w:line="329" w:lineRule="auto"/>
        <w:rPr>
          <w:sz w:val="20"/>
          <w:szCs w:val="20"/>
          <w:color w:val="auto"/>
        </w:rPr>
      </w:pPr>
      <w:r>
        <w:rPr>
          <w:rFonts w:ascii="Arial" w:cs="Arial" w:eastAsia="Arial" w:hAnsi="Arial"/>
          <w:sz w:val="11"/>
          <w:szCs w:val="11"/>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1"/>
          <w:szCs w:val="11"/>
          <w:i w:val="1"/>
          <w:iCs w:val="1"/>
          <w:color w:val="auto"/>
        </w:rPr>
        <w:t>Intangible Assets</w:t>
      </w:r>
      <w:r>
        <w:rPr>
          <w:rFonts w:ascii="Arial" w:cs="Arial" w:eastAsia="Arial" w:hAnsi="Arial"/>
          <w:sz w:val="11"/>
          <w:szCs w:val="11"/>
          <w:color w:val="auto"/>
        </w:rPr>
        <w:t>. In accordance with the guidance for transfer of assets under common control, the impairment is reflected in the Company's consolidated statements of operations for the period ended December 31, 2017.</w:t>
      </w:r>
    </w:p>
    <w:p>
      <w:pPr>
        <w:spacing w:after="0" w:line="63" w:lineRule="exact"/>
        <w:rPr>
          <w:sz w:val="20"/>
          <w:szCs w:val="20"/>
          <w:color w:val="auto"/>
        </w:rPr>
      </w:pPr>
    </w:p>
    <w:p>
      <w:pPr>
        <w:jc w:val="both"/>
        <w:ind w:firstLine="291"/>
        <w:spacing w:after="0" w:line="277" w:lineRule="auto"/>
        <w:rPr>
          <w:sz w:val="20"/>
          <w:szCs w:val="20"/>
          <w:color w:val="auto"/>
        </w:rPr>
      </w:pPr>
      <w:r>
        <w:rPr>
          <w:rFonts w:ascii="Arial" w:cs="Arial" w:eastAsia="Arial" w:hAnsi="Arial"/>
          <w:sz w:val="12"/>
          <w:szCs w:val="12"/>
          <w:color w:val="auto"/>
        </w:rPr>
        <w:t>During the fourth quarter of 2016, as the Company updated its estimated cash flows in connection with the preparation and review of the Company's annual budget, the Company determined that the cash flows for the Elbow Creek and Goat Wind projects and the Forward project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as part of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3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Other Impairments — During the fourth quarters of 2016 and 2015, NRG recorded impairment losses of approximately $2 million and $1 million, respectively,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periods ending December 31, 2016 and 2015.</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480"/>
          </w:cols>
          <w:pgMar w:left="220" w:top="709" w:right="199" w:bottom="1440" w:gutter="0" w:footer="0" w:header="0"/>
        </w:sectPr>
      </w:pPr>
    </w:p>
    <w:bookmarkStart w:id="93" w:name="page94"/>
    <w:bookmarkEnd w:id="93"/>
    <w:p>
      <w:pPr>
        <w:ind w:left="2"/>
        <w:spacing w:after="0"/>
        <w:rPr>
          <w:sz w:val="20"/>
          <w:szCs w:val="20"/>
          <w:color w:val="auto"/>
        </w:rPr>
      </w:pPr>
      <w:r>
        <w:rPr>
          <w:rFonts w:ascii="Arial" w:cs="Arial" w:eastAsia="Arial" w:hAnsi="Arial"/>
          <w:sz w:val="13"/>
          <w:szCs w:val="13"/>
          <w:b w:val="1"/>
          <w:bCs w:val="1"/>
          <w:color w:val="auto"/>
        </w:rPr>
        <w:t>Note 10 — Long-term Debt</w:t>
      </w:r>
    </w:p>
    <w:p>
      <w:pPr>
        <w:spacing w:after="0" w:line="49"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Company's borrowings, including short term and long term portions consisted of the following:</w:t>
      </w:r>
    </w:p>
    <w:p>
      <w:pPr>
        <w:spacing w:after="0" w:line="10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December 31, 2017</w:t>
            </w:r>
          </w:p>
        </w:tc>
        <w:tc>
          <w:tcPr>
            <w:tcW w:w="140" w:type="dxa"/>
            <w:vAlign w:val="bottom"/>
          </w:tcPr>
          <w:p>
            <w:pPr>
              <w:spacing w:after="0"/>
              <w:rPr>
                <w:sz w:val="10"/>
                <w:szCs w:val="10"/>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December 31, 2016</w:t>
            </w:r>
          </w:p>
        </w:tc>
        <w:tc>
          <w:tcPr>
            <w:tcW w:w="152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 xml:space="preserve">Interest rate % </w:t>
            </w:r>
            <w:r>
              <w:rPr>
                <w:rFonts w:ascii="Arial" w:cs="Arial" w:eastAsia="Arial" w:hAnsi="Arial"/>
                <w:sz w:val="6"/>
                <w:szCs w:val="6"/>
                <w:b w:val="1"/>
                <w:bCs w:val="1"/>
                <w:color w:val="auto"/>
              </w:rPr>
              <w:t>(a)</w:t>
            </w:r>
          </w:p>
        </w:tc>
        <w:tc>
          <w:tcPr>
            <w:tcW w:w="1480" w:type="dxa"/>
            <w:vAlign w:val="bottom"/>
          </w:tcPr>
          <w:p>
            <w:pPr>
              <w:jc w:val="right"/>
              <w:spacing w:after="0"/>
              <w:rPr>
                <w:sz w:val="20"/>
                <w:szCs w:val="20"/>
                <w:color w:val="auto"/>
              </w:rPr>
            </w:pPr>
            <w:r>
              <w:rPr>
                <w:rFonts w:ascii="Arial" w:cs="Arial" w:eastAsia="Arial" w:hAnsi="Arial"/>
                <w:sz w:val="10"/>
                <w:szCs w:val="10"/>
                <w:b w:val="1"/>
                <w:bCs w:val="1"/>
                <w:color w:val="auto"/>
                <w:w w:val="94"/>
              </w:rPr>
              <w:t>Letters of Credit Outstanding at</w:t>
            </w: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tcPr>
          <w:p>
            <w:pPr>
              <w:jc w:val="right"/>
              <w:ind w:right="268"/>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 millions, except rates)</w:t>
            </w: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2026 Senior Notes</w:t>
            </w: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350</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2024 Senior Notes</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500</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5.375</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Long-term debt - affiliate, due 2020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281</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Long-term debt - affiliate, due 2019</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337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337</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3.580</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NRG Yield LLC and NRG Yield Operating LLC Revolving Credit Facility, due 2019 </w:t>
            </w:r>
            <w:r>
              <w:rPr>
                <w:rFonts w:ascii="Arial" w:cs="Arial" w:eastAsia="Arial" w:hAnsi="Arial"/>
                <w:sz w:val="6"/>
                <w:szCs w:val="6"/>
                <w:color w:val="auto"/>
              </w:rPr>
              <w:t>(b)</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L+2.500</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b w:val="1"/>
                <w:bCs w:val="1"/>
                <w:color w:val="auto"/>
              </w:rPr>
              <w:t>Project-level debt:</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Agua Caliente Borrower 2, due 2038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Alpine, due 2022</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145</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L+1.750</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Alta Wind I - V lease financing arrangements, due 2034 and 2035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965</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5.696 - 7.015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CVSR, due 2037</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746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771</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2.339 - 3.775</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CVSR Holdco Notes, due 2037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199</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4.680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El Segundo Energy Center,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443</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L+1.75 - L+2.375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Energy Center Minneapolis, due 2025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96</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Energy Center Minneapolis Series D Notes, due 2031</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125</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3.550</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Laredo Ridge, due 2028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100</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L+1.875</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Marsh Landing,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318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370</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L+1.875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Tapestry, due 2021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172</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L+1.625</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Utah Solar Portfolio, due 2022</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278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287</w:t>
            </w:r>
          </w:p>
        </w:tc>
        <w:tc>
          <w:tcPr>
            <w:tcW w:w="300" w:type="dxa"/>
            <w:vAlign w:val="bottom"/>
          </w:tcPr>
          <w:p>
            <w:pPr>
              <w:spacing w:after="0"/>
              <w:rPr>
                <w:sz w:val="16"/>
                <w:szCs w:val="16"/>
                <w:color w:val="auto"/>
              </w:rPr>
            </w:pPr>
          </w:p>
        </w:tc>
        <w:tc>
          <w:tcPr>
            <w:tcW w:w="1520" w:type="dxa"/>
            <w:vAlign w:val="bottom"/>
            <w:gridSpan w:val="2"/>
          </w:tcPr>
          <w:p>
            <w:pPr>
              <w:ind w:left="1080"/>
              <w:spacing w:after="0"/>
              <w:rPr>
                <w:sz w:val="20"/>
                <w:szCs w:val="20"/>
                <w:color w:val="auto"/>
              </w:rPr>
            </w:pPr>
            <w:r>
              <w:rPr>
                <w:rFonts w:ascii="Arial" w:cs="Arial" w:eastAsia="Arial" w:hAnsi="Arial"/>
                <w:sz w:val="10"/>
                <w:szCs w:val="10"/>
                <w:color w:val="auto"/>
              </w:rPr>
              <w:t>various</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Viento, due 2023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178</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L+3.00</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Walnut Creek,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267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310</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L+1.625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443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505</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0"/>
                <w:szCs w:val="10"/>
                <w:color w:val="auto"/>
              </w:rPr>
              <w:t>various</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174"/>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Subtotal project-level debt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4,376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4,666</w:t>
            </w:r>
          </w:p>
        </w:tc>
        <w:tc>
          <w:tcPr>
            <w:tcW w:w="3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debt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6,134</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Less current maturities</w:t>
            </w:r>
          </w:p>
        </w:tc>
        <w:tc>
          <w:tcPr>
            <w:tcW w:w="1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0"/>
                <w:szCs w:val="10"/>
                <w:color w:val="auto"/>
              </w:rPr>
              <w:t>(306)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0"/>
                <w:szCs w:val="10"/>
                <w:color w:val="auto"/>
              </w:rPr>
              <w:t>(323)</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net debt issuance costs</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(65)</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00" w:type="dxa"/>
            <w:vAlign w:val="bottom"/>
          </w:tcPr>
          <w:p>
            <w:pPr>
              <w:ind w:left="120"/>
              <w:spacing w:after="0"/>
              <w:rPr>
                <w:sz w:val="20"/>
                <w:szCs w:val="20"/>
                <w:color w:val="auto"/>
              </w:rPr>
            </w:pPr>
            <w:r>
              <w:rPr>
                <w:rFonts w:ascii="Arial" w:cs="Arial" w:eastAsia="Arial" w:hAnsi="Arial"/>
                <w:sz w:val="10"/>
                <w:szCs w:val="10"/>
                <w:color w:val="auto"/>
              </w:rPr>
              <w:t>Total long-term debt</w:t>
            </w:r>
          </w:p>
        </w:tc>
        <w:tc>
          <w:tcPr>
            <w:tcW w:w="1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5,539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5,746</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0652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6525" cy="6350"/>
                    </a:xfrm>
                    <a:prstGeom prst="rect">
                      <a:avLst/>
                    </a:prstGeom>
                    <a:noFill/>
                  </pic:spPr>
                </pic:pic>
              </a:graphicData>
            </a:graphic>
          </wp:anchor>
        </w:drawing>
      </w:r>
    </w:p>
    <w:p>
      <w:pPr>
        <w:spacing w:after="0" w:line="190" w:lineRule="exact"/>
        <w:rPr>
          <w:sz w:val="20"/>
          <w:szCs w:val="20"/>
          <w:color w:val="auto"/>
        </w:rPr>
      </w:pPr>
    </w:p>
    <w:p>
      <w:pPr>
        <w:ind w:left="102" w:hanging="102"/>
        <w:spacing w:after="0"/>
        <w:tabs>
          <w:tab w:leader="none" w:pos="102" w:val="left"/>
        </w:tabs>
        <w:numPr>
          <w:ilvl w:val="0"/>
          <w:numId w:val="48"/>
        </w:numPr>
        <w:rPr>
          <w:rFonts w:ascii="Arial" w:cs="Arial" w:eastAsia="Arial" w:hAnsi="Arial"/>
          <w:sz w:val="6"/>
          <w:szCs w:val="6"/>
          <w:color w:val="auto"/>
        </w:rPr>
      </w:pPr>
      <w:r>
        <w:rPr>
          <w:rFonts w:ascii="Arial" w:cs="Arial" w:eastAsia="Arial" w:hAnsi="Arial"/>
          <w:sz w:val="10"/>
          <w:szCs w:val="10"/>
          <w:color w:val="auto"/>
        </w:rPr>
        <w:t>As of December 31, 2017, L+ equals 3 month LIBOR plus x%, except for Viento, due 2023, where L + equals 6 month LIBOR plus 3.00%.</w:t>
      </w:r>
    </w:p>
    <w:p>
      <w:pPr>
        <w:ind w:left="102" w:hanging="102"/>
        <w:spacing w:after="0"/>
        <w:tabs>
          <w:tab w:leader="none" w:pos="102" w:val="left"/>
        </w:tabs>
        <w:numPr>
          <w:ilvl w:val="0"/>
          <w:numId w:val="48"/>
        </w:numPr>
        <w:rPr>
          <w:rFonts w:ascii="Arial" w:cs="Arial" w:eastAsia="Arial" w:hAnsi="Arial"/>
          <w:sz w:val="6"/>
          <w:szCs w:val="6"/>
          <w:color w:val="auto"/>
        </w:rPr>
      </w:pPr>
      <w:r>
        <w:rPr>
          <w:rFonts w:ascii="Arial" w:cs="Arial" w:eastAsia="Arial" w:hAnsi="Arial"/>
          <w:sz w:val="10"/>
          <w:szCs w:val="10"/>
          <w:color w:val="auto"/>
        </w:rPr>
        <w:t>Applicable rate is determined by the borrower leverage ratio, as defined in the credit agreement.</w:t>
      </w:r>
    </w:p>
    <w:p>
      <w:pPr>
        <w:spacing w:after="0" w:line="114"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The financing arrangements listed above contain certain covenants, including financial covenants, that the Company is required to be in compliance with during the term of the respective arrangement. As of December 31, 2017, the Company was in compliance with all of the required covenants.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NRG Yield Operating LLC 2026 Senior Notes</w:t>
      </w:r>
    </w:p>
    <w:p>
      <w:pPr>
        <w:spacing w:after="0" w:line="123" w:lineRule="exact"/>
        <w:rPr>
          <w:sz w:val="20"/>
          <w:szCs w:val="20"/>
          <w:color w:val="auto"/>
        </w:rPr>
      </w:pPr>
    </w:p>
    <w:p>
      <w:pPr>
        <w:jc w:val="both"/>
        <w:ind w:left="2" w:firstLine="291"/>
        <w:spacing w:after="0" w:line="292" w:lineRule="auto"/>
        <w:rPr>
          <w:sz w:val="20"/>
          <w:szCs w:val="20"/>
          <w:color w:val="auto"/>
        </w:rPr>
      </w:pPr>
      <w:r>
        <w:rPr>
          <w:rFonts w:ascii="Arial" w:cs="Arial" w:eastAsia="Arial" w:hAnsi="Arial"/>
          <w:sz w:val="12"/>
          <w:szCs w:val="12"/>
          <w:color w:val="231F20"/>
        </w:rPr>
        <w:t xml:space="preserve">On August 18, 2016, Yield Operating LLC issued $350 million of senior unsecured notes, or the 2026 Senior Notes. The 2026 Senior Notes bear interest at 5.00% and </w:t>
      </w:r>
      <w:r>
        <w:rPr>
          <w:rFonts w:ascii="Arial" w:cs="Arial" w:eastAsia="Arial" w:hAnsi="Arial"/>
          <w:sz w:val="12"/>
          <w:szCs w:val="12"/>
          <w:color w:val="000000"/>
        </w:rPr>
        <w:t>mature on September 15, 2026. Interest on the</w:t>
      </w:r>
      <w:r>
        <w:rPr>
          <w:rFonts w:ascii="Arial" w:cs="Arial" w:eastAsia="Arial" w:hAnsi="Arial"/>
          <w:sz w:val="12"/>
          <w:szCs w:val="12"/>
          <w:color w:val="231F20"/>
        </w:rPr>
        <w:t xml:space="preserve"> </w:t>
      </w:r>
      <w:r>
        <w:rPr>
          <w:rFonts w:ascii="Arial" w:cs="Arial" w:eastAsia="Arial" w:hAnsi="Arial"/>
          <w:sz w:val="12"/>
          <w:szCs w:val="12"/>
          <w:color w:val="000000"/>
        </w:rPr>
        <w:t>notes is payable semi-annually on March 15 and September 15 of each year. The 2026 Senior Notes are senior unsecured obligations of Yield Operating LLC and are guaranteed by the Company, and by certain of Yield Operating LLC's wholly owned current and future subsidiaries. A portion of the proceeds of the 2026 Senior Notes were used to repay the Company's revolving credit facility during 2016, as described below.</w:t>
      </w:r>
    </w:p>
    <w:p>
      <w:pPr>
        <w:spacing w:after="0" w:line="2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462"/>
          </w:cols>
          <w:pgMar w:left="218" w:top="709" w:right="21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i w:val="1"/>
          <w:iCs w:val="1"/>
          <w:color w:val="auto"/>
        </w:rPr>
        <w:t>Yield, Inc. 2020 Convertible Senior Notes and Related Intercompany Note</w:t>
      </w:r>
    </w:p>
    <w:p>
      <w:pPr>
        <w:spacing w:after="0" w:line="123"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color w:val="auto"/>
        </w:rPr>
        <w:t>On June 29, 2015, Yield, Inc. closed on its offering of $288 million aggregate principal amount of 3.25% Convertible Senior Notes due 2020, or the 2020 Convertible Notes. The 2020 Convertible Notes are convertible, under certain circumstances, into Yield, Inc.'s Class C common stock, cash or a combination thereof at an initial conversion price of $27.50 per Class C common share, which is equivalent to a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Yield, Inc. 2019 Convertible Senior Notes and Related Intercompany Note</w:t>
      </w:r>
    </w:p>
    <w:p>
      <w:pPr>
        <w:spacing w:after="0" w:line="123"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During the first quarter of 2014, Yield, Inc. closed on its offering of $345 million aggregate principal amount of 3.50% Convertible Senior Notes due 2019, or the 2019 Convertible Notes. The 2019 Convertible Notes were convertible, under certain circumstances, into Yield, Inc.’s Class A common stock, cash or a combination thereof at an initial conversion price of $46.55 per Class A common share, which is equivalent to a conversion rate of approximately 42.9644 shares of Class A common stock per $1,000 principal amount of 2019 Convertible Notes in accordance with the terms of the related indenture. The Company and Yield Operating LLC provided a guarantee to Yield, Inc. with respect to the 2019 Convertible Notes. In addition, Yield Operating and Yield, Inc. entered into an intercompany borrowing arrangement, under which Yield Operating borrowed $337 million of the proceeds of the 2019 Convertible Notes. The intercompany note bears interest at a rate of 3.580% and matures in 2019.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NRG Yield LLC and NRG Yield Operating LLC Revolving Credit Facility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231F20"/>
        </w:rPr>
        <w:t xml:space="preserve">The Company borrowed $55 million from the revolving credit facility during the </w:t>
      </w:r>
      <w:r>
        <w:rPr>
          <w:rFonts w:ascii="Arial" w:cs="Arial" w:eastAsia="Arial" w:hAnsi="Arial"/>
          <w:sz w:val="13"/>
          <w:szCs w:val="13"/>
          <w:color w:val="000000"/>
        </w:rPr>
        <w:t>year ended</w:t>
      </w:r>
      <w:r>
        <w:rPr>
          <w:rFonts w:ascii="Arial" w:cs="Arial" w:eastAsia="Arial" w:hAnsi="Arial"/>
          <w:sz w:val="13"/>
          <w:szCs w:val="13"/>
          <w:color w:val="231F20"/>
        </w:rPr>
        <w:t xml:space="preserve"> December 31, 2017 for general corporate needs as well as to fund dividend payments.</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The Company used its proceeds of </w:t>
      </w:r>
      <w:r>
        <w:rPr>
          <w:rFonts w:ascii="Arial" w:cs="Arial" w:eastAsia="Arial" w:hAnsi="Arial"/>
          <w:sz w:val="13"/>
          <w:szCs w:val="13"/>
          <w:color w:val="000000"/>
        </w:rPr>
        <w:t>$97.5 million</w:t>
      </w:r>
      <w:r>
        <w:rPr>
          <w:rFonts w:ascii="Arial" w:cs="Arial" w:eastAsia="Arial" w:hAnsi="Arial"/>
          <w:sz w:val="13"/>
          <w:szCs w:val="13"/>
          <w:color w:val="231F20"/>
        </w:rPr>
        <w:t xml:space="preserve"> from the CVSR Holdco Financing Arrangement, a portion of its proceeds from the issuance of the 2026 Senior Notes, as well as its cash on hand to repay the outstanding borrowings under the revolving credit facility during the year ended December 31, 2016.</w:t>
      </w:r>
    </w:p>
    <w:p>
      <w:pPr>
        <w:spacing w:after="0" w:line="90"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 - level Debt</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November 2017 Drop Down Assets Debt</w:t>
      </w:r>
    </w:p>
    <w:p>
      <w:pPr>
        <w:spacing w:after="0" w:line="123" w:lineRule="exact"/>
        <w:rPr>
          <w:sz w:val="20"/>
          <w:szCs w:val="20"/>
          <w:color w:val="auto"/>
        </w:rPr>
      </w:pPr>
    </w:p>
    <w:p>
      <w:pPr>
        <w:jc w:val="both"/>
        <w:ind w:firstLine="282"/>
        <w:spacing w:after="0" w:line="256" w:lineRule="auto"/>
        <w:rPr>
          <w:sz w:val="20"/>
          <w:szCs w:val="20"/>
          <w:color w:val="auto"/>
        </w:rPr>
      </w:pPr>
      <w:r>
        <w:rPr>
          <w:rFonts w:ascii="Arial" w:cs="Arial" w:eastAsia="Arial" w:hAnsi="Arial"/>
          <w:sz w:val="13"/>
          <w:szCs w:val="13"/>
          <w:color w:val="auto"/>
        </w:rPr>
        <w:t>As part of the November 2017 Drop Down acquisition, the Company assumed non-recourse debt of $26 million relating to certain SPP funds. The assumed debt consisted of the following: a) a term loan under a credit agreement with a bank, with a maturity date of December 31, 2038 and interest rate of 4.69%. The credit agreement includes a letter of credit supporting debt service requirements and a letter of credit in support of the PPA; b) and financing obligation in connection with a sale-leaseback transaction with a bank for a period through March 31, 2032. The company will accrete the financing obligation over the lease term based on the lease's implicit interest rate of 8%.</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Agua Caliente Borrower 2, due 2038</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holds $41 million of the Agua Caliente Holdco debt as of December 31, 2017. The debt is joint and several with respect to Agua Caliente Borrower 1 LLC and Agua Caliente Borrower 2 LLC and is secured by the equity interests of each borrower in the Agua Caliente solar facility.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460"/>
          </w:cols>
          <w:pgMar w:left="220" w:top="713" w:right="219" w:bottom="1440" w:gutter="0" w:footer="0" w:header="0"/>
        </w:sectPr>
      </w:pPr>
    </w:p>
    <w:bookmarkStart w:id="95" w:name="page96"/>
    <w:bookmarkEnd w:id="95"/>
    <w:p>
      <w:pPr>
        <w:ind w:left="280"/>
        <w:spacing w:after="0"/>
        <w:rPr>
          <w:sz w:val="20"/>
          <w:szCs w:val="20"/>
          <w:color w:val="auto"/>
        </w:rPr>
      </w:pPr>
      <w:r>
        <w:rPr>
          <w:rFonts w:ascii="Arial" w:cs="Arial" w:eastAsia="Arial" w:hAnsi="Arial"/>
          <w:sz w:val="13"/>
          <w:szCs w:val="13"/>
          <w:b w:val="1"/>
          <w:bCs w:val="1"/>
          <w:i w:val="1"/>
          <w:iCs w:val="1"/>
          <w:color w:val="auto"/>
        </w:rPr>
        <w:t>Utah Solar Portfolio, due 2022</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$278 million of the Utah Solar Portfolio debt as of December 31, 2017.</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Thermal Financing</w:t>
      </w:r>
    </w:p>
    <w:p>
      <w:pPr>
        <w:spacing w:after="0" w:line="123" w:lineRule="exact"/>
        <w:rPr>
          <w:sz w:val="20"/>
          <w:szCs w:val="20"/>
          <w:color w:val="auto"/>
        </w:rPr>
      </w:pPr>
    </w:p>
    <w:p>
      <w:pPr>
        <w:jc w:val="both"/>
        <w:ind w:firstLine="291"/>
        <w:spacing w:after="0" w:line="318" w:lineRule="auto"/>
        <w:rPr>
          <w:sz w:val="20"/>
          <w:szCs w:val="20"/>
          <w:color w:val="auto"/>
        </w:rPr>
      </w:pPr>
      <w:r>
        <w:rPr>
          <w:rFonts w:ascii="Arial" w:cs="Arial" w:eastAsia="Arial" w:hAnsi="Arial"/>
          <w:sz w:val="11"/>
          <w:szCs w:val="11"/>
          <w:color w:val="231F20"/>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Series E notes at a 4.80% fixed rate. The Series D Notes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68"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3"/>
          <w:szCs w:val="13"/>
          <w:color w:val="231F20"/>
        </w:rPr>
        <w:t>The Series E and Series F Notes will be</w:t>
      </w:r>
      <w:r>
        <w:rPr>
          <w:rFonts w:ascii="Arial" w:cs="Arial" w:eastAsia="Arial" w:hAnsi="Arial"/>
          <w:sz w:val="13"/>
          <w:szCs w:val="13"/>
          <w:color w:val="auto"/>
        </w:rPr>
        <w:t xml:space="preserve"> </w:t>
      </w:r>
      <w:r>
        <w:rPr>
          <w:rFonts w:ascii="Arial" w:cs="Arial" w:eastAsia="Arial" w:hAnsi="Arial"/>
          <w:sz w:val="13"/>
          <w:szCs w:val="13"/>
          <w:color w:val="231F20"/>
        </w:rPr>
        <w:t>secured by substantially all of the assets of NRG Energy Center Minneapolis LLC. NRG Thermal LLC has guaranteed the indebtedness and its guarantee is secured by a pledge of the equity interests in all of NRG Thermal LLC’s subsidiaries.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231F20"/>
        </w:rPr>
        <w:t>CVSR Holdco Notes, due 2037</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 xml:space="preserve">On July 15, 2016, CVSR Holdco, the indirect owner of the CVSR solar facility, issued $200 million of senior secured notes under the CVSR Holdco Financing Agreement, or 2037 CVSR Holdco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3"/>
          <w:szCs w:val="13"/>
          <w:color w:val="000000"/>
        </w:rPr>
        <w:t>$97.5 million</w:t>
      </w:r>
      <w:r>
        <w:rPr>
          <w:rFonts w:ascii="Arial" w:cs="Arial" w:eastAsia="Arial" w:hAnsi="Arial"/>
          <w:sz w:val="13"/>
          <w:szCs w:val="13"/>
          <w:color w:val="231F20"/>
        </w:rPr>
        <w:t>.</w:t>
      </w:r>
    </w:p>
    <w:p>
      <w:pPr>
        <w:spacing w:after="0" w:line="97"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 xml:space="preserve">As described in </w:t>
      </w:r>
      <w:r>
        <w:rPr>
          <w:rFonts w:ascii="Arial" w:cs="Arial" w:eastAsia="Arial" w:hAnsi="Arial"/>
          <w:sz w:val="13"/>
          <w:szCs w:val="13"/>
          <w:color w:val="000000"/>
        </w:rPr>
        <w:t>Note 3,</w:t>
      </w:r>
      <w:r>
        <w:rPr>
          <w:rFonts w:ascii="Arial" w:cs="Arial" w:eastAsia="Arial" w:hAnsi="Arial"/>
          <w:sz w:val="13"/>
          <w:szCs w:val="13"/>
          <w:color w:val="231F20"/>
        </w:rPr>
        <w:t xml:space="preserve"> </w:t>
      </w:r>
      <w:r>
        <w:rPr>
          <w:rFonts w:ascii="Arial" w:cs="Arial" w:eastAsia="Arial" w:hAnsi="Arial"/>
          <w:sz w:val="13"/>
          <w:szCs w:val="13"/>
          <w:i w:val="1"/>
          <w:iCs w:val="1"/>
          <w:color w:val="000000"/>
        </w:rPr>
        <w:t>Business Acquisitions</w:t>
      </w:r>
      <w:r>
        <w:rPr>
          <w:rFonts w:ascii="Arial" w:cs="Arial" w:eastAsia="Arial" w:hAnsi="Arial"/>
          <w:sz w:val="13"/>
          <w:szCs w:val="13"/>
          <w:color w:val="000000"/>
        </w:rPr>
        <w:t>,</w:t>
      </w:r>
      <w:r>
        <w:rPr>
          <w:rFonts w:ascii="Arial" w:cs="Arial" w:eastAsia="Arial" w:hAnsi="Arial"/>
          <w:sz w:val="13"/>
          <w:szCs w:val="13"/>
          <w:color w:val="231F20"/>
        </w:rPr>
        <w:t xml:space="preserve"> on September 1, 2016, the Company acquired the remaining </w:t>
      </w:r>
      <w:r>
        <w:rPr>
          <w:rFonts w:ascii="Arial" w:cs="Arial" w:eastAsia="Arial" w:hAnsi="Arial"/>
          <w:sz w:val="13"/>
          <w:szCs w:val="13"/>
          <w:color w:val="000000"/>
        </w:rPr>
        <w:t>51.05%</w:t>
      </w:r>
      <w:r>
        <w:rPr>
          <w:rFonts w:ascii="Arial" w:cs="Arial" w:eastAsia="Arial" w:hAnsi="Arial"/>
          <w:sz w:val="13"/>
          <w:szCs w:val="13"/>
          <w:color w:val="231F20"/>
        </w:rPr>
        <w:t xml:space="preserve"> of CVSR, and assumed </w:t>
      </w:r>
      <w:r>
        <w:rPr>
          <w:rFonts w:ascii="Arial" w:cs="Arial" w:eastAsia="Arial" w:hAnsi="Arial"/>
          <w:sz w:val="13"/>
          <w:szCs w:val="13"/>
          <w:color w:val="000000"/>
        </w:rPr>
        <w:t>additional debt of $496 million, which represents 51.05% of the CVSR</w:t>
      </w:r>
      <w:r>
        <w:rPr>
          <w:rFonts w:ascii="Arial" w:cs="Arial" w:eastAsia="Arial" w:hAnsi="Arial"/>
          <w:sz w:val="13"/>
          <w:szCs w:val="13"/>
          <w:color w:val="231F20"/>
        </w:rPr>
        <w:t xml:space="preserve"> </w:t>
      </w:r>
      <w:r>
        <w:rPr>
          <w:rFonts w:ascii="Arial" w:cs="Arial" w:eastAsia="Arial" w:hAnsi="Arial"/>
          <w:sz w:val="13"/>
          <w:szCs w:val="13"/>
          <w:color w:val="000000"/>
        </w:rPr>
        <w:t xml:space="preserve">project level debt and 51.05% of the 2037 CVSR Holdco Notes. In connection with the retrospective adjustment of prior periods, as described in Note 1, </w:t>
      </w:r>
      <w:r>
        <w:rPr>
          <w:rFonts w:ascii="Arial" w:cs="Arial" w:eastAsia="Arial" w:hAnsi="Arial"/>
          <w:sz w:val="13"/>
          <w:szCs w:val="13"/>
          <w:i w:val="1"/>
          <w:iCs w:val="1"/>
          <w:color w:val="000000"/>
        </w:rPr>
        <w:t>Nature of Business</w:t>
      </w:r>
      <w:r>
        <w:rPr>
          <w:rFonts w:ascii="Arial" w:cs="Arial" w:eastAsia="Arial" w:hAnsi="Arial"/>
          <w:sz w:val="13"/>
          <w:szCs w:val="13"/>
          <w:color w:val="000000"/>
        </w:rPr>
        <w:t>, the Company now consolidates CVSR and 100% of its debt, consisting of $771 million of project level debt and $200 million of 2037 CVSR Holdco Notes as of September 1, 2016.</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Interest Rate Swaps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Project Financings</w:t>
      </w:r>
    </w:p>
    <w:p>
      <w:pPr>
        <w:spacing w:after="0" w:line="97"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460"/>
          </w:cols>
          <w:pgMar w:left="220" w:top="713" w:right="219" w:bottom="1440" w:gutter="0" w:footer="0" w:header="0"/>
        </w:sectPr>
      </w:pPr>
    </w:p>
    <w:bookmarkStart w:id="96" w:name="page97"/>
    <w:bookmarkEnd w:id="96"/>
    <w:p>
      <w:pPr>
        <w:ind w:left="280"/>
        <w:spacing w:after="0"/>
        <w:rPr>
          <w:sz w:val="20"/>
          <w:szCs w:val="20"/>
          <w:color w:val="auto"/>
        </w:rPr>
      </w:pPr>
      <w:r>
        <w:rPr>
          <w:rFonts w:ascii="Arial" w:cs="Arial" w:eastAsia="Arial" w:hAnsi="Arial"/>
          <w:sz w:val="13"/>
          <w:szCs w:val="13"/>
          <w:color w:val="auto"/>
        </w:rPr>
        <w:t>The following table summarizes the swaps, some of which are forward starting as indicated, related to the Company's project level debt as of December 31, 2017:</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Fixed Interest</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right="28"/>
              <w:spacing w:after="0"/>
              <w:rPr>
                <w:sz w:val="20"/>
                <w:szCs w:val="20"/>
                <w:color w:val="auto"/>
              </w:rPr>
            </w:pPr>
            <w:r>
              <w:rPr>
                <w:rFonts w:ascii="Arial" w:cs="Arial" w:eastAsia="Arial" w:hAnsi="Arial"/>
                <w:sz w:val="10"/>
                <w:szCs w:val="10"/>
                <w:b w:val="1"/>
                <w:bCs w:val="1"/>
                <w:color w:val="auto"/>
                <w:w w:val="95"/>
              </w:rPr>
              <w:t>Notional Amount at</w:t>
            </w: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 of Principal</w:t>
            </w:r>
          </w:p>
        </w:tc>
        <w:tc>
          <w:tcPr>
            <w:tcW w:w="120" w:type="dxa"/>
            <w:vAlign w:val="bottom"/>
            <w:vMerge w:val="restart"/>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Floating Interest Rate</w:t>
            </w:r>
          </w:p>
        </w:tc>
        <w:tc>
          <w:tcPr>
            <w:tcW w:w="100" w:type="dxa"/>
            <w:vAlign w:val="bottom"/>
            <w:vMerge w:val="restart"/>
          </w:tcPr>
          <w:p>
            <w:pPr>
              <w:spacing w:after="0"/>
              <w:rPr>
                <w:sz w:val="9"/>
                <w:szCs w:val="9"/>
                <w:color w:val="auto"/>
              </w:rPr>
            </w:pPr>
          </w:p>
        </w:tc>
        <w:tc>
          <w:tcPr>
            <w:tcW w:w="1120" w:type="dxa"/>
            <w:vAlign w:val="bottom"/>
            <w:gridSpan w:val="2"/>
          </w:tcPr>
          <w:p>
            <w:pPr>
              <w:jc w:val="center"/>
              <w:spacing w:after="0" w:line="107" w:lineRule="exact"/>
              <w:rPr>
                <w:sz w:val="20"/>
                <w:szCs w:val="20"/>
                <w:color w:val="auto"/>
              </w:rPr>
            </w:pPr>
            <w:r>
              <w:rPr>
                <w:rFonts w:ascii="Arial" w:cs="Arial" w:eastAsia="Arial" w:hAnsi="Arial"/>
                <w:sz w:val="10"/>
                <w:szCs w:val="10"/>
                <w:b w:val="1"/>
                <w:bCs w:val="1"/>
                <w:color w:val="auto"/>
                <w:w w:val="93"/>
              </w:rPr>
              <w:t>December 31, 2017 (In</w:t>
            </w:r>
          </w:p>
        </w:tc>
        <w:tc>
          <w:tcPr>
            <w:tcW w:w="100" w:type="dxa"/>
            <w:vAlign w:val="bottom"/>
          </w:tcPr>
          <w:p>
            <w:pPr>
              <w:spacing w:after="0"/>
              <w:rPr>
                <w:sz w:val="9"/>
                <w:szCs w:val="9"/>
                <w:color w:val="auto"/>
              </w:rPr>
            </w:pPr>
          </w:p>
        </w:tc>
        <w:tc>
          <w:tcPr>
            <w:tcW w:w="158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Effective Date</w:t>
            </w:r>
          </w:p>
        </w:tc>
        <w:tc>
          <w:tcPr>
            <w:tcW w:w="120" w:type="dxa"/>
            <w:vAlign w:val="bottom"/>
            <w:vMerge w:val="restart"/>
          </w:tcPr>
          <w:p>
            <w:pPr>
              <w:spacing w:after="0"/>
              <w:rPr>
                <w:sz w:val="9"/>
                <w:szCs w:val="9"/>
                <w:color w:val="auto"/>
              </w:rPr>
            </w:pPr>
          </w:p>
        </w:tc>
        <w:tc>
          <w:tcPr>
            <w:tcW w:w="170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Maturity Date</w:t>
            </w:r>
          </w:p>
        </w:tc>
        <w:tc>
          <w:tcPr>
            <w:tcW w:w="0" w:type="dxa"/>
            <w:vAlign w:val="bottom"/>
          </w:tcPr>
          <w:p>
            <w:pPr>
              <w:spacing w:after="0"/>
              <w:rPr>
                <w:sz w:val="1"/>
                <w:szCs w:val="1"/>
                <w:color w:val="auto"/>
              </w:rPr>
            </w:pPr>
          </w:p>
        </w:tc>
      </w:tr>
      <w:tr>
        <w:trPr>
          <w:trHeight w:val="139"/>
        </w:trPr>
        <w:tc>
          <w:tcPr>
            <w:tcW w:w="3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2"/>
              </w:rPr>
              <w:t>millions)</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Avra Valley</w:t>
            </w:r>
          </w:p>
        </w:tc>
        <w:tc>
          <w:tcPr>
            <w:tcW w:w="820" w:type="dxa"/>
            <w:vAlign w:val="bottom"/>
          </w:tcPr>
          <w:p>
            <w:pPr>
              <w:jc w:val="right"/>
              <w:spacing w:after="0"/>
              <w:rPr>
                <w:sz w:val="20"/>
                <w:szCs w:val="20"/>
                <w:color w:val="auto"/>
              </w:rPr>
            </w:pPr>
            <w:r>
              <w:rPr>
                <w:rFonts w:ascii="Arial" w:cs="Arial" w:eastAsia="Arial" w:hAnsi="Arial"/>
                <w:sz w:val="10"/>
                <w:szCs w:val="10"/>
                <w:color w:val="auto"/>
              </w:rPr>
              <w:t>85%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2.333%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November 30, 2012</w:t>
            </w:r>
          </w:p>
        </w:tc>
        <w:tc>
          <w:tcPr>
            <w:tcW w:w="1700" w:type="dxa"/>
            <w:vAlign w:val="bottom"/>
          </w:tcPr>
          <w:p>
            <w:pPr>
              <w:spacing w:after="0"/>
              <w:rPr>
                <w:sz w:val="20"/>
                <w:szCs w:val="20"/>
                <w:color w:val="auto"/>
              </w:rPr>
            </w:pPr>
            <w:r>
              <w:rPr>
                <w:rFonts w:ascii="Arial" w:cs="Arial" w:eastAsia="Arial" w:hAnsi="Arial"/>
                <w:sz w:val="10"/>
                <w:szCs w:val="10"/>
                <w:color w:val="auto"/>
              </w:rPr>
              <w:t>November 30, 2030</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AWAM</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22,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May 15, 2031</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3.563%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25, 2010</w:t>
            </w:r>
          </w:p>
        </w:tc>
        <w:tc>
          <w:tcPr>
            <w:tcW w:w="1700" w:type="dxa"/>
            <w:vAlign w:val="bottom"/>
          </w:tcPr>
          <w:p>
            <w:pPr>
              <w:spacing w:after="0"/>
              <w:rPr>
                <w:sz w:val="20"/>
                <w:szCs w:val="20"/>
                <w:color w:val="auto"/>
              </w:rPr>
            </w:pPr>
            <w:r>
              <w:rPr>
                <w:rFonts w:ascii="Arial" w:cs="Arial" w:eastAsia="Arial" w:hAnsi="Arial"/>
                <w:sz w:val="10"/>
                <w:szCs w:val="10"/>
                <w:color w:val="auto"/>
              </w:rPr>
              <w:t>June 25, 2028</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3,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El Segundo</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340</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Kansas South</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2.368%</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6-Month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December 31, 2030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Laredo Ridge</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2.31%</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March 31, 2011</w:t>
            </w:r>
          </w:p>
        </w:tc>
        <w:tc>
          <w:tcPr>
            <w:tcW w:w="1700" w:type="dxa"/>
            <w:vAlign w:val="bottom"/>
          </w:tcPr>
          <w:p>
            <w:pPr>
              <w:spacing w:after="0"/>
              <w:rPr>
                <w:sz w:val="20"/>
                <w:szCs w:val="20"/>
                <w:color w:val="auto"/>
              </w:rPr>
            </w:pPr>
            <w:r>
              <w:rPr>
                <w:rFonts w:ascii="Arial" w:cs="Arial" w:eastAsia="Arial" w:hAnsi="Arial"/>
                <w:sz w:val="10"/>
                <w:szCs w:val="10"/>
                <w:color w:val="auto"/>
              </w:rPr>
              <w:t>March 31, 2026</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Marsh Landing</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3.244%</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2023</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Roadrunner</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4.313%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September 30, 2011</w:t>
            </w:r>
          </w:p>
        </w:tc>
        <w:tc>
          <w:tcPr>
            <w:tcW w:w="1700" w:type="dxa"/>
            <w:vAlign w:val="bottom"/>
          </w:tcPr>
          <w:p>
            <w:pPr>
              <w:spacing w:after="0"/>
              <w:rPr>
                <w:sz w:val="20"/>
                <w:szCs w:val="20"/>
                <w:color w:val="auto"/>
              </w:rPr>
            </w:pPr>
            <w:r>
              <w:rPr>
                <w:rFonts w:ascii="Arial" w:cs="Arial" w:eastAsia="Arial" w:hAnsi="Arial"/>
                <w:sz w:val="10"/>
                <w:szCs w:val="10"/>
                <w:color w:val="auto"/>
              </w:rPr>
              <w:t>December 31, 2029</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15, 2010</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14, 2020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South Trent</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4.95%</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30, 2020</w:t>
            </w:r>
          </w:p>
        </w:tc>
        <w:tc>
          <w:tcPr>
            <w:tcW w:w="1700" w:type="dxa"/>
            <w:vAlign w:val="bottom"/>
          </w:tcPr>
          <w:p>
            <w:pPr>
              <w:spacing w:after="0"/>
              <w:rPr>
                <w:sz w:val="20"/>
                <w:szCs w:val="20"/>
                <w:color w:val="auto"/>
              </w:rPr>
            </w:pPr>
            <w:r>
              <w:rPr>
                <w:rFonts w:ascii="Arial" w:cs="Arial" w:eastAsia="Arial" w:hAnsi="Arial"/>
                <w:sz w:val="10"/>
                <w:szCs w:val="10"/>
                <w:color w:val="auto"/>
              </w:rPr>
              <w:t>June 14, 2028</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Tapestry</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146</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30, 2011</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December 21, 2021</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Tapestry</w:t>
            </w:r>
          </w:p>
        </w:tc>
        <w:tc>
          <w:tcPr>
            <w:tcW w:w="820" w:type="dxa"/>
            <w:vAlign w:val="bottom"/>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3.57%</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December 21, 2021</w:t>
            </w:r>
          </w:p>
        </w:tc>
        <w:tc>
          <w:tcPr>
            <w:tcW w:w="1700" w:type="dxa"/>
            <w:vAlign w:val="bottom"/>
          </w:tcPr>
          <w:p>
            <w:pPr>
              <w:spacing w:after="0"/>
              <w:rPr>
                <w:sz w:val="20"/>
                <w:szCs w:val="20"/>
                <w:color w:val="auto"/>
              </w:rPr>
            </w:pPr>
            <w:r>
              <w:rPr>
                <w:rFonts w:ascii="Arial" w:cs="Arial" w:eastAsia="Arial" w:hAnsi="Arial"/>
                <w:sz w:val="10"/>
                <w:szCs w:val="10"/>
                <w:color w:val="auto"/>
              </w:rPr>
              <w:t>December 21, 2029</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Utah Solar Portfolio</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223</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September 30, 2036</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Viento Funding II</w:t>
            </w:r>
          </w:p>
        </w:tc>
        <w:tc>
          <w:tcPr>
            <w:tcW w:w="820" w:type="dxa"/>
            <w:vAlign w:val="bottom"/>
          </w:tcPr>
          <w:p>
            <w:pPr>
              <w:jc w:val="right"/>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6-Month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148</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Viento Funding II</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4.985%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6-Month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11, 2023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2028</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Walnut Creek Energy</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239</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tcPr>
          <w:p>
            <w:pPr>
              <w:spacing w:after="0"/>
              <w:rPr>
                <w:sz w:val="20"/>
                <w:szCs w:val="20"/>
                <w:color w:val="auto"/>
              </w:rPr>
            </w:pPr>
            <w:r>
              <w:rPr>
                <w:rFonts w:ascii="Arial" w:cs="Arial" w:eastAsia="Arial" w:hAnsi="Arial"/>
                <w:sz w:val="10"/>
                <w:szCs w:val="10"/>
                <w:color w:val="auto"/>
              </w:rPr>
              <w:t>May 31, 2023</w:t>
            </w:r>
          </w:p>
        </w:tc>
        <w:tc>
          <w:tcPr>
            <w:tcW w:w="0" w:type="dxa"/>
            <w:vAlign w:val="bottom"/>
          </w:tcPr>
          <w:p>
            <w:pPr>
              <w:spacing w:after="0"/>
              <w:rPr>
                <w:sz w:val="1"/>
                <w:szCs w:val="1"/>
                <w:color w:val="auto"/>
              </w:rPr>
            </w:pPr>
          </w:p>
        </w:tc>
      </w:tr>
      <w:tr>
        <w:trPr>
          <w:trHeight w:val="194"/>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WCEP Holdings</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4.003%</w:t>
            </w: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May 31, 2023</w:t>
            </w:r>
          </w:p>
        </w:tc>
        <w:tc>
          <w:tcPr>
            <w:tcW w:w="0" w:type="dxa"/>
            <w:vAlign w:val="bottom"/>
          </w:tcPr>
          <w:p>
            <w:pPr>
              <w:spacing w:after="0"/>
              <w:rPr>
                <w:sz w:val="1"/>
                <w:szCs w:val="1"/>
                <w:color w:val="auto"/>
              </w:rPr>
            </w:pPr>
          </w:p>
        </w:tc>
      </w:tr>
      <w:tr>
        <w:trPr>
          <w:trHeight w:val="178"/>
        </w:trPr>
        <w:tc>
          <w:tcPr>
            <w:tcW w:w="3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1,940</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Maturities</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Annual payments based on the maturities of the Company's debt, for the years ending after December 31, 2017,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120" w:type="dxa"/>
            <w:vAlign w:val="bottom"/>
            <w:tcBorders>
              <w:bottom w:val="single" w:sz="8" w:color="CCEEFF"/>
            </w:tcBorders>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6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306</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2019</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714</w:t>
            </w:r>
          </w:p>
        </w:tc>
      </w:tr>
      <w:tr>
        <w:trPr>
          <w:trHeight w:val="20"/>
        </w:trPr>
        <w:tc>
          <w:tcPr>
            <w:tcW w:w="3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6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650</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2021</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455</w:t>
            </w:r>
          </w:p>
        </w:tc>
      </w:tr>
      <w:tr>
        <w:trPr>
          <w:trHeight w:val="20"/>
        </w:trPr>
        <w:tc>
          <w:tcPr>
            <w:tcW w:w="3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6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653</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3,121</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6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5,899</w:t>
            </w:r>
          </w:p>
        </w:tc>
      </w:tr>
      <w:tr>
        <w:trPr>
          <w:trHeight w:val="708"/>
        </w:trPr>
        <w:tc>
          <w:tcPr>
            <w:tcW w:w="3120" w:type="dxa"/>
            <w:vAlign w:val="bottom"/>
          </w:tcPr>
          <w:p>
            <w:pPr>
              <w:spacing w:after="0"/>
              <w:rPr>
                <w:sz w:val="24"/>
                <w:szCs w:val="24"/>
                <w:color w:val="auto"/>
              </w:rPr>
            </w:pPr>
          </w:p>
        </w:tc>
        <w:tc>
          <w:tcPr>
            <w:tcW w:w="6680" w:type="dxa"/>
            <w:vAlign w:val="bottom"/>
          </w:tcPr>
          <w:p>
            <w:pPr>
              <w:jc w:val="right"/>
              <w:ind w:right="3935"/>
              <w:spacing w:after="0"/>
              <w:rPr>
                <w:sz w:val="20"/>
                <w:szCs w:val="20"/>
                <w:color w:val="auto"/>
              </w:rPr>
            </w:pPr>
            <w:r>
              <w:rPr>
                <w:rFonts w:ascii="Arial" w:cs="Arial" w:eastAsia="Arial" w:hAnsi="Arial"/>
                <w:sz w:val="13"/>
                <w:szCs w:val="13"/>
                <w:color w:val="auto"/>
              </w:rPr>
              <w:t>97</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20" w:top="713" w:right="25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color w:val="auto"/>
        </w:rPr>
        <w:t xml:space="preserve">Note 11 — </w:t>
      </w:r>
      <w:r>
        <w:rPr>
          <w:rFonts w:ascii="Arial" w:cs="Arial" w:eastAsia="Arial" w:hAnsi="Arial"/>
          <w:sz w:val="13"/>
          <w:szCs w:val="13"/>
          <w:b w:val="1"/>
          <w:bCs w:val="1"/>
          <w:i w:val="1"/>
          <w:iCs w:val="1"/>
          <w:color w:val="auto"/>
        </w:rPr>
        <w:t>Members' Equity</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Fourth Quarter 2017</w:t>
            </w:r>
          </w:p>
        </w:tc>
        <w:tc>
          <w:tcPr>
            <w:tcW w:w="18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rPr>
              <w:t>First Quarter 2017</w:t>
            </w:r>
          </w:p>
        </w:tc>
      </w:tr>
      <w:tr>
        <w:trPr>
          <w:trHeight w:val="16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Distributions per Class A and Class B units</w:t>
            </w: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0.26</w:t>
            </w:r>
          </w:p>
        </w:tc>
      </w:tr>
      <w:tr>
        <w:trPr>
          <w:trHeight w:val="174"/>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Distributions per Class C and Class D units</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0.26</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share payable on March 15, 2018.</w:t>
      </w:r>
    </w:p>
    <w:p>
      <w:pPr>
        <w:spacing w:after="0" w:line="123"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 xml:space="preserve">During 2017, 2016, and 2015, the Company acquired the Drop Down Assets from NRG,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difference between the cash paid and historical value of the acquired Drop Down Assets was recorded as a distribution to/contribution from NRG with the offset to contributed capital. Prior to the date of acquisition, certain of the projects made distributions to NRG and NRG made contributions into certain projects. These amounts are reflected within the Company’s statement of stockholders’ equity as changes in the contributed capital balance.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Segment Reporting</w:t>
      </w:r>
    </w:p>
    <w:p>
      <w:pPr>
        <w:spacing w:after="0" w:line="12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generated more than 10% of its revenues from the following customers for the years ended December 31,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2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Customer</w:t>
            </w:r>
          </w:p>
        </w:tc>
        <w:tc>
          <w:tcPr>
            <w:tcW w:w="154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7"/>
              </w:rPr>
              <w:t>Conventional (%)</w:t>
            </w:r>
          </w:p>
        </w:tc>
        <w:tc>
          <w:tcPr>
            <w:tcW w:w="1120" w:type="dxa"/>
            <w:vAlign w:val="bottom"/>
            <w:gridSpan w:val="2"/>
          </w:tcPr>
          <w:p>
            <w:pPr>
              <w:jc w:val="right"/>
              <w:ind w:right="226"/>
              <w:spacing w:after="0"/>
              <w:rPr>
                <w:sz w:val="20"/>
                <w:szCs w:val="20"/>
                <w:color w:val="auto"/>
              </w:rPr>
            </w:pPr>
            <w:r>
              <w:rPr>
                <w:rFonts w:ascii="Arial" w:cs="Arial" w:eastAsia="Arial" w:hAnsi="Arial"/>
                <w:sz w:val="10"/>
                <w:szCs w:val="10"/>
                <w:b w:val="1"/>
                <w:bCs w:val="1"/>
                <w:color w:val="auto"/>
              </w:rPr>
              <w:t>Renewables (%)</w:t>
            </w:r>
          </w:p>
        </w:tc>
        <w:tc>
          <w:tcPr>
            <w:tcW w:w="100" w:type="dxa"/>
            <w:vAlign w:val="bottom"/>
          </w:tcPr>
          <w:p>
            <w:pPr>
              <w:spacing w:after="0"/>
              <w:rPr>
                <w:sz w:val="16"/>
                <w:szCs w:val="16"/>
                <w:color w:val="auto"/>
              </w:rPr>
            </w:pPr>
          </w:p>
        </w:tc>
        <w:tc>
          <w:tcPr>
            <w:tcW w:w="1580" w:type="dxa"/>
            <w:vAlign w:val="bottom"/>
            <w:gridSpan w:val="6"/>
          </w:tcPr>
          <w:p>
            <w:pPr>
              <w:jc w:val="right"/>
              <w:ind w:right="482"/>
              <w:spacing w:after="0"/>
              <w:rPr>
                <w:sz w:val="20"/>
                <w:szCs w:val="20"/>
                <w:color w:val="auto"/>
              </w:rPr>
            </w:pPr>
            <w:r>
              <w:rPr>
                <w:rFonts w:ascii="Arial" w:cs="Arial" w:eastAsia="Arial" w:hAnsi="Arial"/>
                <w:sz w:val="10"/>
                <w:szCs w:val="10"/>
                <w:b w:val="1"/>
                <w:bCs w:val="1"/>
                <w:color w:val="auto"/>
              </w:rPr>
              <w:t>Conventional (%)</w:t>
            </w:r>
          </w:p>
        </w:tc>
        <w:tc>
          <w:tcPr>
            <w:tcW w:w="40" w:type="dxa"/>
            <w:vAlign w:val="bottom"/>
          </w:tcPr>
          <w:p>
            <w:pPr>
              <w:spacing w:after="0"/>
              <w:rPr>
                <w:sz w:val="16"/>
                <w:szCs w:val="16"/>
                <w:color w:val="auto"/>
              </w:rPr>
            </w:pPr>
          </w:p>
        </w:tc>
        <w:tc>
          <w:tcPr>
            <w:tcW w:w="940" w:type="dxa"/>
            <w:vAlign w:val="bottom"/>
            <w:gridSpan w:val="2"/>
          </w:tcPr>
          <w:p>
            <w:pPr>
              <w:jc w:val="right"/>
              <w:ind w:right="125"/>
              <w:spacing w:after="0"/>
              <w:rPr>
                <w:sz w:val="20"/>
                <w:szCs w:val="20"/>
                <w:color w:val="auto"/>
              </w:rPr>
            </w:pPr>
            <w:r>
              <w:rPr>
                <w:rFonts w:ascii="Arial" w:cs="Arial" w:eastAsia="Arial" w:hAnsi="Arial"/>
                <w:sz w:val="10"/>
                <w:szCs w:val="10"/>
                <w:b w:val="1"/>
                <w:bCs w:val="1"/>
                <w:color w:val="auto"/>
                <w:w w:val="97"/>
              </w:rPr>
              <w:t>Renewables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w w:val="95"/>
              </w:rPr>
              <w:t>Conventional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02"/>
              <w:spacing w:after="0"/>
              <w:rPr>
                <w:sz w:val="20"/>
                <w:szCs w:val="20"/>
                <w:color w:val="auto"/>
              </w:rPr>
            </w:pPr>
            <w:r>
              <w:rPr>
                <w:rFonts w:ascii="Arial" w:cs="Arial" w:eastAsia="Arial" w:hAnsi="Arial"/>
                <w:sz w:val="10"/>
                <w:szCs w:val="10"/>
                <w:b w:val="1"/>
                <w:bCs w:val="1"/>
                <w:color w:val="auto"/>
                <w:w w:val="97"/>
              </w:rPr>
              <w:t>Renewables (%)</w:t>
            </w:r>
          </w:p>
        </w:tc>
        <w:tc>
          <w:tcPr>
            <w:tcW w:w="0" w:type="dxa"/>
            <w:vAlign w:val="bottom"/>
          </w:tcPr>
          <w:p>
            <w:pPr>
              <w:spacing w:after="0"/>
              <w:rPr>
                <w:sz w:val="1"/>
                <w:szCs w:val="1"/>
                <w:color w:val="auto"/>
              </w:rPr>
            </w:pPr>
          </w:p>
        </w:tc>
      </w:tr>
      <w:tr>
        <w:trPr>
          <w:trHeight w:val="15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SCE</w:t>
            </w: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3"/>
              </w:rPr>
              <w:t>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gridSpan w:val="2"/>
            <w:shd w:val="clear" w:color="auto" w:fill="CCEEFF"/>
          </w:tcPr>
          <w:p>
            <w:pPr>
              <w:jc w:val="right"/>
              <w:ind w:right="486"/>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gridSpan w:val="3"/>
            <w:shd w:val="clear" w:color="auto" w:fill="CCEEFF"/>
          </w:tcPr>
          <w:p>
            <w:pPr>
              <w:jc w:val="right"/>
              <w:ind w:right="385"/>
              <w:spacing w:after="0"/>
              <w:rPr>
                <w:sz w:val="20"/>
                <w:szCs w:val="20"/>
                <w:color w:val="auto"/>
              </w:rPr>
            </w:pPr>
            <w:r>
              <w:rPr>
                <w:rFonts w:ascii="Arial" w:cs="Arial" w:eastAsia="Arial" w:hAnsi="Arial"/>
                <w:sz w:val="12"/>
                <w:szCs w:val="12"/>
                <w:color w:val="auto"/>
              </w:rPr>
              <w:t>21%</w:t>
            </w: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22%</w:t>
            </w: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jc w:val="right"/>
              <w:ind w:right="4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PG&amp;E</w:t>
            </w:r>
          </w:p>
        </w:tc>
        <w:tc>
          <w:tcPr>
            <w:tcW w:w="1280" w:type="dxa"/>
            <w:vAlign w:val="bottom"/>
          </w:tcPr>
          <w:p>
            <w:pPr>
              <w:jc w:val="center"/>
              <w:spacing w:after="0"/>
              <w:rPr>
                <w:sz w:val="20"/>
                <w:szCs w:val="20"/>
                <w:color w:val="auto"/>
              </w:rPr>
            </w:pPr>
            <w:r>
              <w:rPr>
                <w:rFonts w:ascii="Arial" w:cs="Arial" w:eastAsia="Arial" w:hAnsi="Arial"/>
                <w:sz w:val="12"/>
                <w:szCs w:val="12"/>
                <w:color w:val="auto"/>
                <w:w w:val="83"/>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86"/>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385"/>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2"/>
                <w:szCs w:val="12"/>
                <w:color w:val="auto"/>
              </w:rPr>
              <w:t>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46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389"/>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1"/>
              </w:rPr>
              <w:t>Year ended December 31, 2017</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3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tcPr>
          <w:p>
            <w:pPr>
              <w:ind w:left="280"/>
              <w:spacing w:after="0" w:line="104" w:lineRule="exact"/>
              <w:rPr>
                <w:sz w:val="20"/>
                <w:szCs w:val="20"/>
                <w:color w:val="auto"/>
              </w:rPr>
            </w:pPr>
            <w:r>
              <w:rPr>
                <w:rFonts w:ascii="Arial" w:cs="Arial" w:eastAsia="Arial" w:hAnsi="Arial"/>
                <w:sz w:val="10"/>
                <w:szCs w:val="10"/>
                <w:b w:val="1"/>
                <w:bCs w:val="1"/>
                <w:color w:val="auto"/>
              </w:rPr>
              <w:t>Conventional</w:t>
            </w:r>
          </w:p>
        </w:tc>
        <w:tc>
          <w:tcPr>
            <w:tcW w:w="300" w:type="dxa"/>
            <w:vAlign w:val="bottom"/>
          </w:tcPr>
          <w:p>
            <w:pPr>
              <w:spacing w:after="0"/>
              <w:rPr>
                <w:sz w:val="9"/>
                <w:szCs w:val="9"/>
                <w:color w:val="auto"/>
              </w:rPr>
            </w:pPr>
          </w:p>
        </w:tc>
        <w:tc>
          <w:tcPr>
            <w:tcW w:w="820" w:type="dxa"/>
            <w:vAlign w:val="bottom"/>
            <w:gridSpan w:val="3"/>
            <w:vMerge w:val="restart"/>
          </w:tcPr>
          <w:p>
            <w:pPr>
              <w:jc w:val="right"/>
              <w:ind w:right="222"/>
              <w:spacing w:after="0"/>
              <w:rPr>
                <w:sz w:val="20"/>
                <w:szCs w:val="20"/>
                <w:color w:val="auto"/>
              </w:rPr>
            </w:pPr>
            <w:r>
              <w:rPr>
                <w:rFonts w:ascii="Arial" w:cs="Arial" w:eastAsia="Arial" w:hAnsi="Arial"/>
                <w:sz w:val="10"/>
                <w:szCs w:val="10"/>
                <w:b w:val="1"/>
                <w:bCs w:val="1"/>
                <w:color w:val="auto"/>
                <w:w w:val="89"/>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5"/>
              <w:spacing w:after="0"/>
              <w:rPr>
                <w:sz w:val="20"/>
                <w:szCs w:val="20"/>
                <w:color w:val="auto"/>
              </w:rPr>
            </w:pPr>
            <w:r>
              <w:rPr>
                <w:rFonts w:ascii="Arial" w:cs="Arial" w:eastAsia="Arial" w:hAnsi="Arial"/>
                <w:sz w:val="10"/>
                <w:szCs w:val="10"/>
                <w:b w:val="1"/>
                <w:bCs w:val="1"/>
                <w:color w:val="auto"/>
              </w:rPr>
              <w:t>Thermal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Corporate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3320" w:type="dxa"/>
            <w:vAlign w:val="bottom"/>
            <w:tcBorders>
              <w:bottom w:val="single" w:sz="8" w:color="CCEEFF"/>
            </w:tcBorders>
            <w:vMerge w:val="continue"/>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0"/>
                <w:szCs w:val="10"/>
                <w:b w:val="1"/>
                <w:bCs w:val="1"/>
                <w:color w:val="auto"/>
              </w:rPr>
              <w:t>Generation</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501</w:t>
            </w:r>
          </w:p>
        </w:tc>
        <w:tc>
          <w:tcPr>
            <w:tcW w:w="980" w:type="dxa"/>
            <w:vAlign w:val="bottom"/>
            <w:tcBorders>
              <w:bottom w:val="single" w:sz="8" w:color="CCEEFF"/>
            </w:tcBorders>
            <w:gridSpan w:val="3"/>
            <w:shd w:val="clear" w:color="auto" w:fill="CCEEFF"/>
          </w:tcPr>
          <w:p>
            <w:pPr>
              <w:jc w:val="right"/>
              <w:ind w:right="685"/>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w w:val="99"/>
              </w:rPr>
              <w:t>172</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Cost of operations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2"/>
                <w:szCs w:val="12"/>
                <w:color w:val="auto"/>
                <w:w w:val="99"/>
              </w:rPr>
              <w:t>116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210</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Impairment losses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156</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114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(22)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Loss on debt extinguishment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(71)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 (Loss)</w:t>
            </w:r>
          </w:p>
        </w:tc>
        <w:tc>
          <w:tcPr>
            <w:tcW w:w="1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2"/>
                <w:szCs w:val="12"/>
                <w:color w:val="auto"/>
              </w:rPr>
              <w:t>120</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9</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2"/>
                <w:szCs w:val="12"/>
                <w:color w:val="auto"/>
              </w:rPr>
              <w:t>25</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93"/>
              </w:rPr>
              <w:t>(92)</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Equity investment in affiliates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4"/>
                <w:szCs w:val="1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1,076</w:t>
            </w:r>
          </w:p>
        </w:tc>
        <w:tc>
          <w:tcPr>
            <w:tcW w:w="980" w:type="dxa"/>
            <w:vAlign w:val="bottom"/>
            <w:gridSpan w:val="3"/>
          </w:tcPr>
          <w:p>
            <w:pPr>
              <w:jc w:val="right"/>
              <w:ind w:right="68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708"/>
              <w:spacing w:after="0"/>
              <w:rPr>
                <w:sz w:val="20"/>
                <w:szCs w:val="20"/>
                <w:color w:val="auto"/>
              </w:rPr>
            </w:pPr>
            <w:r>
              <w:rPr>
                <w:rFonts w:ascii="Arial" w:cs="Arial" w:eastAsia="Arial" w:hAnsi="Arial"/>
                <w:sz w:val="12"/>
                <w:szCs w:val="12"/>
                <w:color w:val="auto"/>
              </w:rPr>
              <w:t>$</w:t>
            </w: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5"/>
                <w:szCs w:val="15"/>
                <w:color w:val="auto"/>
                <w:vertAlign w:val="superscript"/>
              </w:rPr>
              <w:t>(a)</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1,897</w:t>
            </w:r>
          </w:p>
        </w:tc>
        <w:tc>
          <w:tcPr>
            <w:tcW w:w="120" w:type="dxa"/>
            <w:vAlign w:val="bottom"/>
          </w:tcPr>
          <w:p>
            <w:pPr>
              <w:spacing w:after="0"/>
              <w:rPr>
                <w:sz w:val="14"/>
                <w:szCs w:val="1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5,811</w:t>
            </w:r>
          </w:p>
        </w:tc>
        <w:tc>
          <w:tcPr>
            <w:tcW w:w="980" w:type="dxa"/>
            <w:vAlign w:val="bottom"/>
            <w:gridSpan w:val="3"/>
          </w:tcPr>
          <w:p>
            <w:pPr>
              <w:jc w:val="right"/>
              <w:ind w:right="685"/>
              <w:spacing w:after="0"/>
              <w:rPr>
                <w:sz w:val="20"/>
                <w:szCs w:val="20"/>
                <w:color w:val="auto"/>
              </w:rPr>
            </w:pPr>
            <w:r>
              <w:rPr>
                <w:rFonts w:ascii="Arial" w:cs="Arial" w:eastAsia="Arial" w:hAnsi="Arial"/>
                <w:sz w:val="12"/>
                <w:szCs w:val="12"/>
                <w:color w:val="auto"/>
              </w:rPr>
              <w:t>$</w:t>
            </w:r>
          </w:p>
        </w:tc>
        <w:tc>
          <w:tcPr>
            <w:tcW w:w="340" w:type="dxa"/>
            <w:vAlign w:val="bottom"/>
            <w:gridSpan w:val="3"/>
          </w:tcPr>
          <w:p>
            <w:pPr>
              <w:jc w:val="right"/>
              <w:ind w:right="120"/>
              <w:spacing w:after="0"/>
              <w:rPr>
                <w:sz w:val="20"/>
                <w:szCs w:val="20"/>
                <w:color w:val="auto"/>
              </w:rPr>
            </w:pPr>
            <w:r>
              <w:rPr>
                <w:rFonts w:ascii="Arial" w:cs="Arial" w:eastAsia="Arial" w:hAnsi="Arial"/>
                <w:sz w:val="12"/>
                <w:szCs w:val="12"/>
                <w:color w:val="auto"/>
                <w:w w:val="99"/>
              </w:rPr>
              <w:t>422</w:t>
            </w:r>
          </w:p>
        </w:tc>
        <w:tc>
          <w:tcPr>
            <w:tcW w:w="80" w:type="dxa"/>
            <w:vAlign w:val="bottom"/>
          </w:tcPr>
          <w:p>
            <w:pPr>
              <w:spacing w:after="0"/>
              <w:rPr>
                <w:sz w:val="14"/>
                <w:szCs w:val="14"/>
                <w:color w:val="auto"/>
              </w:rPr>
            </w:pPr>
          </w:p>
        </w:tc>
        <w:tc>
          <w:tcPr>
            <w:tcW w:w="860" w:type="dxa"/>
            <w:vAlign w:val="bottom"/>
            <w:gridSpan w:val="2"/>
          </w:tcPr>
          <w:p>
            <w:pPr>
              <w:jc w:val="right"/>
              <w:ind w:right="708"/>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139382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3825" cy="635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Includes accruals.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480"/>
          </w:cols>
          <w:pgMar w:left="220" w:top="709" w:right="1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39"/>
        </w:trPr>
        <w:tc>
          <w:tcPr>
            <w:tcW w:w="2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532</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1,035</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Cost of operations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187</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47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Interest expense</w:t>
            </w: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380" w:type="dxa"/>
            <w:vAlign w:val="bottom"/>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6"/>
        </w:trPr>
        <w:tc>
          <w:tcPr>
            <w:tcW w:w="528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Balance Sheet</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Equity investments in affiliates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1,046</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5"/>
                <w:szCs w:val="15"/>
                <w:color w:val="auto"/>
                <w:vertAlign w:val="superscript"/>
              </w:rPr>
              <w:t>(a)</w:t>
            </w:r>
          </w:p>
        </w:tc>
        <w:tc>
          <w:tcPr>
            <w:tcW w:w="18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1,993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6,114</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280" w:type="dxa"/>
            <w:vAlign w:val="bottom"/>
            <w:gridSpan w:val="2"/>
          </w:tcPr>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Includes accruals.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2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458</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Cost of operations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52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196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Loss on debt extinguishment</w:t>
            </w: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83"/>
        </w:trPr>
        <w:tc>
          <w:tcPr>
            <w:tcW w:w="528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Income (Loss)</w:t>
            </w: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460"/>
          </w:cols>
          <w:pgMar w:left="220" w:top="871" w:right="2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color w:val="auto"/>
        </w:rPr>
        <w:t>Note 13 — Related Party Transactions</w:t>
      </w:r>
    </w:p>
    <w:p>
      <w:pPr>
        <w:spacing w:after="0" w:line="127"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 The disclosures below summarize the Company's material related party transactions with NRG and its subsidiaries that are included in the Company's operating revenues and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Power Hedge Contracts by and between Renewable Entities and NRG Texas Power LLC</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Certain NRG Wind TE Holdco entities, which are subsidiaries in the Renewables segment, entered into power hedge contracts with NRG Texas Power LLC, a subsidiary of NRG, and generated $16 million of revenue during the year ended December 31, 2015. Effective October 2015, Elbow Creek entered into a PPA with NRG Power Marketing LLC, or NRG Power Marketing, a wholly-owned subsidiary of NRG, as further described below, and the hedge agreement between Elbow Creek and NRG Texas Power LLC was terminated.</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Power Purchase Agreements (PPAs) between the Company and NRG Power Marketing</w:t>
      </w:r>
    </w:p>
    <w:p>
      <w:pPr>
        <w:spacing w:after="0" w:line="123"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Elbow Creek and Dover are parties to PPAs with NRG Power Marketing and generate revenue under the PPAs, which are recorded to operating revenues in the Company's consolidated statements of operations. For the years ended December 31, 2017 and 2016, Elbow Creek generated revenues of $8 million each year, and Dover generated revenues of $4 million and $5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Energy Marketing Services Agreement by and between Thermal entities and NRG Power Marketing</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The Thermal entities purchased a total of $9 million of natural gas during each of the years ended December 31, 2017 and 2016. During the year ended December 31, 2015 total purchases of natural gas under the agreement were $13 million.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 and Maintenance (O&amp;M) Services Agreements by and between Company's subsidiaries and NRG</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this agreement were $39 million for the year ended December 31, 2017, and $36 million for each year ended December 31, 2016 and 2015.</w:t>
      </w:r>
    </w:p>
    <w:p>
      <w:pPr>
        <w:spacing w:after="0" w:line="100"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Company had $13 million due to NRG for the services performed during the year ended December 31, 2017 under the O&amp;M Agreements, $5 million of which was paid off as of March 1, 2018. The Company had $22 million due to NRG for the services performed during the year ended December 31, 2016 under the O&amp;M Agreements.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O&amp;M Services Agreements by and between GenConn and NRG</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GenConn incurs fees under two O&amp;M agreements with wholly-owned subsidiaries of NRG. The fees incurred under the agreements were $5 million each year for the years ended December 31, 2017 and 2016, and $4 million for the year ended December 31, 2015.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460"/>
          </w:cols>
          <w:pgMar w:left="220" w:top="709" w:right="2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i w:val="1"/>
          <w:iCs w:val="1"/>
          <w:color w:val="auto"/>
        </w:rPr>
        <w:t>Administrative Services Agreement by and between Marsh Landing and NRG West Coast LLC</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approximately $15 million, $14 million and $13 million for the years ended December 31, 2017, 2016 and 2015, respectively. There was a balance of $1 million due to NRG West Coast LLC in accounts payable — affiliate as of December 31, 2017 and 2016.</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Administrative Services Agreements by and between the Company and NRG Renew Operation &amp; Maintenance LLC</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in the amount of $23 million, $13 million and $7 million for the years ended December 31, 2017, 2016 and 2015, respectively. There was a balance of $5 million due to RENOM as of December 31, 2017 and 2016.</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 Services Agreement by and between the Company and NRG</w:t>
      </w:r>
    </w:p>
    <w:p>
      <w:pPr>
        <w:spacing w:after="0" w:line="123" w:lineRule="exact"/>
        <w:rPr>
          <w:sz w:val="20"/>
          <w:szCs w:val="20"/>
          <w:color w:val="auto"/>
        </w:rPr>
      </w:pPr>
    </w:p>
    <w:p>
      <w:pPr>
        <w:jc w:val="both"/>
        <w:ind w:firstLine="291"/>
        <w:spacing w:after="0" w:line="277" w:lineRule="auto"/>
        <w:rPr>
          <w:sz w:val="20"/>
          <w:szCs w:val="20"/>
          <w:color w:val="auto"/>
        </w:rPr>
      </w:pPr>
      <w:r>
        <w:rPr>
          <w:rFonts w:ascii="Arial" w:cs="Arial" w:eastAsia="Arial" w:hAnsi="Arial"/>
          <w:sz w:val="12"/>
          <w:szCs w:val="12"/>
          <w:color w:val="auto"/>
        </w:rPr>
        <w:t xml:space="preserve">NRG provides the Company with various operational, management, and administrative services, which include human resources, accounting, tax, legal, information systems, treasury, and risk management, as set forth in the Management Services Agreement. As of December 31, 2017, the base management fee was approximately $8.5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2017, the fee was increased by approximately $1 million per year, primarily due to the acquisition of the March 2017, August 2017 and November 2017 Drop Down Assets, as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In addition to the base management fee, the Company is also responsible for any expenses that are directly incurred and paid for by NRG on behalf of the Company. Costs incurred under this agreement were approximately $10 million for each of the years ended December 31, 2017 and 2016, and $8 million for the year ended December 31, 2015. There was a balance of $4 million in accounts payable — affiliate due to NRG as of December 31, 2017, which the Company paid off in January 2018.</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EPC Agreement by and between NECP and NRG</w:t>
      </w:r>
    </w:p>
    <w:p>
      <w:pPr>
        <w:spacing w:after="0" w:line="123" w:lineRule="exact"/>
        <w:rPr>
          <w:sz w:val="20"/>
          <w:szCs w:val="20"/>
          <w:color w:val="auto"/>
        </w:rPr>
      </w:pPr>
    </w:p>
    <w:p>
      <w:pPr>
        <w:jc w:val="both"/>
        <w:ind w:right="20" w:firstLine="291"/>
        <w:spacing w:after="0" w:line="312" w:lineRule="auto"/>
        <w:rPr>
          <w:sz w:val="20"/>
          <w:szCs w:val="20"/>
          <w:color w:val="auto"/>
        </w:rPr>
      </w:pPr>
      <w:r>
        <w:rPr>
          <w:rFonts w:ascii="Arial" w:cs="Arial" w:eastAsia="Arial" w:hAnsi="Arial"/>
          <w:sz w:val="11"/>
          <w:szCs w:val="11"/>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half of 2018. As of December 31, 2017, the parties made a number of amendments to the EPC Agreement, based on customer change orders, to increase the capacity of the district energy system from 73 MWt to 80 MWt, which also increased the payment from $79 million to $88 million.</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Lease Commitments</w:t>
      </w:r>
    </w:p>
    <w:p>
      <w:pPr>
        <w:spacing w:after="0" w:line="123"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$17 million, $15 million and $10 million for the years ended December 31, 2017, 2016 and 2015, respectively.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future minimum lease commitments under operating leases are $9 million for each of the years ending December 31, 2018 through 2022, and $151 million thereafter.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FFFFFF"/>
        </w:rPr>
        <w:t>Period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480"/>
          </w:cols>
          <w:pgMar w:left="220" w:top="713" w:right="19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i w:val="1"/>
          <w:iCs w:val="1"/>
          <w:color w:val="auto"/>
        </w:rPr>
        <w:t>Gas and Transportation Commitments</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Company has entered into contractual arrangements to procure power, fuel and associated transportation services. For the years ended December 31, 2017, 2016 and 2015, the Company purchased $34 million, $32 million and $40 million, respectively, under such arrangements. As further described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xml:space="preserve"> these purchases include intercompany transactions between certain Thermal entities and NRG Power Marketing under the Energy Marketing Services Agreements in the amount of $9 million for each of the years ended December 31, 2017 and 2016. Total intercompany purchases of natural gas under the agreement were $13 million for the year ended December 31, 2015.</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Company's commitments under such outstanding agreements are estimated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740" w:type="dxa"/>
            <w:vAlign w:val="bottom"/>
            <w:gridSpan w:val="2"/>
          </w:tcPr>
          <w:p>
            <w:pPr>
              <w:spacing w:after="0"/>
              <w:rPr>
                <w:sz w:val="20"/>
                <w:szCs w:val="20"/>
                <w:color w:val="auto"/>
              </w:rPr>
            </w:pPr>
            <w:r>
              <w:rPr>
                <w:rFonts w:ascii="Arial" w:cs="Arial" w:eastAsia="Arial" w:hAnsi="Arial"/>
                <w:sz w:val="10"/>
                <w:szCs w:val="10"/>
                <w:b w:val="1"/>
                <w:bCs w:val="1"/>
                <w:color w:val="auto"/>
              </w:rPr>
              <w:t>Period</w:t>
            </w:r>
          </w:p>
        </w:tc>
        <w:tc>
          <w:tcPr>
            <w:tcW w:w="320" w:type="dxa"/>
            <w:vAlign w:val="bottom"/>
          </w:tcPr>
          <w:p>
            <w:pPr>
              <w:spacing w:after="0"/>
              <w:rPr>
                <w:sz w:val="10"/>
                <w:szCs w:val="10"/>
                <w:color w:val="auto"/>
              </w:rPr>
            </w:pPr>
          </w:p>
        </w:tc>
        <w:tc>
          <w:tcPr>
            <w:tcW w:w="1400" w:type="dxa"/>
            <w:vAlign w:val="bottom"/>
          </w:tcPr>
          <w:p>
            <w:pPr>
              <w:jc w:val="right"/>
              <w:ind w:right="537"/>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9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3"/>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2018</w:t>
            </w:r>
          </w:p>
        </w:tc>
        <w:tc>
          <w:tcPr>
            <w:tcW w:w="94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r>
      <w:tr>
        <w:trPr>
          <w:trHeight w:val="17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2019</w:t>
            </w:r>
          </w:p>
        </w:tc>
        <w:tc>
          <w:tcPr>
            <w:tcW w:w="9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4"/>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2020</w:t>
            </w:r>
          </w:p>
        </w:tc>
        <w:tc>
          <w:tcPr>
            <w:tcW w:w="9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7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2021</w:t>
            </w:r>
          </w:p>
        </w:tc>
        <w:tc>
          <w:tcPr>
            <w:tcW w:w="9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4"/>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2022</w:t>
            </w:r>
          </w:p>
        </w:tc>
        <w:tc>
          <w:tcPr>
            <w:tcW w:w="9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74"/>
        </w:trPr>
        <w:tc>
          <w:tcPr>
            <w:tcW w:w="2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127" w:lineRule="exact"/>
        <w:rPr>
          <w:sz w:val="20"/>
          <w:szCs w:val="20"/>
          <w:color w:val="auto"/>
        </w:rPr>
      </w:pPr>
    </w:p>
    <w:p>
      <w:pPr>
        <w:jc w:val="both"/>
        <w:ind w:right="20" w:firstLine="291"/>
        <w:spacing w:after="0" w:line="277" w:lineRule="auto"/>
        <w:rPr>
          <w:sz w:val="20"/>
          <w:szCs w:val="20"/>
          <w:color w:val="auto"/>
        </w:rPr>
      </w:pPr>
      <w:r>
        <w:rPr>
          <w:rFonts w:ascii="Arial" w:cs="Arial" w:eastAsia="Arial" w:hAnsi="Arial"/>
          <w:sz w:val="12"/>
          <w:szCs w:val="12"/>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90" w:lineRule="exact"/>
        <w:rPr>
          <w:sz w:val="20"/>
          <w:szCs w:val="20"/>
          <w:color w:val="auto"/>
        </w:rPr>
      </w:pPr>
    </w:p>
    <w:p>
      <w:pPr>
        <w:jc w:val="both"/>
        <w:ind w:right="20" w:firstLine="291"/>
        <w:spacing w:after="0" w:line="285" w:lineRule="auto"/>
        <w:rPr>
          <w:sz w:val="20"/>
          <w:szCs w:val="20"/>
          <w:color w:val="auto"/>
        </w:rPr>
      </w:pPr>
      <w:r>
        <w:rPr>
          <w:rFonts w:ascii="Arial" w:cs="Arial" w:eastAsia="Arial" w:hAnsi="Arial"/>
          <w:sz w:val="12"/>
          <w:szCs w:val="12"/>
          <w:i w:val="1"/>
          <w:iCs w:val="1"/>
          <w:color w:val="auto"/>
        </w:rPr>
        <w:t xml:space="preserve">Braun v. NRG Yield, Inc. </w:t>
      </w:r>
      <w:r>
        <w:rPr>
          <w:rFonts w:ascii="Arial" w:cs="Arial" w:eastAsia="Arial" w:hAnsi="Arial"/>
          <w:sz w:val="12"/>
          <w:szCs w:val="12"/>
          <w:color w:val="auto"/>
        </w:rPr>
        <w:t>— On April 19, 2016, plaintiffs filed a putative class action lawsuit against NRG Yield, Inc., the current and former members of its board of directors individually, and other parties in</w:t>
      </w:r>
      <w:r>
        <w:rPr>
          <w:rFonts w:ascii="Arial" w:cs="Arial" w:eastAsia="Arial" w:hAnsi="Arial"/>
          <w:sz w:val="12"/>
          <w:szCs w:val="12"/>
          <w:i w:val="1"/>
          <w:iCs w:val="1"/>
          <w:color w:val="auto"/>
        </w:rPr>
        <w:t xml:space="preserve"> </w:t>
      </w:r>
      <w:r>
        <w:rPr>
          <w:rFonts w:ascii="Arial" w:cs="Arial" w:eastAsia="Arial" w:hAnsi="Arial"/>
          <w:sz w:val="12"/>
          <w:szCs w:val="12"/>
          <w:color w:val="auto"/>
        </w:rPr>
        <w:t>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objections and a motion challenging jurisdiction on October 18, 2016. On December 1, 2017, the parties agreed to a stipulation which provides the plaintiffs' opposition is due on March 6, 2018 and the defendants' reply is due on May 4, 2018.</w:t>
      </w:r>
    </w:p>
    <w:p>
      <w:pPr>
        <w:spacing w:after="0" w:line="83"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i w:val="1"/>
          <w:iCs w:val="1"/>
          <w:color w:val="auto"/>
        </w:rPr>
        <w:t xml:space="preserve">Ahmed v. NRG Energy, Inc. and the NRG Yield Board of Directors </w:t>
      </w:r>
      <w:r>
        <w:rPr>
          <w:rFonts w:ascii="Arial" w:cs="Arial" w:eastAsia="Arial" w:hAnsi="Arial"/>
          <w:sz w:val="12"/>
          <w:szCs w:val="12"/>
          <w:color w:val="auto"/>
        </w:rPr>
        <w:t>— On September 15, 2016, plaintiffs filed a putative class action lawsuit against NRG Energy, Inc., the directors of NRG Yield, Inc.,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 On September 7, 2017, the court requested additional briefing which the parties provided on September 21, 2017. On December 11, 2017, the court dismissed the lawsuit with prejudice, thereby ending the case.</w:t>
      </w:r>
    </w:p>
    <w:p>
      <w:pPr>
        <w:spacing w:after="0" w:line="86" w:lineRule="exact"/>
        <w:rPr>
          <w:sz w:val="20"/>
          <w:szCs w:val="20"/>
          <w:color w:val="auto"/>
        </w:rPr>
      </w:pPr>
    </w:p>
    <w:p>
      <w:pPr>
        <w:jc w:val="both"/>
        <w:ind w:right="20" w:firstLine="282"/>
        <w:spacing w:after="0" w:line="260" w:lineRule="auto"/>
        <w:rPr>
          <w:sz w:val="20"/>
          <w:szCs w:val="20"/>
          <w:color w:val="auto"/>
        </w:rPr>
      </w:pPr>
      <w:r>
        <w:rPr>
          <w:rFonts w:ascii="Arial" w:cs="Arial" w:eastAsia="Arial" w:hAnsi="Arial"/>
          <w:sz w:val="13"/>
          <w:szCs w:val="13"/>
          <w:i w:val="1"/>
          <w:iCs w:val="1"/>
          <w:color w:val="auto"/>
        </w:rPr>
        <w:t xml:space="preserve">GenOn Noteholders' Lawsuit </w:t>
      </w:r>
      <w:r>
        <w:rPr>
          <w:rFonts w:ascii="Arial" w:cs="Arial" w:eastAsia="Arial" w:hAnsi="Arial"/>
          <w:sz w:val="13"/>
          <w:szCs w:val="13"/>
          <w:color w:val="auto"/>
        </w:rPr>
        <w:t>— On December 13, 2016, certain indenture trustees for an ad hoc group of holders, or the Noteholders, of the GenOn Energy, Inc., or GenOn, 7.875% Senior Notes due 2017, 9.500%</w:t>
      </w:r>
      <w:r>
        <w:rPr>
          <w:rFonts w:ascii="Arial" w:cs="Arial" w:eastAsia="Arial" w:hAnsi="Arial"/>
          <w:sz w:val="13"/>
          <w:szCs w:val="13"/>
          <w:i w:val="1"/>
          <w:iCs w:val="1"/>
          <w:color w:val="auto"/>
        </w:rPr>
        <w:t xml:space="preserve"> </w:t>
      </w:r>
      <w:r>
        <w:rPr>
          <w:rFonts w:ascii="Arial" w:cs="Arial" w:eastAsia="Arial" w:hAnsi="Arial"/>
          <w:sz w:val="13"/>
          <w:szCs w:val="13"/>
          <w:color w:val="auto"/>
        </w:rPr>
        <w:t>Notes due 2018, and 9.875% Notes due 2020, and the GenOn Americas Generation, LLC 8.50% Senior Notes due 2021 and 9.125% Senior Notes due 2031, along with certain of the Noteholders, filed a complaint in the Superior Court of the State of Delaware against NRG and GenOn alleging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480"/>
          </w:cols>
          <w:pgMar w:left="220" w:top="713" w:right="199" w:bottom="1440" w:gutter="0" w:footer="0" w:header="0"/>
        </w:sectPr>
      </w:pPr>
    </w:p>
    <w:bookmarkStart w:id="102" w:name="page103"/>
    <w:bookmarkEnd w:id="102"/>
    <w:p>
      <w:pPr>
        <w:jc w:val="both"/>
        <w:spacing w:after="0" w:line="279" w:lineRule="auto"/>
        <w:rPr>
          <w:sz w:val="20"/>
          <w:szCs w:val="20"/>
          <w:color w:val="auto"/>
        </w:rPr>
      </w:pPr>
      <w:r>
        <w:rPr>
          <w:rFonts w:ascii="Arial" w:cs="Arial" w:eastAsia="Arial" w:hAnsi="Arial"/>
          <w:sz w:val="12"/>
          <w:szCs w:val="12"/>
          <w:color w:val="auto"/>
        </w:rPr>
        <w:t>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December 14, 2017, a settlement agreement was entered into between GenOn and NRG which should ultimately resolve this lawsuit.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480"/>
          </w:cols>
          <w:pgMar w:left="220" w:top="713" w:right="19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color w:val="auto"/>
        </w:rPr>
        <w:t>Note 15 — Unaudited Quarterly Data</w:t>
      </w:r>
    </w:p>
    <w:p>
      <w:pPr>
        <w:spacing w:after="0" w:line="127"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Refer to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and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for a description of the effect of unusual or infrequently occurring events during the quarterly periods. Below is summarized unaudited quarterly financial data, which includes the results of the November 2017 Drop Down Assets Acquisition and its impact on every quarter of the 2017 and 2016 results, which were recast to include the November 2017 Drop Down Assets, where applicable: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center"/>
              <w:ind w:left="781"/>
              <w:spacing w:after="0"/>
              <w:rPr>
                <w:sz w:val="20"/>
                <w:szCs w:val="20"/>
                <w:color w:val="auto"/>
              </w:rPr>
            </w:pPr>
            <w:r>
              <w:rPr>
                <w:rFonts w:ascii="Arial" w:cs="Arial" w:eastAsia="Arial" w:hAnsi="Arial"/>
                <w:sz w:val="10"/>
                <w:szCs w:val="10"/>
                <w:b w:val="1"/>
                <w:bCs w:val="1"/>
                <w:color w:val="auto"/>
                <w:w w:val="97"/>
              </w:rPr>
              <w:t>Quarter Ended</w:t>
            </w: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March 31,</w:t>
            </w: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0"/>
                <w:szCs w:val="10"/>
                <w:b w:val="1"/>
                <w:bCs w:val="1"/>
                <w:color w:val="auto"/>
                <w:w w:val="98"/>
              </w:rPr>
              <w:t>2017</w:t>
            </w: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left="801"/>
              <w:spacing w:after="0"/>
              <w:rPr>
                <w:sz w:val="20"/>
                <w:szCs w:val="20"/>
                <w:color w:val="auto"/>
              </w:rPr>
            </w:pPr>
            <w:r>
              <w:rPr>
                <w:rFonts w:ascii="Arial" w:cs="Arial" w:eastAsia="Arial" w:hAnsi="Arial"/>
                <w:sz w:val="10"/>
                <w:szCs w:val="10"/>
                <w:b w:val="1"/>
                <w:bCs w:val="1"/>
                <w:color w:val="auto"/>
                <w:w w:val="96"/>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60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288</w:t>
            </w:r>
          </w:p>
        </w:tc>
        <w:tc>
          <w:tcPr>
            <w:tcW w:w="40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284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218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0"/>
        </w:trPr>
        <w:tc>
          <w:tcPr>
            <w:tcW w:w="51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3</w:t>
            </w:r>
          </w:p>
        </w:tc>
        <w:tc>
          <w:tcPr>
            <w:tcW w:w="20" w:type="dxa"/>
            <w:vAlign w:val="bottom"/>
            <w:tcBorders>
              <w:top w:val="single" w:sz="8" w:color="auto"/>
            </w:tcBorders>
          </w:tcPr>
          <w:p>
            <w:pPr>
              <w:spacing w:after="0"/>
              <w:rPr>
                <w:sz w:val="13"/>
                <w:szCs w:val="13"/>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0"/>
        </w:trPr>
        <w:tc>
          <w:tcPr>
            <w:tcW w:w="516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14"/>
                <w:szCs w:val="14"/>
                <w:color w:val="auto"/>
              </w:rPr>
            </w:pPr>
          </w:p>
        </w:tc>
      </w:tr>
      <w:tr>
        <w:trPr>
          <w:trHeight w:val="24"/>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70"/>
        </w:trPr>
        <w:tc>
          <w:tcPr>
            <w:tcW w:w="5160" w:type="dxa"/>
            <w:vAlign w:val="bottom"/>
            <w:gridSpan w:val="2"/>
          </w:tcPr>
          <w:p>
            <w:pPr>
              <w:ind w:left="20"/>
              <w:spacing w:after="0"/>
              <w:rPr>
                <w:sz w:val="20"/>
                <w:szCs w:val="20"/>
                <w:color w:val="auto"/>
              </w:rPr>
            </w:pPr>
            <w:r>
              <w:rPr>
                <w:rFonts w:ascii="Arial" w:cs="Arial" w:eastAsia="Arial" w:hAnsi="Arial"/>
                <w:sz w:val="12"/>
                <w:szCs w:val="12"/>
                <w:color w:val="auto"/>
              </w:rPr>
              <w:t>Operating Income (as previously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54</w:t>
            </w:r>
          </w:p>
        </w:tc>
        <w:tc>
          <w:tcPr>
            <w:tcW w:w="20" w:type="dxa"/>
            <w:vAlign w:val="bottom"/>
          </w:tcPr>
          <w:p>
            <w:pPr>
              <w:spacing w:after="0"/>
              <w:rPr>
                <w:sz w:val="14"/>
                <w:szCs w:val="14"/>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17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0"/>
        </w:trPr>
        <w:tc>
          <w:tcPr>
            <w:tcW w:w="51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120" w:type="dxa"/>
            <w:vAlign w:val="bottom"/>
            <w:gridSpan w:val="2"/>
          </w:tcPr>
          <w:p>
            <w:pPr>
              <w:spacing w:after="0"/>
              <w:rPr>
                <w:sz w:val="13"/>
                <w:szCs w:val="13"/>
                <w:color w:val="auto"/>
              </w:rPr>
            </w:pPr>
          </w:p>
        </w:tc>
        <w:tc>
          <w:tcPr>
            <w:tcW w:w="2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gridSpan w:val="2"/>
          </w:tcPr>
          <w:p>
            <w:pPr>
              <w:spacing w:after="0"/>
              <w:rPr>
                <w:sz w:val="13"/>
                <w:szCs w:val="13"/>
                <w:color w:val="auto"/>
              </w:rPr>
            </w:pPr>
          </w:p>
        </w:tc>
        <w:tc>
          <w:tcPr>
            <w:tcW w:w="28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tcPr>
          <w:p>
            <w:pPr>
              <w:spacing w:after="0"/>
              <w:rPr>
                <w:sz w:val="13"/>
                <w:szCs w:val="13"/>
                <w:color w:val="auto"/>
              </w:rPr>
            </w:pPr>
          </w:p>
        </w:tc>
      </w:tr>
      <w:tr>
        <w:trPr>
          <w:trHeight w:val="24"/>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68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781"/>
              <w:spacing w:after="0"/>
              <w:rPr>
                <w:sz w:val="20"/>
                <w:szCs w:val="20"/>
                <w:color w:val="auto"/>
              </w:rPr>
            </w:pPr>
            <w:r>
              <w:rPr>
                <w:rFonts w:ascii="Arial" w:cs="Arial" w:eastAsia="Arial" w:hAnsi="Arial"/>
                <w:sz w:val="10"/>
                <w:szCs w:val="10"/>
                <w:b w:val="1"/>
                <w:bCs w:val="1"/>
                <w:color w:val="auto"/>
                <w:w w:val="97"/>
              </w:rPr>
              <w:t>Quarter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361"/>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March 31,</w:t>
            </w: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4"/>
          </w:tcPr>
          <w:p>
            <w:pPr>
              <w:jc w:val="center"/>
              <w:ind w:right="360"/>
              <w:spacing w:after="0"/>
              <w:rPr>
                <w:sz w:val="20"/>
                <w:szCs w:val="20"/>
                <w:color w:val="auto"/>
              </w:rPr>
            </w:pPr>
            <w:r>
              <w:rPr>
                <w:rFonts w:ascii="Arial" w:cs="Arial" w:eastAsia="Arial" w:hAnsi="Arial"/>
                <w:sz w:val="10"/>
                <w:szCs w:val="10"/>
                <w:b w:val="1"/>
                <w:bCs w:val="1"/>
                <w:color w:val="auto"/>
                <w:w w:val="89"/>
              </w:rPr>
              <w:t>2016</w:t>
            </w:r>
          </w:p>
        </w:tc>
        <w:tc>
          <w:tcPr>
            <w:tcW w:w="10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left="761"/>
              <w:spacing w:after="0"/>
              <w:rPr>
                <w:sz w:val="20"/>
                <w:szCs w:val="20"/>
                <w:color w:val="auto"/>
              </w:rPr>
            </w:pPr>
            <w:r>
              <w:rPr>
                <w:rFonts w:ascii="Arial" w:cs="Arial" w:eastAsia="Arial" w:hAnsi="Arial"/>
                <w:sz w:val="10"/>
                <w:szCs w:val="10"/>
                <w:b w:val="1"/>
                <w:bCs w:val="1"/>
                <w:color w:val="auto"/>
                <w:w w:val="96"/>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Revenues</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60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287</w:t>
            </w:r>
          </w:p>
        </w:tc>
        <w:tc>
          <w:tcPr>
            <w:tcW w:w="40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237</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Revenues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283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234</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2"/>
                <w:szCs w:val="12"/>
                <w:color w:val="auto"/>
              </w:rPr>
              <w:t>Operating (Loss)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2"/>
                <w:szCs w:val="12"/>
                <w:color w:val="auto"/>
              </w:rPr>
              <w:t>Operating (Loss) Income (as previously reported)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 (as previously reported)</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5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400" w:type="dxa"/>
            <w:vAlign w:val="bottom"/>
            <w:gridSpan w:val="3"/>
          </w:tcPr>
          <w:p>
            <w:pPr>
              <w:jc w:val="right"/>
              <w:ind w:right="162"/>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659"/>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709" w:right="19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auto"/>
        </w:rPr>
        <w:t>Note 16 — Condensed Consolidating Financial Information</w:t>
      </w:r>
    </w:p>
    <w:p>
      <w:pPr>
        <w:spacing w:after="0" w:line="165"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 xml:space="preserve">As of December 31, 2017, Yield Operating LLC had outstanding $500 million of the 2024 Senior Notes and $350 million of the 2026 Senior Notes, collectively Senior Notes, as described in Note 10, </w:t>
      </w:r>
      <w:r>
        <w:rPr>
          <w:rFonts w:ascii="Arial" w:cs="Arial" w:eastAsia="Arial" w:hAnsi="Arial"/>
          <w:sz w:val="13"/>
          <w:szCs w:val="13"/>
          <w:i w:val="1"/>
          <w:iCs w:val="1"/>
          <w:color w:val="auto"/>
        </w:rPr>
        <w:t>Long-term</w:t>
      </w:r>
      <w:r>
        <w:rPr>
          <w:rFonts w:ascii="Arial" w:cs="Arial" w:eastAsia="Arial" w:hAnsi="Arial"/>
          <w:sz w:val="13"/>
          <w:szCs w:val="13"/>
          <w:color w:val="auto"/>
        </w:rPr>
        <w:t xml:space="preserve"> </w:t>
      </w:r>
      <w:r>
        <w:rPr>
          <w:rFonts w:ascii="Arial" w:cs="Arial" w:eastAsia="Arial" w:hAnsi="Arial"/>
          <w:sz w:val="13"/>
          <w:szCs w:val="13"/>
          <w:i w:val="1"/>
          <w:iCs w:val="1"/>
          <w:color w:val="auto"/>
        </w:rPr>
        <w:t>Debt</w:t>
      </w:r>
      <w:r>
        <w:rPr>
          <w:rFonts w:ascii="Arial" w:cs="Arial" w:eastAsia="Arial" w:hAnsi="Arial"/>
          <w:sz w:val="13"/>
          <w:szCs w:val="13"/>
          <w:color w:val="auto"/>
        </w:rPr>
        <w:t>. These Senior Notes are guaranteed by the Company, as well as certain of the Company's subsidiaries, or guarantor subsidiaries. These guarantees are both joint and several. The non-guarantor subsidiaries include the</w:t>
      </w:r>
      <w:r>
        <w:rPr>
          <w:rFonts w:ascii="Arial" w:cs="Arial" w:eastAsia="Arial" w:hAnsi="Arial"/>
          <w:sz w:val="13"/>
          <w:szCs w:val="13"/>
          <w:i w:val="1"/>
          <w:iCs w:val="1"/>
          <w:color w:val="auto"/>
        </w:rPr>
        <w:t xml:space="preserve"> </w:t>
      </w:r>
      <w:r>
        <w:rPr>
          <w:rFonts w:ascii="Arial" w:cs="Arial" w:eastAsia="Arial" w:hAnsi="Arial"/>
          <w:sz w:val="13"/>
          <w:szCs w:val="13"/>
          <w:color w:val="auto"/>
        </w:rPr>
        <w:t>rest of the Company's subsidiaries, including the ones that are subject to project financing.</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Unless otherwise noted below, each of the following guarantor subsidiaries fully and unconditionally guaranteed the Senior Notes as of December 31, 2017:</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Alta Wind 1-5 Holding Company,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Alta Wind Company,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Energy Center Omaha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Energy Center Omaha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NYLD Fuel Cell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UB Fuel Cell,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South Trent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DGPV Holding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RPV Holding LLC</w:t>
      </w:r>
    </w:p>
    <w:p>
      <w:pPr>
        <w:spacing w:after="0" w:line="18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97"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97" w:lineRule="exact"/>
        <w:rPr>
          <w:sz w:val="20"/>
          <w:szCs w:val="20"/>
          <w:color w:val="auto"/>
        </w:rPr>
      </w:pPr>
    </w:p>
    <w:p>
      <w:pPr>
        <w:jc w:val="both"/>
        <w:ind w:right="20" w:firstLine="291"/>
        <w:spacing w:after="0" w:line="255" w:lineRule="auto"/>
        <w:rPr>
          <w:sz w:val="20"/>
          <w:szCs w:val="20"/>
          <w:color w:val="auto"/>
        </w:rPr>
      </w:pPr>
      <w:r>
        <w:rPr>
          <w:rFonts w:ascii="Arial" w:cs="Arial" w:eastAsia="Arial" w:hAnsi="Arial"/>
          <w:sz w:val="13"/>
          <w:szCs w:val="13"/>
          <w:color w:val="auto"/>
        </w:rPr>
        <w:t xml:space="preserve">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 As described in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Company completed the acquisition of the November 2017 Drop Down Assets, August 2017 Drop Down Assets, and March 2017 Drop Down Assets from NRG on November 1, 2017, August 1, 2017 and March 27, 2017,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100"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In addition, the condensed parent company financial statements are provided in accordance with Rule 12-04, Schedule I of Regulation S-X, as the restricted net assets of Yield LLC’s subsidiaries exceed 25 percent of the consolidated net assets of Yield LLC. These statements should be read in conjunction with the consolidated statements and notes thereto of NRG Yield LLC. For a discussion of Yield LLC's long-term debt, see Note 10,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For a discussion of Yield LLC's commitments and contingencies, see Note 14,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For a discussion of Yield LLC's distributions to Yield, Inc. and NRG Energy, see Note 11, </w:t>
      </w:r>
      <w:r>
        <w:rPr>
          <w:rFonts w:ascii="Arial" w:cs="Arial" w:eastAsia="Arial" w:hAnsi="Arial"/>
          <w:sz w:val="13"/>
          <w:szCs w:val="13"/>
          <w:i w:val="1"/>
          <w:iCs w:val="1"/>
          <w:color w:val="auto"/>
        </w:rPr>
        <w:t>Members' Equity</w:t>
      </w:r>
      <w:r>
        <w:rPr>
          <w:rFonts w:ascii="Arial" w:cs="Arial" w:eastAsia="Arial" w:hAnsi="Arial"/>
          <w:sz w:val="13"/>
          <w:szCs w:val="13"/>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480"/>
          </w:cols>
          <w:pgMar w:left="220" w:top="709" w:right="199" w:bottom="1440" w:gutter="0" w:footer="0" w:header="0"/>
        </w:sectPr>
      </w:pPr>
    </w:p>
    <w:bookmarkStart w:id="105" w:name="page106"/>
    <w:bookmarkEnd w:id="105"/>
    <w:p>
      <w:pPr>
        <w:jc w:val="center"/>
        <w:ind w:right="-20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6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Other Guarantor</w:t>
            </w:r>
          </w:p>
        </w:tc>
        <w:tc>
          <w:tcPr>
            <w:tcW w:w="180" w:type="dxa"/>
            <w:vAlign w:val="bottom"/>
          </w:tcPr>
          <w:p>
            <w:pPr>
              <w:spacing w:after="0"/>
              <w:rPr>
                <w:sz w:val="10"/>
                <w:szCs w:val="1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NRG Yield Operating</w:t>
            </w: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200" w:type="dxa"/>
            <w:vAlign w:val="bottom"/>
          </w:tcPr>
          <w:p>
            <w:pPr>
              <w:spacing w:after="0"/>
              <w:rPr>
                <w:sz w:val="10"/>
                <w:szCs w:val="10"/>
                <w:color w:val="auto"/>
              </w:rPr>
            </w:pPr>
          </w:p>
        </w:tc>
        <w:tc>
          <w:tcPr>
            <w:tcW w:w="102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0"/>
              </w:rPr>
              <w:t>Subsidiaries</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8"/>
              </w:rPr>
              <w:t>LLC (Note Issuer)</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8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988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1,009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329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Operating (Loss)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Equity in earnings (losses) of consolidated affiliates</w:t>
            </w:r>
          </w:p>
        </w:tc>
        <w:tc>
          <w:tcPr>
            <w:tcW w:w="14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Less: Net loss attributable to noncontrolling interests</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42" w:hanging="103"/>
        <w:spacing w:after="0"/>
        <w:tabs>
          <w:tab w:leader="none" w:pos="142" w:val="left"/>
        </w:tabs>
        <w:numPr>
          <w:ilvl w:val="1"/>
          <w:numId w:val="49"/>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tabs>
          <w:tab w:leader="none" w:pos="82" w:val="left"/>
        </w:tabs>
        <w:numPr>
          <w:ilvl w:val="0"/>
          <w:numId w:val="50"/>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172"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62"/>
          </w:cols>
          <w:pgMar w:left="218" w:top="709" w:right="419" w:bottom="1440" w:gutter="0" w:footer="0" w:header="0"/>
        </w:sectPr>
      </w:pPr>
    </w:p>
    <w:bookmarkStart w:id="106" w:name="page107"/>
    <w:bookmarkEnd w:id="106"/>
    <w:p>
      <w:pPr>
        <w:jc w:val="center"/>
        <w:ind w:right="-20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NRG Yield Operating</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 Subsidiaries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220"/>
              <w:spacing w:after="0" w:line="107" w:lineRule="exact"/>
              <w:rPr>
                <w:sz w:val="20"/>
                <w:szCs w:val="20"/>
                <w:color w:val="auto"/>
              </w:rPr>
            </w:pPr>
            <w:r>
              <w:rPr>
                <w:rFonts w:ascii="Arial" w:cs="Arial" w:eastAsia="Arial" w:hAnsi="Arial"/>
                <w:sz w:val="10"/>
                <w:szCs w:val="10"/>
                <w:b w:val="1"/>
                <w:bCs w:val="1"/>
                <w:color w:val="auto"/>
              </w:rPr>
              <w:t>LLC</w:t>
            </w:r>
          </w:p>
        </w:tc>
        <w:tc>
          <w:tcPr>
            <w:tcW w:w="20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200" w:type="dxa"/>
            <w:vAlign w:val="bottom"/>
          </w:tcPr>
          <w:p>
            <w:pPr>
              <w:spacing w:after="0"/>
              <w:rPr>
                <w:sz w:val="9"/>
                <w:szCs w:val="9"/>
                <w:color w:val="auto"/>
              </w:rPr>
            </w:pPr>
          </w:p>
        </w:tc>
        <w:tc>
          <w:tcPr>
            <w:tcW w:w="1020" w:type="dxa"/>
            <w:vAlign w:val="bottom"/>
            <w:vMerge w:val="restart"/>
          </w:tcPr>
          <w:p>
            <w:pPr>
              <w:jc w:val="right"/>
              <w:ind w:right="257"/>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1"/>
              </w:rPr>
              <w:t>(Note Issuer)</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8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4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260"/>
              <w:spacing w:after="0"/>
              <w:rPr>
                <w:sz w:val="20"/>
                <w:szCs w:val="20"/>
                <w:color w:val="auto"/>
              </w:rPr>
            </w:pPr>
            <w:r>
              <w:rPr>
                <w:rFonts w:ascii="Arial" w:cs="Arial" w:eastAsia="Arial" w:hAnsi="Arial"/>
                <w:sz w:val="13"/>
                <w:szCs w:val="13"/>
                <w:color w:val="auto"/>
              </w:rPr>
              <w:t>Unrealized gain on derivatives</w:t>
            </w:r>
          </w:p>
        </w:tc>
        <w:tc>
          <w:tcPr>
            <w:tcW w:w="14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income</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Less: Comprehensive loss attributable to noncontrolling</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w w:val="96"/>
              </w:rPr>
              <w:t>Comprehensive Income Attributable to NRG Yield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1"/>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tabs>
          <w:tab w:leader="none" w:pos="82" w:val="left"/>
        </w:tabs>
        <w:numPr>
          <w:ilvl w:val="0"/>
          <w:numId w:val="52"/>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172"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62"/>
          </w:cols>
          <w:pgMar w:left="218" w:top="709" w:right="419" w:bottom="1440" w:gutter="0" w:footer="0" w:header="0"/>
        </w:sectPr>
      </w:pPr>
    </w:p>
    <w:bookmarkStart w:id="107" w:name="page108"/>
    <w:bookmarkEnd w:id="107"/>
    <w:p>
      <w:pPr>
        <w:jc w:val="center"/>
        <w:ind w:right="-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8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December 31, 2017</w:t>
      </w:r>
    </w:p>
    <w:p>
      <w:pPr>
        <w:spacing w:after="0" w:line="266" w:lineRule="exact"/>
        <w:rPr>
          <w:sz w:val="20"/>
          <w:szCs w:val="20"/>
          <w:color w:val="auto"/>
        </w:rPr>
      </w:pPr>
    </w:p>
    <w:tbl>
      <w:tblPr>
        <w:tblLayout w:type="fixed"/>
        <w:tblInd w:w="23"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7"/>
              </w:rPr>
              <w:t>Other Guarantor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5"/>
              </w:rPr>
              <w:t>Non-Guarantor</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NRG Yield Operating</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0"/>
                <w:szCs w:val="10"/>
                <w:b w:val="1"/>
                <w:bCs w:val="1"/>
                <w:color w:val="auto"/>
              </w:rPr>
              <w:t>LLC</w:t>
            </w:r>
          </w:p>
        </w:tc>
        <w:tc>
          <w:tcPr>
            <w:tcW w:w="18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160" w:type="dxa"/>
            <w:vAlign w:val="bottom"/>
          </w:tcPr>
          <w:p>
            <w:pPr>
              <w:spacing w:after="0"/>
              <w:rPr>
                <w:sz w:val="9"/>
                <w:szCs w:val="9"/>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1"/>
              </w:rPr>
              <w:t>(Note Issuer)</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860" w:type="dxa"/>
            <w:vAlign w:val="bottom"/>
          </w:tcPr>
          <w:p>
            <w:pPr>
              <w:ind w:left="166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ind w:left="8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12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0"/>
        </w:trPr>
        <w:tc>
          <w:tcPr>
            <w:tcW w:w="386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5,204</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Investment in consolidated subsidiaries</w:t>
            </w:r>
          </w:p>
        </w:tc>
        <w:tc>
          <w:tcPr>
            <w:tcW w:w="12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1,823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460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3,177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 investments in affiliates</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577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368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70"/>
        </w:trPr>
        <w:tc>
          <w:tcPr>
            <w:tcW w:w="386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1,173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0"/>
        </w:trPr>
        <w:tc>
          <w:tcPr>
            <w:tcW w:w="3860" w:type="dxa"/>
            <w:vAlign w:val="bottom"/>
          </w:tcPr>
          <w:p>
            <w:pPr>
              <w:ind w:left="260"/>
              <w:spacing w:after="0"/>
              <w:rPr>
                <w:sz w:val="20"/>
                <w:szCs w:val="20"/>
                <w:color w:val="auto"/>
              </w:rPr>
            </w:pPr>
            <w:r>
              <w:rPr>
                <w:rFonts w:ascii="Arial" w:cs="Arial" w:eastAsia="Arial" w:hAnsi="Arial"/>
                <w:sz w:val="12"/>
                <w:szCs w:val="12"/>
                <w:color w:val="auto"/>
              </w:rPr>
              <w:t>Total other assets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1,823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748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1,813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2"/>
                <w:szCs w:val="12"/>
                <w:color w:val="auto"/>
              </w:rPr>
              <w:t>3,545</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2,469</w:t>
            </w:r>
          </w:p>
        </w:tc>
        <w:tc>
          <w:tcPr>
            <w:tcW w:w="0" w:type="dxa"/>
            <w:vAlign w:val="bottom"/>
          </w:tcPr>
          <w:p>
            <w:pPr>
              <w:spacing w:after="0"/>
              <w:rPr>
                <w:sz w:val="1"/>
                <w:szCs w:val="1"/>
                <w:color w:val="auto"/>
              </w:rPr>
            </w:pPr>
          </w:p>
        </w:tc>
      </w:tr>
      <w:tr>
        <w:trPr>
          <w:trHeight w:val="24"/>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1,846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809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7,412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3,547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141605</wp:posOffset>
            </wp:positionV>
            <wp:extent cx="14185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83" w:hanging="83"/>
        <w:spacing w:after="0"/>
        <w:tabs>
          <w:tab w:leader="none" w:pos="83" w:val="left"/>
        </w:tabs>
        <w:numPr>
          <w:ilvl w:val="0"/>
          <w:numId w:val="53"/>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3" w:hanging="83"/>
        <w:spacing w:after="0"/>
        <w:tabs>
          <w:tab w:leader="none" w:pos="83" w:val="left"/>
        </w:tabs>
        <w:numPr>
          <w:ilvl w:val="0"/>
          <w:numId w:val="53"/>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383"/>
          </w:cols>
          <w:pgMar w:left="257" w:top="826" w:right="259" w:bottom="1440" w:gutter="0" w:footer="0" w:header="0"/>
        </w:sectPr>
      </w:pPr>
    </w:p>
    <w:bookmarkStart w:id="108" w:name="page109"/>
    <w:bookmarkEnd w:id="108"/>
    <w:p>
      <w:pPr>
        <w:ind w:left="460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ind w:left="416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(Continued)</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rPr>
              <w:t>Other Guarantor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8"/>
              </w:rPr>
              <w:t>Non-Guarantor</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NRG Yield Operating</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tcPr>
          <w:p>
            <w:pPr>
              <w:jc w:val="center"/>
              <w:ind w:right="200"/>
              <w:spacing w:after="0" w:line="107" w:lineRule="exact"/>
              <w:rPr>
                <w:sz w:val="20"/>
                <w:szCs w:val="20"/>
                <w:color w:val="auto"/>
              </w:rPr>
            </w:pPr>
            <w:r>
              <w:rPr>
                <w:rFonts w:ascii="Arial" w:cs="Arial" w:eastAsia="Arial" w:hAnsi="Arial"/>
                <w:sz w:val="10"/>
                <w:szCs w:val="10"/>
                <w:b w:val="1"/>
                <w:bCs w:val="1"/>
                <w:color w:val="auto"/>
              </w:rPr>
              <w:t>LLC</w:t>
            </w:r>
          </w:p>
        </w:tc>
        <w:tc>
          <w:tcPr>
            <w:tcW w:w="180" w:type="dxa"/>
            <w:vAlign w:val="bottom"/>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180" w:type="dxa"/>
            <w:vAlign w:val="bottom"/>
          </w:tcPr>
          <w:p>
            <w:pPr>
              <w:spacing w:after="0"/>
              <w:rPr>
                <w:sz w:val="9"/>
                <w:szCs w:val="9"/>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1"/>
              </w:rPr>
              <w:t>(Note Issuer)</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20"/>
              <w:spacing w:after="0"/>
              <w:rPr>
                <w:sz w:val="20"/>
                <w:szCs w:val="20"/>
                <w:color w:val="auto"/>
              </w:rPr>
            </w:pPr>
            <w:r>
              <w:rPr>
                <w:rFonts w:ascii="Arial" w:cs="Arial" w:eastAsia="Arial" w:hAnsi="Arial"/>
                <w:sz w:val="12"/>
                <w:szCs w:val="12"/>
                <w:b w:val="1"/>
                <w:bCs w:val="1"/>
                <w:color w:val="auto"/>
              </w:rPr>
              <w:t>LIABILITIES AND MEMBERS' EQUITY</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6"/>
              </w:rPr>
              <w:t>(In millions)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Current portion of long-term debt — external</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306</w:t>
            </w:r>
          </w:p>
        </w:tc>
        <w:tc>
          <w:tcPr>
            <w:tcW w:w="12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trade</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436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485</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external</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4,025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896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4,921</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Long-term debt — affiliate</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non-current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4,140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1,521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5,661</w:t>
            </w:r>
          </w:p>
        </w:tc>
        <w:tc>
          <w:tcPr>
            <w:tcW w:w="0" w:type="dxa"/>
            <w:vAlign w:val="bottom"/>
          </w:tcPr>
          <w:p>
            <w:pPr>
              <w:spacing w:after="0"/>
              <w:rPr>
                <w:sz w:val="1"/>
                <w:szCs w:val="1"/>
                <w:color w:val="auto"/>
              </w:rPr>
            </w:pPr>
          </w:p>
        </w:tc>
      </w:tr>
      <w:tr>
        <w:trPr>
          <w:trHeight w:val="150"/>
        </w:trPr>
        <w:tc>
          <w:tcPr>
            <w:tcW w:w="4020" w:type="dxa"/>
            <w:vAlign w:val="bottom"/>
          </w:tcPr>
          <w:p>
            <w:pPr>
              <w:ind w:left="120"/>
              <w:spacing w:after="0"/>
              <w:rPr>
                <w:sz w:val="20"/>
                <w:szCs w:val="20"/>
                <w:color w:val="auto"/>
              </w:rPr>
            </w:pPr>
            <w:r>
              <w:rPr>
                <w:rFonts w:ascii="Arial" w:cs="Arial" w:eastAsia="Arial" w:hAnsi="Arial"/>
                <w:sz w:val="12"/>
                <w:szCs w:val="12"/>
                <w:b w:val="1"/>
                <w:bCs w:val="1"/>
                <w:color w:val="auto"/>
              </w:rPr>
              <w:t>Total Liabilities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4,576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1,562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6,146</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Members' 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Contributed capital</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1,897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2,871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2,097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(5,831)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1,897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Retained earnings (accumulated deficit)</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3"/>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288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Noncontrolling interest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1,846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2,836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1,985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(5,460)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1,846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7,412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3,547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(5,460)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141605</wp:posOffset>
            </wp:positionV>
            <wp:extent cx="14128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2875" cy="6350"/>
                    </a:xfrm>
                    <a:prstGeom prst="rect">
                      <a:avLst/>
                    </a:prstGeom>
                    <a:noFill/>
                  </pic:spPr>
                </pic:pic>
              </a:graphicData>
            </a:graphic>
          </wp:anchor>
        </w:drawing>
      </w:r>
    </w:p>
    <w:p>
      <w:pPr>
        <w:spacing w:after="0" w:line="220" w:lineRule="exact"/>
        <w:rPr>
          <w:sz w:val="20"/>
          <w:szCs w:val="20"/>
          <w:color w:val="auto"/>
        </w:rPr>
      </w:pPr>
    </w:p>
    <w:p>
      <w:pPr>
        <w:ind w:left="102" w:hanging="102"/>
        <w:spacing w:after="0"/>
        <w:tabs>
          <w:tab w:leader="none" w:pos="102" w:val="left"/>
        </w:tabs>
        <w:numPr>
          <w:ilvl w:val="0"/>
          <w:numId w:val="54"/>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54"/>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31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482"/>
          </w:cols>
          <w:pgMar w:left="218" w:top="865" w:right="1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Other Guarantor</w:t>
            </w:r>
          </w:p>
        </w:tc>
        <w:tc>
          <w:tcPr>
            <w:tcW w:w="15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Non-Guarantor Subsidiaries</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C2C2C"/>
                <w:w w:val="99"/>
              </w:rPr>
              <w:t>NRG Yield Operating</w:t>
            </w:r>
          </w:p>
        </w:tc>
        <w:tc>
          <w:tcPr>
            <w:tcW w:w="180" w:type="dxa"/>
            <w:vAlign w:val="bottom"/>
          </w:tcPr>
          <w:p>
            <w:pPr>
              <w:spacing w:after="0"/>
              <w:rPr>
                <w:sz w:val="10"/>
                <w:szCs w:val="10"/>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5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0"/>
              </w:rPr>
              <w:t>Subsidiaries</w:t>
            </w:r>
          </w:p>
        </w:tc>
        <w:tc>
          <w:tcPr>
            <w:tcW w:w="15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2C2C2C"/>
                <w:w w:val="98"/>
              </w:rPr>
              <w:t>LLC (Note Issuer)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0"/>
                <w:szCs w:val="10"/>
                <w:b w:val="1"/>
                <w:bCs w:val="1"/>
                <w:color w:val="auto"/>
              </w:rPr>
              <w:t>(In millions)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4"/>
                <w:szCs w:val="14"/>
                <w:color w:val="auto"/>
              </w:rPr>
            </w:pPr>
          </w:p>
        </w:tc>
        <w:tc>
          <w:tcPr>
            <w:tcW w:w="280" w:type="dxa"/>
            <w:vAlign w:val="bottom"/>
          </w:tcPr>
          <w:p>
            <w:pPr>
              <w:jc w:val="right"/>
              <w:ind w:right="144"/>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529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1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 net of cash acquired</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Other</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6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Proceeds from the issuance of Class C units</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Payments of debt issuance costs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long-term debt — external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5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(174)</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(527)</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292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3696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229" w:lineRule="exact"/>
        <w:rPr>
          <w:sz w:val="20"/>
          <w:szCs w:val="20"/>
          <w:color w:val="auto"/>
        </w:rPr>
      </w:pPr>
    </w:p>
    <w:p>
      <w:pPr>
        <w:ind w:left="120" w:hanging="83"/>
        <w:spacing w:after="0"/>
        <w:tabs>
          <w:tab w:leader="none" w:pos="120" w:val="left"/>
        </w:tabs>
        <w:numPr>
          <w:ilvl w:val="0"/>
          <w:numId w:val="55"/>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460"/>
          </w:cols>
          <w:pgMar w:left="220" w:top="709" w:right="219" w:bottom="1440" w:gutter="0" w:footer="0" w:header="0"/>
        </w:sectPr>
      </w:pPr>
    </w:p>
    <w:bookmarkStart w:id="110" w:name="page111"/>
    <w:bookmarkEnd w:id="110"/>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2016</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16"/>
        </w:trPr>
        <w:tc>
          <w:tcPr>
            <w:tcW w:w="366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Other Guarantor</w:t>
            </w:r>
          </w:p>
        </w:tc>
        <w:tc>
          <w:tcPr>
            <w:tcW w:w="13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Non-Guarantor Subsidiaries</w:t>
            </w:r>
          </w:p>
        </w:tc>
        <w:tc>
          <w:tcPr>
            <w:tcW w:w="14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4"/>
              </w:rPr>
              <w:t>NRG Yield Operating LLC</w:t>
            </w:r>
          </w:p>
        </w:tc>
        <w:tc>
          <w:tcPr>
            <w:tcW w:w="200" w:type="dxa"/>
            <w:vAlign w:val="bottom"/>
          </w:tcPr>
          <w:p>
            <w:pPr>
              <w:spacing w:after="0"/>
              <w:rPr>
                <w:sz w:val="10"/>
                <w:szCs w:val="10"/>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200" w:type="dxa"/>
            <w:vAlign w:val="bottom"/>
          </w:tcPr>
          <w:p>
            <w:pPr>
              <w:spacing w:after="0"/>
              <w:rPr>
                <w:sz w:val="10"/>
                <w:szCs w:val="10"/>
                <w:color w:val="auto"/>
              </w:rPr>
            </w:pPr>
          </w:p>
        </w:tc>
        <w:tc>
          <w:tcPr>
            <w:tcW w:w="940" w:type="dxa"/>
            <w:vAlign w:val="bottom"/>
            <w:vMerge w:val="restart"/>
          </w:tcPr>
          <w:p>
            <w:pPr>
              <w:jc w:val="right"/>
              <w:ind w:right="236"/>
              <w:spacing w:after="0"/>
              <w:rPr>
                <w:sz w:val="20"/>
                <w:szCs w:val="20"/>
                <w:color w:val="auto"/>
              </w:rPr>
            </w:pPr>
            <w:r>
              <w:rPr>
                <w:rFonts w:ascii="Arial" w:cs="Arial" w:eastAsia="Arial" w:hAnsi="Arial"/>
                <w:sz w:val="10"/>
                <w:szCs w:val="10"/>
                <w:b w:val="1"/>
                <w:bCs w:val="1"/>
                <w:color w:val="auto"/>
                <w:w w:val="97"/>
              </w:rPr>
              <w:t>Consolidated</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3"/>
              </w:rPr>
              <w:t>Subsidiaries</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8"/>
                <w:szCs w:val="8"/>
                <w:b w:val="1"/>
                <w:bCs w:val="1"/>
                <w:color w:val="auto"/>
              </w:rPr>
              <w:t>(c)</w:t>
            </w: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20"/>
              <w:spacing w:after="0" w:line="127" w:lineRule="exact"/>
              <w:rPr>
                <w:sz w:val="20"/>
                <w:szCs w:val="20"/>
                <w:color w:val="auto"/>
              </w:rPr>
            </w:pPr>
            <w:r>
              <w:rPr>
                <w:rFonts w:ascii="Arial" w:cs="Arial" w:eastAsia="Arial" w:hAnsi="Arial"/>
                <w:sz w:val="9"/>
                <w:szCs w:val="9"/>
                <w:b w:val="1"/>
                <w:bCs w:val="1"/>
                <w:color w:val="auto"/>
                <w:w w:val="92"/>
              </w:rPr>
              <w:t xml:space="preserve">(Note Issuer) </w:t>
            </w:r>
            <w:r>
              <w:rPr>
                <w:rFonts w:ascii="Arial" w:cs="Arial" w:eastAsia="Arial" w:hAnsi="Arial"/>
                <w:sz w:val="14"/>
                <w:szCs w:val="14"/>
                <w:b w:val="1"/>
                <w:bCs w:val="1"/>
                <w:color w:val="auto"/>
                <w:w w:val="92"/>
                <w:vertAlign w:val="superscript"/>
              </w:rPr>
              <w:t>(c)</w:t>
            </w: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5"/>
          </w:tcPr>
          <w:p>
            <w:pPr>
              <w:ind w:left="86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Total operating revenues</w:t>
            </w:r>
          </w:p>
        </w:tc>
        <w:tc>
          <w:tcPr>
            <w:tcW w:w="420" w:type="dxa"/>
            <w:vAlign w:val="bottom"/>
          </w:tcPr>
          <w:p>
            <w:pPr>
              <w:jc w:val="right"/>
              <w:ind w:right="26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340" w:type="dxa"/>
            <w:vAlign w:val="bottom"/>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5"/>
                <w:szCs w:val="15"/>
                <w:color w:val="auto"/>
              </w:rPr>
            </w:pPr>
          </w:p>
        </w:tc>
        <w:tc>
          <w:tcPr>
            <w:tcW w:w="200" w:type="dxa"/>
            <w:vAlign w:val="bottom"/>
          </w:tcPr>
          <w:p>
            <w:pPr>
              <w:jc w:val="right"/>
              <w:ind w:right="41"/>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Equity in earnings (losses) of consolidated affiliates</w:t>
            </w:r>
          </w:p>
        </w:tc>
        <w:tc>
          <w:tcPr>
            <w:tcW w:w="42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Equity in earnings of unconsolidated affiliates</w:t>
            </w: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Other income, net</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expense</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4"/>
        </w:trPr>
        <w:tc>
          <w:tcPr>
            <w:tcW w:w="3660" w:type="dxa"/>
            <w:vAlign w:val="bottom"/>
          </w:tcPr>
          <w:p>
            <w:pPr>
              <w:ind w:left="260"/>
              <w:spacing w:after="0"/>
              <w:rPr>
                <w:sz w:val="20"/>
                <w:szCs w:val="20"/>
                <w:color w:val="auto"/>
              </w:rPr>
            </w:pPr>
            <w:r>
              <w:rPr>
                <w:rFonts w:ascii="Arial" w:cs="Arial" w:eastAsia="Arial" w:hAnsi="Arial"/>
                <w:sz w:val="13"/>
                <w:szCs w:val="13"/>
                <w:color w:val="auto"/>
              </w:rPr>
              <w:t>Total other income (expense)</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color w:val="auto"/>
              </w:rPr>
              <w:t>Less: Net loss attributable to noncontrolling interests</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6"/>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57"/>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57"/>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9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482"/>
          </w:cols>
          <w:pgMar w:left="218" w:top="709" w:right="199" w:bottom="1440" w:gutter="0" w:footer="0" w:header="0"/>
        </w:sectPr>
      </w:pPr>
    </w:p>
    <w:bookmarkStart w:id="111" w:name="page112"/>
    <w:bookmarkEnd w:id="111"/>
    <w:p>
      <w:pPr>
        <w:jc w:val="center"/>
        <w:ind w:right="-2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For the Year Ended December 31, 2016</w:t>
      </w:r>
    </w:p>
    <w:p>
      <w:pPr>
        <w:spacing w:after="0" w:line="200" w:lineRule="exact"/>
        <w:rPr>
          <w:sz w:val="20"/>
          <w:szCs w:val="20"/>
          <w:color w:val="auto"/>
        </w:rPr>
      </w:pP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Other Guarantor</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Non-Guarantor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NRG Yield Operating LLC</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2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Subsidiaries</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0"/>
                <w:szCs w:val="10"/>
                <w:b w:val="1"/>
                <w:bCs w:val="1"/>
                <w:color w:val="auto"/>
              </w:rPr>
              <w:t xml:space="preserve">Subsidiaries </w:t>
            </w:r>
            <w:r>
              <w:rPr>
                <w:rFonts w:ascii="Arial" w:cs="Arial" w:eastAsia="Arial" w:hAnsi="Arial"/>
                <w:sz w:val="16"/>
                <w:szCs w:val="16"/>
                <w:b w:val="1"/>
                <w:bCs w:val="1"/>
                <w:color w:val="auto"/>
                <w:vertAlign w:val="superscript"/>
              </w:rPr>
              <w:t>(c)</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8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00"/>
              <w:spacing w:after="0" w:line="138" w:lineRule="exact"/>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Consolidated</w:t>
            </w:r>
          </w:p>
        </w:tc>
      </w:tr>
      <w:tr>
        <w:trPr>
          <w:trHeight w:val="165"/>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1020" w:type="dxa"/>
            <w:vAlign w:val="bottom"/>
          </w:tcPr>
          <w:p>
            <w:pPr>
              <w:jc w:val="right"/>
              <w:ind w:right="883"/>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ind w:right="55"/>
              <w:spacing w:after="0"/>
              <w:rPr>
                <w:sz w:val="20"/>
                <w:szCs w:val="20"/>
                <w:color w:val="auto"/>
              </w:rPr>
            </w:pPr>
            <w:r>
              <w:rPr>
                <w:rFonts w:ascii="Arial" w:cs="Arial" w:eastAsia="Arial" w:hAnsi="Arial"/>
                <w:sz w:val="13"/>
                <w:szCs w:val="13"/>
                <w:color w:val="auto"/>
                <w:w w:val="82"/>
              </w:rPr>
              <w:t>22</w:t>
            </w:r>
          </w:p>
        </w:tc>
        <w:tc>
          <w:tcPr>
            <w:tcW w:w="120" w:type="dxa"/>
            <w:vAlign w:val="bottom"/>
          </w:tcPr>
          <w:p>
            <w:pPr>
              <w:spacing w:after="0"/>
              <w:rPr>
                <w:sz w:val="15"/>
                <w:szCs w:val="15"/>
                <w:color w:val="auto"/>
              </w:rPr>
            </w:pPr>
          </w:p>
        </w:tc>
        <w:tc>
          <w:tcPr>
            <w:tcW w:w="900" w:type="dxa"/>
            <w:vAlign w:val="bottom"/>
          </w:tcPr>
          <w:p>
            <w:pPr>
              <w:jc w:val="right"/>
              <w:ind w:right="763"/>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w w:val="82"/>
              </w:rPr>
              <w:t>54</w:t>
            </w:r>
          </w:p>
        </w:tc>
        <w:tc>
          <w:tcPr>
            <w:tcW w:w="100" w:type="dxa"/>
            <w:vAlign w:val="bottom"/>
          </w:tcPr>
          <w:p>
            <w:pPr>
              <w:spacing w:after="0"/>
              <w:rPr>
                <w:sz w:val="15"/>
                <w:szCs w:val="15"/>
                <w:color w:val="auto"/>
              </w:rPr>
            </w:pP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8"/>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15</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74"/>
        </w:trPr>
        <w:tc>
          <w:tcPr>
            <w:tcW w:w="3560" w:type="dxa"/>
            <w:vAlign w:val="bottom"/>
          </w:tcPr>
          <w:p>
            <w:pPr>
              <w:ind w:left="260"/>
              <w:spacing w:after="0"/>
              <w:rPr>
                <w:sz w:val="20"/>
                <w:szCs w:val="20"/>
                <w:color w:val="auto"/>
              </w:rPr>
            </w:pPr>
            <w:r>
              <w:rPr>
                <w:rFonts w:ascii="Arial" w:cs="Arial" w:eastAsia="Arial" w:hAnsi="Arial"/>
                <w:sz w:val="13"/>
                <w:szCs w:val="13"/>
                <w:color w:val="auto"/>
              </w:rPr>
              <w:t>Unrealized gain on derivatives</w:t>
            </w:r>
          </w:p>
        </w:tc>
        <w:tc>
          <w:tcPr>
            <w:tcW w:w="100" w:type="dxa"/>
            <w:vAlign w:val="bottom"/>
          </w:tcPr>
          <w:p>
            <w:pPr>
              <w:spacing w:after="0"/>
              <w:rPr>
                <w:sz w:val="15"/>
                <w:szCs w:val="15"/>
                <w:color w:val="auto"/>
              </w:rPr>
            </w:pP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w w:val="82"/>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13</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r>
      <w:tr>
        <w:trPr>
          <w:trHeight w:val="164"/>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23</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64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28</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Less: Comprehensive loss attributable to noncontrolling interests</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9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Attributable to NRG Yield LLC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23</w:t>
            </w: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65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8"/>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59"/>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59"/>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442"/>
          </w:cols>
          <w:pgMar w:left="218" w:top="709" w:right="239" w:bottom="1440" w:gutter="0" w:footer="0" w:header="0"/>
        </w:sectPr>
      </w:pPr>
    </w:p>
    <w:bookmarkStart w:id="112" w:name="page113"/>
    <w:bookmarkEnd w:id="112"/>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2016</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(a)(c)</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Other Guarantor</w:t>
            </w:r>
          </w:p>
        </w:tc>
        <w:tc>
          <w:tcPr>
            <w:tcW w:w="160" w:type="dxa"/>
            <w:vAlign w:val="bottom"/>
          </w:tcPr>
          <w:p>
            <w:pPr>
              <w:spacing w:after="0"/>
              <w:rPr>
                <w:sz w:val="10"/>
                <w:szCs w:val="10"/>
                <w:color w:val="auto"/>
              </w:rPr>
            </w:pPr>
          </w:p>
        </w:tc>
        <w:tc>
          <w:tcPr>
            <w:tcW w:w="1000" w:type="dxa"/>
            <w:vAlign w:val="bottom"/>
          </w:tcPr>
          <w:p>
            <w:pPr>
              <w:jc w:val="right"/>
              <w:ind w:right="183"/>
              <w:spacing w:after="0"/>
              <w:rPr>
                <w:sz w:val="20"/>
                <w:szCs w:val="20"/>
                <w:color w:val="auto"/>
              </w:rPr>
            </w:pPr>
            <w:r>
              <w:rPr>
                <w:rFonts w:ascii="Arial" w:cs="Arial" w:eastAsia="Arial" w:hAnsi="Arial"/>
                <w:sz w:val="10"/>
                <w:szCs w:val="10"/>
                <w:b w:val="1"/>
                <w:bCs w:val="1"/>
                <w:color w:val="auto"/>
              </w:rPr>
              <w:t>Non-Guarantor</w:t>
            </w:r>
          </w:p>
        </w:tc>
        <w:tc>
          <w:tcPr>
            <w:tcW w:w="12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Arial" w:cs="Arial" w:eastAsia="Arial" w:hAnsi="Arial"/>
                <w:sz w:val="10"/>
                <w:szCs w:val="10"/>
                <w:b w:val="1"/>
                <w:bCs w:val="1"/>
                <w:color w:val="auto"/>
              </w:rPr>
              <w:t>NRG Yield Operating LLC</w:t>
            </w:r>
          </w:p>
        </w:tc>
        <w:tc>
          <w:tcPr>
            <w:tcW w:w="220" w:type="dxa"/>
            <w:vAlign w:val="bottom"/>
          </w:tcPr>
          <w:p>
            <w:pPr>
              <w:spacing w:after="0"/>
              <w:rPr>
                <w:sz w:val="10"/>
                <w:szCs w:val="10"/>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(b)(c)</w:t>
            </w:r>
          </w:p>
        </w:tc>
        <w:tc>
          <w:tcPr>
            <w:tcW w:w="180" w:type="dxa"/>
            <w:vAlign w:val="bottom"/>
          </w:tcPr>
          <w:p>
            <w:pPr>
              <w:spacing w:after="0"/>
              <w:rPr>
                <w:sz w:val="10"/>
                <w:szCs w:val="10"/>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 xml:space="preserve">Subsidiaries </w:t>
            </w:r>
            <w:r>
              <w:rPr>
                <w:rFonts w:ascii="Arial" w:cs="Arial" w:eastAsia="Arial" w:hAnsi="Arial"/>
                <w:sz w:val="6"/>
                <w:szCs w:val="6"/>
                <w:b w:val="1"/>
                <w:bCs w:val="1"/>
                <w:color w:val="auto"/>
              </w:rPr>
              <w:t>(c)</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 xml:space="preserve">(Note Issuer) </w:t>
            </w:r>
            <w:r>
              <w:rPr>
                <w:rFonts w:ascii="Arial" w:cs="Arial" w:eastAsia="Arial" w:hAnsi="Arial"/>
                <w:sz w:val="6"/>
                <w:szCs w:val="6"/>
                <w:b w:val="1"/>
                <w:bCs w:val="1"/>
                <w:color w:val="auto"/>
              </w:rPr>
              <w:t>(c)</w:t>
            </w: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780" w:type="dxa"/>
            <w:vAlign w:val="bottom"/>
          </w:tcPr>
          <w:p>
            <w:pPr>
              <w:ind w:left="1620"/>
              <w:spacing w:after="0"/>
              <w:rPr>
                <w:sz w:val="20"/>
                <w:szCs w:val="20"/>
                <w:color w:val="auto"/>
              </w:rPr>
            </w:pPr>
            <w:r>
              <w:rPr>
                <w:rFonts w:ascii="Arial" w:cs="Arial" w:eastAsia="Arial" w:hAnsi="Arial"/>
                <w:sz w:val="12"/>
                <w:szCs w:val="12"/>
                <w:b w:val="1"/>
                <w:bCs w:val="1"/>
                <w:color w:val="auto"/>
              </w:rPr>
              <w:t>ASSETS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4"/>
          </w:tcPr>
          <w:p>
            <w:pPr>
              <w:ind w:left="100"/>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380" w:type="dxa"/>
            <w:vAlign w:val="bottom"/>
          </w:tcPr>
          <w:p>
            <w:pPr>
              <w:jc w:val="right"/>
              <w:ind w:right="24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110</w:t>
            </w:r>
          </w:p>
        </w:tc>
        <w:tc>
          <w:tcPr>
            <w:tcW w:w="3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0"/>
        </w:trPr>
        <w:tc>
          <w:tcPr>
            <w:tcW w:w="378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454</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5,495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5,554</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Investment in consolidated subsidiaries</w:t>
            </w:r>
          </w:p>
        </w:tc>
        <w:tc>
          <w:tcPr>
            <w:tcW w:w="38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3,272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 investments in affiliates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70"/>
        </w:trPr>
        <w:tc>
          <w:tcPr>
            <w:tcW w:w="378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1,247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0"/>
        </w:trPr>
        <w:tc>
          <w:tcPr>
            <w:tcW w:w="3780" w:type="dxa"/>
            <w:vAlign w:val="bottom"/>
          </w:tcPr>
          <w:p>
            <w:pPr>
              <w:ind w:left="260"/>
              <w:spacing w:after="0"/>
              <w:rPr>
                <w:sz w:val="20"/>
                <w:szCs w:val="20"/>
                <w:color w:val="auto"/>
              </w:rPr>
            </w:pPr>
            <w:r>
              <w:rPr>
                <w:rFonts w:ascii="Arial" w:cs="Arial" w:eastAsia="Arial" w:hAnsi="Arial"/>
                <w:sz w:val="12"/>
                <w:szCs w:val="12"/>
                <w:color w:val="auto"/>
              </w:rPr>
              <w:t>Total other assets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1,927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754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1,913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3,654</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2,522</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7,862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3,655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0"/>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1"/>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61"/>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7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482"/>
          </w:cols>
          <w:pgMar w:left="218" w:top="709" w:right="199" w:bottom="1440" w:gutter="0" w:footer="0" w:header="0"/>
        </w:sectPr>
      </w:pPr>
    </w:p>
    <w:bookmarkStart w:id="113" w:name="page114"/>
    <w:bookmarkEnd w:id="113"/>
    <w:p>
      <w:pPr>
        <w:ind w:left="460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ind w:left="416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(Continued)</w:t>
      </w:r>
    </w:p>
    <w:p>
      <w:pPr>
        <w:spacing w:after="0" w:line="72"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2016</w:t>
      </w:r>
    </w:p>
    <w:p>
      <w:pPr>
        <w:spacing w:after="0" w:line="271"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Other Guarantor</w:t>
            </w:r>
          </w:p>
        </w:tc>
        <w:tc>
          <w:tcPr>
            <w:tcW w:w="160" w:type="dxa"/>
            <w:vAlign w:val="bottom"/>
          </w:tcPr>
          <w:p>
            <w:pPr>
              <w:spacing w:after="0"/>
              <w:rPr>
                <w:sz w:val="10"/>
                <w:szCs w:val="10"/>
                <w:color w:val="auto"/>
              </w:rPr>
            </w:pPr>
          </w:p>
        </w:tc>
        <w:tc>
          <w:tcPr>
            <w:tcW w:w="1000" w:type="dxa"/>
            <w:vAlign w:val="bottom"/>
          </w:tcPr>
          <w:p>
            <w:pPr>
              <w:jc w:val="right"/>
              <w:ind w:right="203"/>
              <w:spacing w:after="0"/>
              <w:rPr>
                <w:sz w:val="20"/>
                <w:szCs w:val="20"/>
                <w:color w:val="auto"/>
              </w:rPr>
            </w:pPr>
            <w:r>
              <w:rPr>
                <w:rFonts w:ascii="Arial" w:cs="Arial" w:eastAsia="Arial" w:hAnsi="Arial"/>
                <w:sz w:val="10"/>
                <w:szCs w:val="10"/>
                <w:b w:val="1"/>
                <w:bCs w:val="1"/>
                <w:color w:val="auto"/>
              </w:rPr>
              <w:t>Non-Guarantor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NRG Yield Operating LLC</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8"/>
        </w:trPr>
        <w:tc>
          <w:tcPr>
            <w:tcW w:w="3780" w:type="dxa"/>
            <w:vAlign w:val="bottom"/>
          </w:tcPr>
          <w:p>
            <w:pPr>
              <w:spacing w:after="0"/>
              <w:rPr>
                <w:sz w:val="12"/>
                <w:szCs w:val="12"/>
                <w:color w:val="auto"/>
              </w:rPr>
            </w:pPr>
          </w:p>
        </w:tc>
        <w:tc>
          <w:tcPr>
            <w:tcW w:w="1160" w:type="dxa"/>
            <w:vAlign w:val="bottom"/>
            <w:tcBorders>
              <w:bottom w:val="single" w:sz="8" w:color="auto"/>
            </w:tcBorders>
            <w:gridSpan w:val="3"/>
          </w:tcPr>
          <w:p>
            <w:pPr>
              <w:ind w:left="8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Subsidiaries</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23"/>
              <w:spacing w:after="0" w:line="138" w:lineRule="exact"/>
              <w:rPr>
                <w:sz w:val="20"/>
                <w:szCs w:val="20"/>
                <w:color w:val="auto"/>
              </w:rPr>
            </w:pPr>
            <w:r>
              <w:rPr>
                <w:rFonts w:ascii="Arial" w:cs="Arial" w:eastAsia="Arial" w:hAnsi="Arial"/>
                <w:sz w:val="10"/>
                <w:szCs w:val="10"/>
                <w:b w:val="1"/>
                <w:bCs w:val="1"/>
                <w:color w:val="auto"/>
                <w:w w:val="92"/>
              </w:rPr>
              <w:t xml:space="preserve">Subsidiaries </w:t>
            </w:r>
            <w:r>
              <w:rPr>
                <w:rFonts w:ascii="Arial" w:cs="Arial" w:eastAsia="Arial" w:hAnsi="Arial"/>
                <w:sz w:val="16"/>
                <w:szCs w:val="16"/>
                <w:b w:val="1"/>
                <w:bCs w:val="1"/>
                <w:color w:val="auto"/>
                <w:w w:val="92"/>
                <w:vertAlign w:val="superscript"/>
              </w:rPr>
              <w:t>(c)</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24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20"/>
              <w:spacing w:after="0" w:line="138" w:lineRule="exact"/>
              <w:rPr>
                <w:sz w:val="20"/>
                <w:szCs w:val="20"/>
                <w:color w:val="auto"/>
              </w:rPr>
            </w:pPr>
            <w:r>
              <w:rPr>
                <w:rFonts w:ascii="Arial" w:cs="Arial" w:eastAsia="Arial" w:hAnsi="Arial"/>
                <w:sz w:val="10"/>
                <w:szCs w:val="10"/>
                <w:b w:val="1"/>
                <w:bCs w:val="1"/>
                <w:color w:val="auto"/>
              </w:rPr>
              <w:t xml:space="preserve">Eliminations </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Consolidated</w:t>
            </w:r>
          </w:p>
        </w:tc>
      </w:tr>
      <w:tr>
        <w:trPr>
          <w:trHeight w:val="17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LIABILITIES AND MEMBERS' EQUITY</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4"/>
          </w:tcPr>
          <w:p>
            <w:pPr>
              <w:ind w:left="1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Current portion of long-term debt — external</w:t>
            </w:r>
          </w:p>
        </w:tc>
        <w:tc>
          <w:tcPr>
            <w:tcW w:w="380" w:type="dxa"/>
            <w:vAlign w:val="bottom"/>
          </w:tcPr>
          <w:p>
            <w:pPr>
              <w:jc w:val="right"/>
              <w:ind w:right="245"/>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323</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323</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trade</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40</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85</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current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449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504</w:t>
            </w:r>
          </w:p>
        </w:tc>
      </w:tr>
      <w:tr>
        <w:trPr>
          <w:trHeight w:val="16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external</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4,289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839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5,128</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Long-term debt — affiliate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618</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affiliate</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Derivative instruments</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46</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77</w:t>
            </w:r>
          </w:p>
        </w:tc>
      </w:tr>
      <w:tr>
        <w:trPr>
          <w:trHeight w:val="150"/>
        </w:trPr>
        <w:tc>
          <w:tcPr>
            <w:tcW w:w="3780" w:type="dxa"/>
            <w:vAlign w:val="bottom"/>
          </w:tcPr>
          <w:p>
            <w:pPr>
              <w:ind w:left="200"/>
              <w:spacing w:after="0"/>
              <w:rPr>
                <w:sz w:val="20"/>
                <w:szCs w:val="20"/>
                <w:color w:val="auto"/>
              </w:rPr>
            </w:pPr>
            <w:r>
              <w:rPr>
                <w:rFonts w:ascii="Arial" w:cs="Arial" w:eastAsia="Arial" w:hAnsi="Arial"/>
                <w:sz w:val="12"/>
                <w:szCs w:val="12"/>
                <w:color w:val="auto"/>
              </w:rPr>
              <w:t>Total non-current liabilities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4,421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1,457</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5,878</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4,870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1,502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6,382</w:t>
            </w:r>
          </w:p>
        </w:tc>
      </w:tr>
      <w:tr>
        <w:trPr>
          <w:trHeight w:val="16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Members' Equity</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Contributed capital</w:t>
            </w:r>
          </w:p>
        </w:tc>
        <w:tc>
          <w:tcPr>
            <w:tcW w:w="38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2,179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874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2,972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2,155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(6,001)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2,179</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Retained earnings (accumulated deficit)</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23"/>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(85)</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r>
      <w:tr>
        <w:trPr>
          <w:trHeight w:val="15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807</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2,992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2,153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2,364</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7,862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3,655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141605</wp:posOffset>
            </wp:positionV>
            <wp:extent cx="138811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8110" cy="6350"/>
                    </a:xfrm>
                    <a:prstGeom prst="rect">
                      <a:avLst/>
                    </a:prstGeom>
                    <a:noFill/>
                  </pic:spPr>
                </pic:pic>
              </a:graphicData>
            </a:graphic>
          </wp:anchor>
        </w:drawing>
      </w:r>
    </w:p>
    <w:p>
      <w:pPr>
        <w:spacing w:after="0" w:line="239" w:lineRule="exact"/>
        <w:rPr>
          <w:sz w:val="20"/>
          <w:szCs w:val="20"/>
          <w:color w:val="auto"/>
        </w:rPr>
      </w:pPr>
    </w:p>
    <w:p>
      <w:pPr>
        <w:ind w:left="82" w:hanging="82"/>
        <w:spacing w:after="0"/>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spacing w:after="0" w:line="9" w:lineRule="exact"/>
        <w:rPr>
          <w:rFonts w:ascii="Arial" w:cs="Arial" w:eastAsia="Arial" w:hAnsi="Arial"/>
          <w:sz w:val="6"/>
          <w:szCs w:val="6"/>
          <w:color w:val="auto"/>
        </w:rPr>
      </w:pPr>
    </w:p>
    <w:p>
      <w:pPr>
        <w:ind w:left="82" w:hanging="82"/>
        <w:spacing w:after="0" w:line="223" w:lineRule="auto"/>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00" w:lineRule="exact"/>
        <w:rPr>
          <w:sz w:val="20"/>
          <w:szCs w:val="20"/>
          <w:color w:val="auto"/>
        </w:rPr>
      </w:pPr>
    </w:p>
    <w:p>
      <w:pPr>
        <w:spacing w:after="0" w:line="31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482"/>
          </w:cols>
          <w:pgMar w:left="218" w:top="816" w:right="199" w:bottom="1440" w:gutter="0" w:footer="0" w:header="0"/>
        </w:sectPr>
      </w:pPr>
    </w:p>
    <w:bookmarkStart w:id="114" w:name="page115"/>
    <w:bookmarkEnd w:id="114"/>
    <w:p>
      <w:pPr>
        <w:jc w:val="center"/>
        <w:ind w:right="-6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61"/>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ind w:right="-61"/>
        <w:spacing w:after="0"/>
        <w:rPr>
          <w:sz w:val="20"/>
          <w:szCs w:val="20"/>
          <w:color w:val="auto"/>
        </w:rPr>
      </w:pPr>
      <w:r>
        <w:rPr>
          <w:rFonts w:ascii="Arial" w:cs="Arial" w:eastAsia="Arial" w:hAnsi="Arial"/>
          <w:sz w:val="13"/>
          <w:szCs w:val="13"/>
          <w:b w:val="1"/>
          <w:bCs w:val="1"/>
          <w:color w:val="auto"/>
        </w:rPr>
        <w:t>For the Year Ended December 31, 2016</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Other Guarantor</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2C2C2C"/>
                <w:w w:val="92"/>
              </w:rPr>
              <w:t>NRG Yield Operating LLC</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50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gridSpan w:val="3"/>
          </w:tcPr>
          <w:p>
            <w:pPr>
              <w:ind w:left="6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(b)</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3"/>
              </w:rPr>
              <w:t>Subsidiaries</w:t>
            </w:r>
          </w:p>
        </w:tc>
        <w:tc>
          <w:tcPr>
            <w:tcW w:w="1500" w:type="dxa"/>
            <w:vAlign w:val="bottom"/>
            <w:tcBorders>
              <w:bottom w:val="single" w:sz="8" w:color="auto"/>
            </w:tcBorders>
            <w:gridSpan w:val="3"/>
          </w:tcPr>
          <w:p>
            <w:pPr>
              <w:ind w:left="40"/>
              <w:spacing w:after="0" w:line="138" w:lineRule="exact"/>
              <w:rPr>
                <w:sz w:val="20"/>
                <w:szCs w:val="20"/>
                <w:color w:val="auto"/>
              </w:rPr>
            </w:pPr>
            <w:r>
              <w:rPr>
                <w:rFonts w:ascii="Arial" w:cs="Arial" w:eastAsia="Arial" w:hAnsi="Arial"/>
                <w:sz w:val="10"/>
                <w:szCs w:val="10"/>
                <w:b w:val="1"/>
                <w:bCs w:val="1"/>
                <w:color w:val="auto"/>
                <w:w w:val="96"/>
              </w:rPr>
              <w:t xml:space="preserve">Non-Guarantor Subsidiaries </w:t>
            </w:r>
            <w:r>
              <w:rPr>
                <w:rFonts w:ascii="Arial" w:cs="Arial" w:eastAsia="Arial" w:hAnsi="Arial"/>
                <w:sz w:val="16"/>
                <w:szCs w:val="16"/>
                <w:b w:val="1"/>
                <w:bCs w:val="1"/>
                <w:color w:val="auto"/>
                <w:w w:val="96"/>
                <w:vertAlign w:val="superscript"/>
              </w:rPr>
              <w:t>(b)</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2C2C2C"/>
                <w:w w:val="85"/>
              </w:rPr>
              <w:t xml:space="preserve">(Note Issuer) </w:t>
            </w:r>
            <w:r>
              <w:rPr>
                <w:rFonts w:ascii="Arial" w:cs="Arial" w:eastAsia="Arial" w:hAnsi="Arial"/>
                <w:sz w:val="16"/>
                <w:szCs w:val="16"/>
                <w:b w:val="1"/>
                <w:bCs w:val="1"/>
                <w:color w:val="2C2C2C"/>
                <w:w w:val="85"/>
                <w:vertAlign w:val="superscript"/>
              </w:rPr>
              <w:t>(b)</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Consolidated</w:t>
            </w:r>
          </w:p>
        </w:tc>
      </w:tr>
      <w:tr>
        <w:trPr>
          <w:trHeight w:val="194"/>
        </w:trPr>
        <w:tc>
          <w:tcPr>
            <w:tcW w:w="5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400" w:type="dxa"/>
            <w:vAlign w:val="bottom"/>
          </w:tcPr>
          <w:p>
            <w:pPr>
              <w:jc w:val="right"/>
              <w:ind w:right="265"/>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4"/>
                <w:szCs w:val="14"/>
                <w:color w:val="auto"/>
              </w:rPr>
            </w:pPr>
          </w:p>
        </w:tc>
        <w:tc>
          <w:tcPr>
            <w:tcW w:w="560" w:type="dxa"/>
            <w:vAlign w:val="bottom"/>
          </w:tcPr>
          <w:p>
            <w:pPr>
              <w:jc w:val="right"/>
              <w:ind w:right="425"/>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4"/>
                <w:szCs w:val="14"/>
                <w:color w:val="auto"/>
              </w:rPr>
            </w:pPr>
          </w:p>
        </w:tc>
        <w:tc>
          <w:tcPr>
            <w:tcW w:w="180" w:type="dxa"/>
            <w:vAlign w:val="bottom"/>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577</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4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(20)</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28</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(83)</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4</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(369)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(131)</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(184)</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400" w:type="dxa"/>
            <w:vAlign w:val="bottom"/>
          </w:tcPr>
          <w:p>
            <w:pPr>
              <w:spacing w:after="0"/>
              <w:rPr>
                <w:sz w:val="14"/>
                <w:szCs w:val="14"/>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(173)</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for the revolving credit facility</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(366)</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issuance of long-term debt - external</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740</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of debt issuance costs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long-term debt — external</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(269)</w:t>
            </w: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(483)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408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(202)</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4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244</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4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253</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286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569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56995"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3"/>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64"/>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61"/>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402"/>
          </w:cols>
          <w:pgMar w:left="218" w:top="709" w:right="279" w:bottom="1440" w:gutter="0" w:footer="0" w:header="0"/>
        </w:sectPr>
      </w:pPr>
    </w:p>
    <w:bookmarkStart w:id="115" w:name="page116"/>
    <w:bookmarkEnd w:id="115"/>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16"/>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Other Guarantor</w:t>
            </w:r>
          </w:p>
        </w:tc>
        <w:tc>
          <w:tcPr>
            <w:tcW w:w="13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Non-Guarantor Subsidiaries</w:t>
            </w:r>
          </w:p>
        </w:tc>
        <w:tc>
          <w:tcPr>
            <w:tcW w:w="1400" w:type="dxa"/>
            <w:vAlign w:val="bottom"/>
            <w:gridSpan w:val="3"/>
          </w:tcPr>
          <w:p>
            <w:pPr>
              <w:ind w:left="80"/>
              <w:spacing w:after="0"/>
              <w:rPr>
                <w:sz w:val="20"/>
                <w:szCs w:val="20"/>
                <w:color w:val="auto"/>
              </w:rPr>
            </w:pPr>
            <w:r>
              <w:rPr>
                <w:rFonts w:ascii="Arial" w:cs="Arial" w:eastAsia="Arial" w:hAnsi="Arial"/>
                <w:sz w:val="10"/>
                <w:szCs w:val="10"/>
                <w:b w:val="1"/>
                <w:bCs w:val="1"/>
                <w:color w:val="auto"/>
              </w:rPr>
              <w:t>NRG Yield Operating LLC</w:t>
            </w:r>
          </w:p>
        </w:tc>
        <w:tc>
          <w:tcPr>
            <w:tcW w:w="200" w:type="dxa"/>
            <w:vAlign w:val="bottom"/>
          </w:tcPr>
          <w:p>
            <w:pPr>
              <w:spacing w:after="0"/>
              <w:rPr>
                <w:sz w:val="10"/>
                <w:szCs w:val="10"/>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200" w:type="dxa"/>
            <w:vAlign w:val="bottom"/>
          </w:tcPr>
          <w:p>
            <w:pPr>
              <w:spacing w:after="0"/>
              <w:rPr>
                <w:sz w:val="10"/>
                <w:szCs w:val="10"/>
                <w:color w:val="auto"/>
              </w:rPr>
            </w:pPr>
          </w:p>
        </w:tc>
        <w:tc>
          <w:tcPr>
            <w:tcW w:w="940" w:type="dxa"/>
            <w:vAlign w:val="bottom"/>
            <w:vMerge w:val="restart"/>
          </w:tcPr>
          <w:p>
            <w:pPr>
              <w:jc w:val="right"/>
              <w:ind w:right="236"/>
              <w:spacing w:after="0"/>
              <w:rPr>
                <w:sz w:val="20"/>
                <w:szCs w:val="20"/>
                <w:color w:val="auto"/>
              </w:rPr>
            </w:pPr>
            <w:r>
              <w:rPr>
                <w:rFonts w:ascii="Arial" w:cs="Arial" w:eastAsia="Arial" w:hAnsi="Arial"/>
                <w:sz w:val="10"/>
                <w:szCs w:val="10"/>
                <w:b w:val="1"/>
                <w:bCs w:val="1"/>
                <w:color w:val="auto"/>
                <w:w w:val="97"/>
              </w:rPr>
              <w:t>Consolidated</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Subsidiaries</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8"/>
                <w:szCs w:val="8"/>
                <w:b w:val="1"/>
                <w:bCs w:val="1"/>
                <w:color w:val="auto"/>
              </w:rPr>
              <w:t>(c)</w:t>
            </w:r>
          </w:p>
        </w:tc>
        <w:tc>
          <w:tcPr>
            <w:tcW w:w="9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9"/>
                <w:szCs w:val="9"/>
                <w:b w:val="1"/>
                <w:bCs w:val="1"/>
                <w:color w:val="auto"/>
              </w:rPr>
              <w:t xml:space="preserve">(Note Issuer) </w:t>
            </w:r>
            <w:r>
              <w:rPr>
                <w:rFonts w:ascii="Arial" w:cs="Arial" w:eastAsia="Arial" w:hAnsi="Arial"/>
                <w:sz w:val="14"/>
                <w:szCs w:val="14"/>
                <w:b w:val="1"/>
                <w:bCs w:val="1"/>
                <w:color w:val="auto"/>
                <w:vertAlign w:val="superscript"/>
              </w:rPr>
              <w:t>(c)</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525"/>
              <w:spacing w:after="0"/>
              <w:rPr>
                <w:sz w:val="20"/>
                <w:szCs w:val="20"/>
                <w:color w:val="auto"/>
              </w:rPr>
            </w:pPr>
            <w:r>
              <w:rPr>
                <w:rFonts w:ascii="Arial" w:cs="Arial" w:eastAsia="Arial" w:hAnsi="Arial"/>
                <w:sz w:val="10"/>
                <w:szCs w:val="10"/>
                <w:b w:val="1"/>
                <w:bCs w:val="1"/>
                <w:color w:val="auto"/>
              </w:rPr>
              <w:t>(In millions)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340" w:type="dxa"/>
            <w:vAlign w:val="bottom"/>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5"/>
                <w:szCs w:val="15"/>
                <w:color w:val="auto"/>
              </w:rPr>
            </w:pPr>
          </w:p>
        </w:tc>
        <w:tc>
          <w:tcPr>
            <w:tcW w:w="960" w:type="dxa"/>
            <w:vAlign w:val="bottom"/>
          </w:tcPr>
          <w:p>
            <w:pPr>
              <w:jc w:val="right"/>
              <w:ind w:right="805"/>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Equity in earnings (losses) of consolidated affiliates</w:t>
            </w: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125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Equity in (losses) earnings of unconsolidated affiliates</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Other income, net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Net loss attributable to noncontrolling interests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NRG Yield LLC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157</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65"/>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6"/>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102" w:hanging="102"/>
        <w:spacing w:after="0"/>
        <w:tabs>
          <w:tab w:leader="none" w:pos="102" w:val="left"/>
        </w:tabs>
        <w:numPr>
          <w:ilvl w:val="0"/>
          <w:numId w:val="66"/>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482"/>
          </w:cols>
          <w:pgMar w:left="218" w:top="709" w:right="199" w:bottom="1440" w:gutter="0" w:footer="0" w:header="0"/>
        </w:sectPr>
      </w:pPr>
    </w:p>
    <w:bookmarkStart w:id="116" w:name="page117"/>
    <w:bookmarkEnd w:id="116"/>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0" w:lineRule="exact"/>
        <w:rPr>
          <w:sz w:val="20"/>
          <w:szCs w:val="20"/>
          <w:color w:val="auto"/>
        </w:rPr>
      </w:pP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Other Guarantor</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NRG Yield Operating LLC</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8"/>
        </w:trPr>
        <w:tc>
          <w:tcPr>
            <w:tcW w:w="3560" w:type="dxa"/>
            <w:vAlign w:val="bottom"/>
          </w:tcPr>
          <w:p>
            <w:pPr>
              <w:spacing w:after="0"/>
              <w:rPr>
                <w:sz w:val="12"/>
                <w:szCs w:val="12"/>
                <w:color w:val="auto"/>
              </w:rPr>
            </w:pPr>
          </w:p>
        </w:tc>
        <w:tc>
          <w:tcPr>
            <w:tcW w:w="1180" w:type="dxa"/>
            <w:vAlign w:val="bottom"/>
            <w:tcBorders>
              <w:bottom w:val="single" w:sz="8" w:color="auto"/>
            </w:tcBorders>
            <w:gridSpan w:val="3"/>
          </w:tcPr>
          <w:p>
            <w:pPr>
              <w:ind w:left="8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3"/>
              </w:rPr>
              <w:t>Subsidiaries</w:t>
            </w: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line="138" w:lineRule="exact"/>
              <w:rPr>
                <w:sz w:val="20"/>
                <w:szCs w:val="20"/>
                <w:color w:val="auto"/>
              </w:rPr>
            </w:pPr>
            <w:r>
              <w:rPr>
                <w:rFonts w:ascii="Arial" w:cs="Arial" w:eastAsia="Arial" w:hAnsi="Arial"/>
                <w:sz w:val="10"/>
                <w:szCs w:val="10"/>
                <w:b w:val="1"/>
                <w:bCs w:val="1"/>
                <w:color w:val="auto"/>
                <w:w w:val="99"/>
              </w:rPr>
              <w:t xml:space="preserve">Non-Guarantor Subsidiaries </w:t>
            </w:r>
            <w:r>
              <w:rPr>
                <w:rFonts w:ascii="Arial" w:cs="Arial" w:eastAsia="Arial" w:hAnsi="Arial"/>
                <w:sz w:val="16"/>
                <w:szCs w:val="16"/>
                <w:b w:val="1"/>
                <w:bCs w:val="1"/>
                <w:color w:val="auto"/>
                <w:w w:val="99"/>
                <w:vertAlign w:val="superscript"/>
              </w:rPr>
              <w:t>(c)</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00"/>
              <w:spacing w:after="0" w:line="138" w:lineRule="exact"/>
              <w:rPr>
                <w:sz w:val="20"/>
                <w:szCs w:val="20"/>
                <w:color w:val="auto"/>
              </w:rPr>
            </w:pPr>
            <w:r>
              <w:rPr>
                <w:rFonts w:ascii="Arial" w:cs="Arial" w:eastAsia="Arial" w:hAnsi="Arial"/>
                <w:sz w:val="10"/>
                <w:szCs w:val="10"/>
                <w:b w:val="1"/>
                <w:bCs w:val="1"/>
                <w:color w:val="auto"/>
              </w:rPr>
              <w:t xml:space="preserve">Eliminations </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Consolidated</w:t>
            </w:r>
          </w:p>
        </w:tc>
      </w:tr>
      <w:tr>
        <w:trPr>
          <w:trHeight w:val="165"/>
        </w:trPr>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5"/>
          </w:tcPr>
          <w:p>
            <w:pPr>
              <w:jc w:val="center"/>
              <w:ind w:left="199"/>
              <w:spacing w:after="0"/>
              <w:rPr>
                <w:sz w:val="20"/>
                <w:szCs w:val="20"/>
                <w:color w:val="auto"/>
              </w:rPr>
            </w:pPr>
            <w:r>
              <w:rPr>
                <w:rFonts w:ascii="Arial" w:cs="Arial" w:eastAsia="Arial" w:hAnsi="Arial"/>
                <w:sz w:val="10"/>
                <w:szCs w:val="10"/>
                <w:b w:val="1"/>
                <w:bCs w:val="1"/>
                <w:color w:val="auto"/>
                <w:w w:val="96"/>
              </w:rPr>
              <w:t>(In millions)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400" w:type="dxa"/>
            <w:vAlign w:val="bottom"/>
          </w:tcPr>
          <w:p>
            <w:pPr>
              <w:jc w:val="right"/>
              <w:ind w:right="261"/>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5"/>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79"/>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5"/>
                <w:szCs w:val="15"/>
                <w:color w:val="auto"/>
              </w:rPr>
            </w:pPr>
          </w:p>
        </w:tc>
        <w:tc>
          <w:tcPr>
            <w:tcW w:w="200" w:type="dxa"/>
            <w:vAlign w:val="bottom"/>
          </w:tcPr>
          <w:p>
            <w:pPr>
              <w:jc w:val="center"/>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95</w:t>
            </w: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4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4"/>
        </w:trPr>
        <w:tc>
          <w:tcPr>
            <w:tcW w:w="3560" w:type="dxa"/>
            <w:vAlign w:val="bottom"/>
          </w:tcPr>
          <w:p>
            <w:pPr>
              <w:ind w:left="260"/>
              <w:spacing w:after="0"/>
              <w:rPr>
                <w:sz w:val="20"/>
                <w:szCs w:val="20"/>
                <w:color w:val="auto"/>
              </w:rPr>
            </w:pPr>
            <w:r>
              <w:rPr>
                <w:rFonts w:ascii="Arial" w:cs="Arial" w:eastAsia="Arial" w:hAnsi="Arial"/>
                <w:sz w:val="13"/>
                <w:szCs w:val="13"/>
                <w:color w:val="auto"/>
              </w:rPr>
              <w:t>Unrealized loss on derivatives</w:t>
            </w:r>
          </w:p>
        </w:tc>
        <w:tc>
          <w:tcPr>
            <w:tcW w:w="40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0" w:type="dxa"/>
            <w:vAlign w:val="bottom"/>
          </w:tcPr>
          <w:p>
            <w:pPr>
              <w:jc w:val="right"/>
              <w:ind w:right="39"/>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(17)</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loss</w:t>
            </w:r>
          </w:p>
        </w:tc>
        <w:tc>
          <w:tcPr>
            <w:tcW w:w="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r>
      <w:tr>
        <w:trPr>
          <w:trHeight w:val="164"/>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(Loss)</w:t>
            </w:r>
          </w:p>
        </w:tc>
        <w:tc>
          <w:tcPr>
            <w:tcW w:w="4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78</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Less: Comprehensive loss attributable to noncontrolling interests</w:t>
            </w: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(63)</w:t>
            </w:r>
          </w:p>
        </w:tc>
      </w:tr>
      <w:tr>
        <w:trPr>
          <w:trHeight w:val="19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w w:val="93"/>
              </w:rPr>
              <w:t>Comprehensive Income (Loss) Attributable to NRG Yield LLC</w:t>
            </w:r>
          </w:p>
        </w:tc>
        <w:tc>
          <w:tcPr>
            <w:tcW w:w="4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67"/>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8"/>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102" w:hanging="102"/>
        <w:spacing w:after="0"/>
        <w:tabs>
          <w:tab w:leader="none" w:pos="102" w:val="left"/>
        </w:tabs>
        <w:numPr>
          <w:ilvl w:val="0"/>
          <w:numId w:val="68"/>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482"/>
          </w:cols>
          <w:pgMar w:left="218" w:top="709" w:right="199" w:bottom="1440" w:gutter="0" w:footer="0" w:header="0"/>
        </w:sectPr>
      </w:pPr>
    </w:p>
    <w:bookmarkStart w:id="117" w:name="page118"/>
    <w:bookmarkEnd w:id="117"/>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0" w:lineRule="exact"/>
        <w:rPr>
          <w:sz w:val="20"/>
          <w:szCs w:val="20"/>
          <w:color w:val="auto"/>
        </w:rPr>
      </w:pP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Other Guarantor</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2C2C2C"/>
                <w:w w:val="94"/>
              </w:rPr>
              <w:t>NRG Yield Operating LLC</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8"/>
        </w:trPr>
        <w:tc>
          <w:tcPr>
            <w:tcW w:w="5020" w:type="dxa"/>
            <w:vAlign w:val="bottom"/>
          </w:tcPr>
          <w:p>
            <w:pPr>
              <w:spacing w:after="0"/>
              <w:rPr>
                <w:sz w:val="12"/>
                <w:szCs w:val="12"/>
                <w:color w:val="auto"/>
              </w:rPr>
            </w:pPr>
          </w:p>
        </w:tc>
        <w:tc>
          <w:tcPr>
            <w:tcW w:w="1120" w:type="dxa"/>
            <w:vAlign w:val="bottom"/>
            <w:tcBorders>
              <w:bottom w:val="single" w:sz="8" w:color="auto"/>
            </w:tcBorders>
            <w:gridSpan w:val="3"/>
          </w:tcPr>
          <w:p>
            <w:pPr>
              <w:ind w:left="6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(b)</w:t>
            </w: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rPr>
              <w:t>Subsidiaries</w:t>
            </w:r>
          </w:p>
        </w:tc>
        <w:tc>
          <w:tcPr>
            <w:tcW w:w="1460" w:type="dxa"/>
            <w:vAlign w:val="bottom"/>
            <w:tcBorders>
              <w:bottom w:val="single" w:sz="8" w:color="auto"/>
            </w:tcBorders>
            <w:gridSpan w:val="3"/>
          </w:tcPr>
          <w:p>
            <w:pPr>
              <w:ind w:left="20"/>
              <w:spacing w:after="0" w:line="138" w:lineRule="exact"/>
              <w:rPr>
                <w:sz w:val="20"/>
                <w:szCs w:val="20"/>
                <w:color w:val="auto"/>
              </w:rPr>
            </w:pPr>
            <w:r>
              <w:rPr>
                <w:rFonts w:ascii="Arial" w:cs="Arial" w:eastAsia="Arial" w:hAnsi="Arial"/>
                <w:sz w:val="10"/>
                <w:szCs w:val="10"/>
                <w:b w:val="1"/>
                <w:bCs w:val="1"/>
                <w:color w:val="auto"/>
                <w:w w:val="94"/>
              </w:rPr>
              <w:t xml:space="preserve">Non-Guarantor Subsidiaries </w:t>
            </w:r>
            <w:r>
              <w:rPr>
                <w:rFonts w:ascii="Arial" w:cs="Arial" w:eastAsia="Arial" w:hAnsi="Arial"/>
                <w:sz w:val="16"/>
                <w:szCs w:val="16"/>
                <w:b w:val="1"/>
                <w:bCs w:val="1"/>
                <w:color w:val="auto"/>
                <w:w w:val="94"/>
                <w:vertAlign w:val="superscript"/>
              </w:rPr>
              <w:t>(b)</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2C2C2C"/>
                <w:w w:val="85"/>
              </w:rPr>
              <w:t xml:space="preserve">(Note Issuer) </w:t>
            </w:r>
            <w:r>
              <w:rPr>
                <w:rFonts w:ascii="Arial" w:cs="Arial" w:eastAsia="Arial" w:hAnsi="Arial"/>
                <w:sz w:val="16"/>
                <w:szCs w:val="16"/>
                <w:b w:val="1"/>
                <w:bCs w:val="1"/>
                <w:color w:val="2C2C2C"/>
                <w:w w:val="85"/>
                <w:vertAlign w:val="superscript"/>
              </w:rPr>
              <w:t>(b)</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Consolidated</w:t>
            </w:r>
          </w:p>
        </w:tc>
      </w:tr>
      <w:tr>
        <w:trPr>
          <w:trHeight w:val="170"/>
        </w:trPr>
        <w:tc>
          <w:tcPr>
            <w:tcW w:w="5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40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424</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(37)</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 net of cash acquired</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(29)</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42</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  —</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(402)</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Investing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(1,098)</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122</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(79)</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the issuance of Class C units</w:t>
            </w:r>
          </w:p>
        </w:tc>
        <w:tc>
          <w:tcPr>
            <w:tcW w:w="40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599</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(392)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(139)</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551</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the revolving credit facility</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(245)</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issuance of long-term debt — external</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 — affiliate</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281</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for long-term debt — external</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(735)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 of debt issuance costs</w:t>
            </w: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(712)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906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354</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4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(313)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(320)</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40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245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573</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238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6969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9"/>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70"/>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462"/>
          </w:cols>
          <w:pgMar w:left="218" w:top="709" w:right="2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gridSpan w:val="10"/>
          </w:tcPr>
          <w:p>
            <w:pPr>
              <w:ind w:left="2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307"/>
        </w:trPr>
        <w:tc>
          <w:tcPr>
            <w:tcW w:w="104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5880" w:type="dxa"/>
            <w:vAlign w:val="bottom"/>
            <w:gridSpan w:val="20"/>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1040" w:type="dxa"/>
            <w:vAlign w:val="bottom"/>
          </w:tcPr>
          <w:p>
            <w:pPr>
              <w:spacing w:after="0"/>
              <w:rPr>
                <w:sz w:val="20"/>
                <w:szCs w:val="20"/>
                <w:color w:val="auto"/>
              </w:rPr>
            </w:pPr>
            <w:r>
              <w:rPr>
                <w:rFonts w:ascii="Arial" w:cs="Arial" w:eastAsia="Arial" w:hAnsi="Arial"/>
                <w:sz w:val="12"/>
                <w:szCs w:val="12"/>
                <w:color w:val="auto"/>
              </w:rPr>
              <w:t>2.1</w:t>
            </w:r>
          </w:p>
        </w:tc>
        <w:tc>
          <w:tcPr>
            <w:tcW w:w="5740" w:type="dxa"/>
            <w:vAlign w:val="bottom"/>
            <w:tcBorders>
              <w:bottom w:val="single" w:sz="8" w:color="0000FF"/>
            </w:tcBorders>
            <w:gridSpan w:val="17"/>
          </w:tcPr>
          <w:p>
            <w:pPr>
              <w:spacing w:after="0"/>
              <w:rPr>
                <w:rFonts w:ascii="Arial" w:cs="Arial" w:eastAsia="Arial" w:hAnsi="Arial"/>
                <w:sz w:val="12"/>
                <w:szCs w:val="12"/>
                <w:color w:val="0000FF"/>
                <w:w w:val="87"/>
              </w:rPr>
            </w:pPr>
            <w:hyperlink r:id="rId70">
              <w:r>
                <w:rPr>
                  <w:rFonts w:ascii="Arial" w:cs="Arial" w:eastAsia="Arial" w:hAnsi="Arial"/>
                  <w:sz w:val="12"/>
                  <w:szCs w:val="12"/>
                  <w:color w:val="0000FF"/>
                  <w:w w:val="87"/>
                </w:rPr>
                <w:t>Purchase and Sale Agreement, dated as of May 5, 2014, by and between NRG Gas Development Company, LLC and NRG</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0">
              <w:r>
                <w:rPr>
                  <w:rFonts w:ascii="Arial" w:cs="Arial" w:eastAsia="Arial" w:hAnsi="Arial"/>
                  <w:sz w:val="12"/>
                  <w:szCs w:val="12"/>
                  <w:color w:val="0000FF"/>
                </w:rPr>
                <w:t>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2.2</w:t>
            </w:r>
          </w:p>
        </w:tc>
        <w:tc>
          <w:tcPr>
            <w:tcW w:w="5880" w:type="dxa"/>
            <w:vAlign w:val="bottom"/>
            <w:tcBorders>
              <w:bottom w:val="single" w:sz="8" w:color="0000FF"/>
            </w:tcBorders>
            <w:gridSpan w:val="20"/>
          </w:tcPr>
          <w:p>
            <w:pPr>
              <w:spacing w:after="0"/>
              <w:rPr>
                <w:rFonts w:ascii="Arial" w:cs="Arial" w:eastAsia="Arial" w:hAnsi="Arial"/>
                <w:sz w:val="12"/>
                <w:szCs w:val="12"/>
                <w:color w:val="0000FF"/>
                <w:w w:val="88"/>
              </w:rPr>
            </w:pPr>
            <w:hyperlink r:id="rId71">
              <w:r>
                <w:rPr>
                  <w:rFonts w:ascii="Arial" w:cs="Arial" w:eastAsia="Arial" w:hAnsi="Arial"/>
                  <w:sz w:val="12"/>
                  <w:szCs w:val="12"/>
                  <w:color w:val="0000FF"/>
                  <w:w w:val="88"/>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2.3</w:t>
            </w:r>
          </w:p>
        </w:tc>
        <w:tc>
          <w:tcPr>
            <w:tcW w:w="5880" w:type="dxa"/>
            <w:vAlign w:val="bottom"/>
            <w:tcBorders>
              <w:bottom w:val="single" w:sz="8" w:color="0000FF"/>
            </w:tcBorders>
            <w:gridSpan w:val="20"/>
          </w:tcPr>
          <w:p>
            <w:pPr>
              <w:spacing w:after="0"/>
              <w:rPr>
                <w:rFonts w:ascii="Arial" w:cs="Arial" w:eastAsia="Arial" w:hAnsi="Arial"/>
                <w:sz w:val="12"/>
                <w:szCs w:val="12"/>
                <w:color w:val="0000FF"/>
                <w:w w:val="88"/>
              </w:rPr>
            </w:pPr>
            <w:hyperlink r:id="rId72">
              <w:r>
                <w:rPr>
                  <w:rFonts w:ascii="Arial" w:cs="Arial" w:eastAsia="Arial" w:hAnsi="Arial"/>
                  <w:sz w:val="12"/>
                  <w:szCs w:val="12"/>
                  <w:color w:val="0000FF"/>
                  <w:w w:val="88"/>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2.4</w:t>
            </w:r>
          </w:p>
        </w:tc>
        <w:tc>
          <w:tcPr>
            <w:tcW w:w="5720" w:type="dxa"/>
            <w:vAlign w:val="bottom"/>
            <w:tcBorders>
              <w:bottom w:val="single" w:sz="8" w:color="0000FF"/>
            </w:tcBorders>
            <w:gridSpan w:val="16"/>
          </w:tcPr>
          <w:p>
            <w:pPr>
              <w:spacing w:after="0"/>
              <w:rPr>
                <w:rFonts w:ascii="Arial" w:cs="Arial" w:eastAsia="Arial" w:hAnsi="Arial"/>
                <w:sz w:val="12"/>
                <w:szCs w:val="12"/>
                <w:color w:val="0000FF"/>
                <w:w w:val="87"/>
              </w:rPr>
            </w:pPr>
            <w:hyperlink r:id="rId73">
              <w:r>
                <w:rPr>
                  <w:rFonts w:ascii="Arial" w:cs="Arial" w:eastAsia="Arial" w:hAnsi="Arial"/>
                  <w:sz w:val="12"/>
                  <w:szCs w:val="12"/>
                  <w:color w:val="0000FF"/>
                  <w:w w:val="87"/>
                </w:rPr>
                <w:t>Purchase and Sale Agreement, dated June 3, 2014, by and among NRG Yield, Inc., NRG Yield Operating LLC, Terra-Gen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0" w:type="dxa"/>
            <w:vAlign w:val="bottom"/>
            <w:tcBorders>
              <w:bottom w:val="single" w:sz="8" w:color="0000FF"/>
            </w:tcBorders>
            <w:gridSpan w:val="18"/>
          </w:tcPr>
          <w:p>
            <w:pPr>
              <w:spacing w:after="0" w:line="126" w:lineRule="exact"/>
              <w:rPr>
                <w:rFonts w:ascii="Arial" w:cs="Arial" w:eastAsia="Arial" w:hAnsi="Arial"/>
                <w:sz w:val="12"/>
                <w:szCs w:val="12"/>
                <w:color w:val="0000FF"/>
                <w:w w:val="91"/>
              </w:rPr>
            </w:pPr>
            <w:hyperlink r:id="rId73">
              <w:r>
                <w:rPr>
                  <w:rFonts w:ascii="Arial" w:cs="Arial" w:eastAsia="Arial" w:hAnsi="Arial"/>
                  <w:sz w:val="12"/>
                  <w:szCs w:val="12"/>
                  <w:color w:val="0000FF"/>
                  <w:w w:val="91"/>
                </w:rPr>
                <w:t>Finance Company, LLC, NTD AWAM Holdings, LLC, CHIPS Alta Wind X Holding Company, LLC and CHIPS Alta Wind</w:t>
              </w:r>
            </w:hyperlink>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20" w:type="dxa"/>
            <w:vAlign w:val="bottom"/>
            <w:tcBorders>
              <w:bottom w:val="single" w:sz="8" w:color="0000FF"/>
            </w:tcBorders>
            <w:gridSpan w:val="6"/>
          </w:tcPr>
          <w:p>
            <w:pPr>
              <w:spacing w:after="0" w:line="126" w:lineRule="exact"/>
              <w:rPr>
                <w:rFonts w:ascii="Arial" w:cs="Arial" w:eastAsia="Arial" w:hAnsi="Arial"/>
                <w:sz w:val="12"/>
                <w:szCs w:val="12"/>
                <w:color w:val="0000FF"/>
                <w:w w:val="91"/>
              </w:rPr>
            </w:pPr>
            <w:hyperlink r:id="rId73">
              <w:r>
                <w:rPr>
                  <w:rFonts w:ascii="Arial" w:cs="Arial" w:eastAsia="Arial" w:hAnsi="Arial"/>
                  <w:sz w:val="12"/>
                  <w:szCs w:val="12"/>
                  <w:color w:val="0000FF"/>
                  <w:w w:val="91"/>
                </w:rPr>
                <w:t>XI Holding Company, LLC.</w:t>
              </w:r>
            </w:hyperlink>
          </w:p>
        </w:tc>
        <w:tc>
          <w:tcPr>
            <w:tcW w:w="45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2.5</w:t>
            </w:r>
          </w:p>
        </w:tc>
        <w:tc>
          <w:tcPr>
            <w:tcW w:w="5720" w:type="dxa"/>
            <w:vAlign w:val="bottom"/>
            <w:tcBorders>
              <w:bottom w:val="single" w:sz="8" w:color="0000FF"/>
            </w:tcBorders>
            <w:gridSpan w:val="16"/>
          </w:tcPr>
          <w:p>
            <w:pPr>
              <w:spacing w:after="0"/>
              <w:rPr>
                <w:rFonts w:ascii="Arial" w:cs="Arial" w:eastAsia="Arial" w:hAnsi="Arial"/>
                <w:sz w:val="12"/>
                <w:szCs w:val="12"/>
                <w:color w:val="0000FF"/>
                <w:w w:val="87"/>
              </w:rPr>
            </w:pPr>
            <w:hyperlink r:id="rId74">
              <w:r>
                <w:rPr>
                  <w:rFonts w:ascii="Arial" w:cs="Arial" w:eastAsia="Arial" w:hAnsi="Arial"/>
                  <w:sz w:val="12"/>
                  <w:szCs w:val="12"/>
                  <w:color w:val="0000FF"/>
                  <w:w w:val="87"/>
                </w:rPr>
                <w:t>Purchase and Sale Agreement, dated as of November 4, 2014, by and between NRG Wind LLC and NRG Yield Operating</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4">
              <w:r>
                <w:rPr>
                  <w:rFonts w:ascii="Arial" w:cs="Arial" w:eastAsia="Arial" w:hAnsi="Arial"/>
                  <w:sz w:val="12"/>
                  <w:szCs w:val="12"/>
                  <w:color w:val="0000FF"/>
                </w:rPr>
                <w:t>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2.6</w:t>
            </w:r>
          </w:p>
        </w:tc>
        <w:tc>
          <w:tcPr>
            <w:tcW w:w="5880" w:type="dxa"/>
            <w:vAlign w:val="bottom"/>
            <w:gridSpan w:val="20"/>
          </w:tcPr>
          <w:p>
            <w:pPr>
              <w:spacing w:after="0"/>
              <w:rPr>
                <w:rFonts w:ascii="Arial" w:cs="Arial" w:eastAsia="Arial" w:hAnsi="Arial"/>
                <w:sz w:val="12"/>
                <w:szCs w:val="12"/>
                <w:color w:val="0000FF"/>
                <w:w w:val="90"/>
              </w:rPr>
            </w:pPr>
            <w:hyperlink r:id="rId75">
              <w:r>
                <w:rPr>
                  <w:rFonts w:ascii="Arial" w:cs="Arial" w:eastAsia="Arial" w:hAnsi="Arial"/>
                  <w:sz w:val="12"/>
                  <w:szCs w:val="12"/>
                  <w:color w:val="0000FF"/>
                  <w:w w:val="90"/>
                </w:rPr>
                <w:t>Purchase and Sale Agreement, dated as of November 4, 2014, by and between NRG Arroyo Nogales LLC and NRG Yield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00" w:type="dxa"/>
            <w:vAlign w:val="bottom"/>
            <w:tcBorders>
              <w:top w:val="single" w:sz="8" w:color="0000FF"/>
            </w:tcBorders>
            <w:gridSpan w:val="15"/>
          </w:tcPr>
          <w:p>
            <w:pPr>
              <w:spacing w:after="0" w:line="126" w:lineRule="exact"/>
              <w:rPr>
                <w:rFonts w:ascii="Arial" w:cs="Arial" w:eastAsia="Arial" w:hAnsi="Arial"/>
                <w:sz w:val="12"/>
                <w:szCs w:val="12"/>
                <w:color w:val="0000FF"/>
              </w:rPr>
            </w:pPr>
            <w:hyperlink r:id="rId75">
              <w:r>
                <w:rPr>
                  <w:rFonts w:ascii="Arial" w:cs="Arial" w:eastAsia="Arial" w:hAnsi="Arial"/>
                  <w:sz w:val="12"/>
                  <w:szCs w:val="12"/>
                  <w:color w:val="0000FF"/>
                </w:rPr>
                <w:t>Operating LLC.</w:t>
              </w:r>
            </w:hyperlink>
          </w:p>
        </w:tc>
        <w:tc>
          <w:tcPr>
            <w:tcW w:w="1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2.7*^</w:t>
            </w:r>
          </w:p>
        </w:tc>
        <w:tc>
          <w:tcPr>
            <w:tcW w:w="5880" w:type="dxa"/>
            <w:vAlign w:val="bottom"/>
            <w:gridSpan w:val="20"/>
          </w:tcPr>
          <w:p>
            <w:pPr>
              <w:spacing w:after="0"/>
              <w:rPr>
                <w:rFonts w:ascii="Arial" w:cs="Arial" w:eastAsia="Arial" w:hAnsi="Arial"/>
                <w:sz w:val="12"/>
                <w:szCs w:val="12"/>
                <w:color w:val="0000FF"/>
                <w:w w:val="89"/>
              </w:rPr>
            </w:pPr>
            <w:hyperlink r:id="rId76">
              <w:r>
                <w:rPr>
                  <w:rFonts w:ascii="Arial" w:cs="Arial" w:eastAsia="Arial" w:hAnsi="Arial"/>
                  <w:sz w:val="12"/>
                  <w:szCs w:val="12"/>
                  <w:color w:val="0000FF"/>
                  <w:w w:val="89"/>
                </w:rPr>
                <w:t>Purchase and Sale Agreement, dated as of June 17, 2015, by and between EFS Desert Sun, LLC and NRG Yield Operating</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20" w:type="dxa"/>
            <w:vAlign w:val="bottom"/>
            <w:tcBorders>
              <w:top w:val="single" w:sz="8" w:color="0000FF"/>
            </w:tcBorders>
            <w:gridSpan w:val="16"/>
          </w:tcPr>
          <w:p>
            <w:pPr>
              <w:spacing w:after="0" w:line="126" w:lineRule="exact"/>
              <w:rPr>
                <w:rFonts w:ascii="Arial" w:cs="Arial" w:eastAsia="Arial" w:hAnsi="Arial"/>
                <w:sz w:val="12"/>
                <w:szCs w:val="12"/>
                <w:color w:val="0000FF"/>
              </w:rPr>
            </w:pPr>
            <w:hyperlink r:id="rId76">
              <w:r>
                <w:rPr>
                  <w:rFonts w:ascii="Arial" w:cs="Arial" w:eastAsia="Arial" w:hAnsi="Arial"/>
                  <w:sz w:val="12"/>
                  <w:szCs w:val="12"/>
                  <w:color w:val="0000FF"/>
                </w:rPr>
                <w:t>LLC.</w:t>
              </w:r>
            </w:hyperlink>
          </w:p>
        </w:tc>
        <w:tc>
          <w:tcPr>
            <w:tcW w:w="1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2.8</w:t>
            </w: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vMerge w:val="continue"/>
          </w:tcPr>
          <w:p>
            <w:pPr>
              <w:spacing w:after="0"/>
              <w:rPr>
                <w:sz w:val="16"/>
                <w:szCs w:val="16"/>
                <w:color w:val="auto"/>
              </w:rPr>
            </w:pPr>
          </w:p>
        </w:tc>
        <w:tc>
          <w:tcPr>
            <w:tcW w:w="5860" w:type="dxa"/>
            <w:vAlign w:val="bottom"/>
            <w:gridSpan w:val="19"/>
            <w:vMerge w:val="restart"/>
          </w:tcPr>
          <w:p>
            <w:pPr>
              <w:spacing w:after="0"/>
              <w:rPr>
                <w:rFonts w:ascii="Arial" w:cs="Arial" w:eastAsia="Arial" w:hAnsi="Arial"/>
                <w:sz w:val="12"/>
                <w:szCs w:val="12"/>
                <w:color w:val="0000FF"/>
                <w:w w:val="87"/>
              </w:rPr>
            </w:pPr>
            <w:hyperlink r:id="rId77">
              <w:r>
                <w:rPr>
                  <w:rFonts w:ascii="Arial" w:cs="Arial" w:eastAsia="Arial" w:hAnsi="Arial"/>
                  <w:sz w:val="12"/>
                  <w:szCs w:val="12"/>
                  <w:color w:val="0000FF"/>
                  <w:w w:val="87"/>
                </w:rPr>
                <w:t>Purchase and Sale Agreement, dated as of September 17, 2015, by and between NRG Energy Gas &amp; Wind Holdings, Inc. and</w:t>
              </w:r>
            </w:hyperlink>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60" w:type="dxa"/>
            <w:vAlign w:val="bottom"/>
            <w:tcBorders>
              <w:bottom w:val="single" w:sz="8" w:color="0000FF"/>
            </w:tcBorders>
            <w:gridSpan w:val="19"/>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00" w:type="dxa"/>
            <w:vAlign w:val="bottom"/>
            <w:tcBorders>
              <w:bottom w:val="single" w:sz="8" w:color="0000FF"/>
            </w:tcBorders>
            <w:gridSpan w:val="5"/>
          </w:tcPr>
          <w:p>
            <w:pPr>
              <w:spacing w:after="0" w:line="126" w:lineRule="exact"/>
              <w:rPr>
                <w:rFonts w:ascii="Arial" w:cs="Arial" w:eastAsia="Arial" w:hAnsi="Arial"/>
                <w:sz w:val="12"/>
                <w:szCs w:val="12"/>
                <w:color w:val="0000FF"/>
                <w:w w:val="90"/>
              </w:rPr>
            </w:pPr>
            <w:hyperlink r:id="rId77">
              <w:r>
                <w:rPr>
                  <w:rFonts w:ascii="Arial" w:cs="Arial" w:eastAsia="Arial" w:hAnsi="Arial"/>
                  <w:sz w:val="12"/>
                  <w:szCs w:val="12"/>
                  <w:color w:val="0000FF"/>
                  <w:w w:val="90"/>
                </w:rPr>
                <w:t>NRG Yield Operating LLC.</w:t>
              </w:r>
            </w:hyperlink>
          </w:p>
        </w:tc>
        <w:tc>
          <w:tcPr>
            <w:tcW w:w="458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2.9</w:t>
            </w:r>
          </w:p>
        </w:tc>
        <w:tc>
          <w:tcPr>
            <w:tcW w:w="5580" w:type="dxa"/>
            <w:vAlign w:val="bottom"/>
            <w:gridSpan w:val="13"/>
            <w:vMerge w:val="restart"/>
          </w:tcPr>
          <w:p>
            <w:pPr>
              <w:spacing w:after="0"/>
              <w:rPr>
                <w:rFonts w:ascii="Arial" w:cs="Arial" w:eastAsia="Arial" w:hAnsi="Arial"/>
                <w:sz w:val="12"/>
                <w:szCs w:val="12"/>
                <w:color w:val="0000FF"/>
                <w:w w:val="87"/>
              </w:rPr>
            </w:pPr>
            <w:hyperlink r:id="rId78">
              <w:r>
                <w:rPr>
                  <w:rFonts w:ascii="Arial" w:cs="Arial" w:eastAsia="Arial" w:hAnsi="Arial"/>
                  <w:sz w:val="12"/>
                  <w:szCs w:val="12"/>
                  <w:color w:val="0000FF"/>
                  <w:w w:val="87"/>
                </w:rPr>
                <w:t>Purchase and Sale Agreement, dated as of August 8, 2016, between NRG Solar CVSR Holdings 2 LLC and NRG Yield</w:t>
              </w:r>
            </w:hyperlink>
          </w:p>
        </w:tc>
        <w:tc>
          <w:tcPr>
            <w:tcW w:w="3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580" w:type="dxa"/>
            <w:vAlign w:val="bottom"/>
            <w:tcBorders>
              <w:bottom w:val="single" w:sz="8" w:color="0000FF"/>
            </w:tcBorders>
            <w:gridSpan w:val="13"/>
            <w:vMerge w:val="continue"/>
          </w:tcPr>
          <w:p>
            <w:pPr>
              <w:spacing w:after="0"/>
              <w:rPr>
                <w:sz w:val="2"/>
                <w:szCs w:val="2"/>
                <w:color w:val="auto"/>
              </w:rPr>
            </w:pPr>
          </w:p>
        </w:tc>
        <w:tc>
          <w:tcPr>
            <w:tcW w:w="30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8">
              <w:r>
                <w:rPr>
                  <w:rFonts w:ascii="Arial" w:cs="Arial" w:eastAsia="Arial" w:hAnsi="Arial"/>
                  <w:sz w:val="12"/>
                  <w:szCs w:val="12"/>
                  <w:color w:val="0000FF"/>
                </w:rPr>
                <w:t>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2"/>
                <w:szCs w:val="12"/>
                <w:color w:val="auto"/>
              </w:rPr>
              <w:t>2.10*</w:t>
            </w:r>
          </w:p>
        </w:tc>
        <w:tc>
          <w:tcPr>
            <w:tcW w:w="5880" w:type="dxa"/>
            <w:vAlign w:val="bottom"/>
            <w:gridSpan w:val="20"/>
          </w:tcPr>
          <w:p>
            <w:pPr>
              <w:spacing w:after="0"/>
              <w:rPr>
                <w:rFonts w:ascii="Arial" w:cs="Arial" w:eastAsia="Arial" w:hAnsi="Arial"/>
                <w:sz w:val="12"/>
                <w:szCs w:val="12"/>
                <w:color w:val="0000FF"/>
                <w:w w:val="89"/>
              </w:rPr>
            </w:pPr>
            <w:hyperlink r:id="rId79">
              <w:r>
                <w:rPr>
                  <w:rFonts w:ascii="Arial" w:cs="Arial" w:eastAsia="Arial" w:hAnsi="Arial"/>
                  <w:sz w:val="12"/>
                  <w:szCs w:val="12"/>
                  <w:color w:val="0000FF"/>
                  <w:w w:val="89"/>
                </w:rPr>
                <w:t>Purchase and Sale Agreement, dated as of February 6, 2018, by and between NRG Gas Development Company, LLC and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5"/>
          </w:tcPr>
          <w:p>
            <w:pPr>
              <w:spacing w:after="0" w:line="126" w:lineRule="exact"/>
              <w:rPr>
                <w:rFonts w:ascii="Arial" w:cs="Arial" w:eastAsia="Arial" w:hAnsi="Arial"/>
                <w:sz w:val="12"/>
                <w:szCs w:val="12"/>
                <w:color w:val="0000FF"/>
                <w:w w:val="90"/>
              </w:rPr>
            </w:pPr>
            <w:hyperlink r:id="rId79">
              <w:r>
                <w:rPr>
                  <w:rFonts w:ascii="Arial" w:cs="Arial" w:eastAsia="Arial" w:hAnsi="Arial"/>
                  <w:sz w:val="12"/>
                  <w:szCs w:val="12"/>
                  <w:color w:val="0000FF"/>
                  <w:w w:val="90"/>
                </w:rPr>
                <w:t>NRG Yield Operating LLC.</w:t>
              </w:r>
            </w:hyperlink>
          </w:p>
        </w:tc>
        <w:tc>
          <w:tcPr>
            <w:tcW w:w="4360" w:type="dxa"/>
            <w:vAlign w:val="bottom"/>
            <w:tcBorders>
              <w:top w:val="single" w:sz="8" w:color="0000FF"/>
            </w:tcBorders>
            <w:gridSpan w:val="9"/>
          </w:tcPr>
          <w:p>
            <w:pPr>
              <w:spacing w:after="0"/>
              <w:rPr>
                <w:sz w:val="10"/>
                <w:szCs w:val="10"/>
                <w:color w:val="auto"/>
              </w:rPr>
            </w:pPr>
          </w:p>
        </w:tc>
        <w:tc>
          <w:tcPr>
            <w:tcW w:w="2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543"/>
        </w:trPr>
        <w:tc>
          <w:tcPr>
            <w:tcW w:w="1040" w:type="dxa"/>
            <w:vAlign w:val="bottom"/>
          </w:tcPr>
          <w:p>
            <w:pPr>
              <w:spacing w:after="0"/>
              <w:rPr>
                <w:sz w:val="20"/>
                <w:szCs w:val="20"/>
                <w:color w:val="auto"/>
              </w:rPr>
            </w:pPr>
            <w:r>
              <w:rPr>
                <w:rFonts w:ascii="Arial" w:cs="Arial" w:eastAsia="Arial" w:hAnsi="Arial"/>
                <w:sz w:val="12"/>
                <w:szCs w:val="12"/>
                <w:color w:val="auto"/>
              </w:rPr>
              <w:t>3.1</w:t>
            </w:r>
          </w:p>
        </w:tc>
        <w:tc>
          <w:tcPr>
            <w:tcW w:w="5880" w:type="dxa"/>
            <w:vAlign w:val="bottom"/>
            <w:gridSpan w:val="20"/>
          </w:tcPr>
          <w:p>
            <w:pPr>
              <w:spacing w:after="0"/>
              <w:rPr>
                <w:rFonts w:ascii="Arial" w:cs="Arial" w:eastAsia="Arial" w:hAnsi="Arial"/>
                <w:sz w:val="12"/>
                <w:szCs w:val="12"/>
                <w:color w:val="0000FF"/>
              </w:rPr>
            </w:pPr>
            <w:hyperlink r:id="rId80">
              <w:r>
                <w:rPr>
                  <w:rFonts w:ascii="Arial" w:cs="Arial" w:eastAsia="Arial" w:hAnsi="Arial"/>
                  <w:sz w:val="12"/>
                  <w:szCs w:val="12"/>
                  <w:color w:val="0000FF"/>
                </w:rPr>
                <w:t>Certificate of Formation of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3.2</w:t>
            </w: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40" w:type="dxa"/>
            <w:vAlign w:val="bottom"/>
            <w:vMerge w:val="continue"/>
          </w:tcPr>
          <w:p>
            <w:pPr>
              <w:spacing w:after="0"/>
              <w:rPr>
                <w:sz w:val="24"/>
                <w:szCs w:val="24"/>
                <w:color w:val="auto"/>
              </w:rPr>
            </w:pPr>
          </w:p>
        </w:tc>
        <w:tc>
          <w:tcPr>
            <w:tcW w:w="5880" w:type="dxa"/>
            <w:vAlign w:val="bottom"/>
            <w:gridSpan w:val="20"/>
            <w:vMerge w:val="restart"/>
          </w:tcPr>
          <w:p>
            <w:pPr>
              <w:spacing w:after="0"/>
              <w:rPr>
                <w:rFonts w:ascii="Arial" w:cs="Arial" w:eastAsia="Arial" w:hAnsi="Arial"/>
                <w:sz w:val="12"/>
                <w:szCs w:val="12"/>
                <w:color w:val="0000FF"/>
              </w:rPr>
            </w:pPr>
            <w:hyperlink r:id="rId81">
              <w:r>
                <w:rPr>
                  <w:rFonts w:ascii="Arial" w:cs="Arial" w:eastAsia="Arial" w:hAnsi="Arial"/>
                  <w:sz w:val="12"/>
                  <w:szCs w:val="12"/>
                  <w:color w:val="0000FF"/>
                </w:rPr>
                <w:t>Certificate of Amendment of Certificate of Formation of NRG Yield Operating LLC.</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20"/>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3.3</w:t>
            </w:r>
          </w:p>
        </w:tc>
        <w:tc>
          <w:tcPr>
            <w:tcW w:w="5880" w:type="dxa"/>
            <w:vAlign w:val="bottom"/>
            <w:gridSpan w:val="20"/>
          </w:tcPr>
          <w:p>
            <w:pPr>
              <w:spacing w:after="0"/>
              <w:rPr>
                <w:rFonts w:ascii="Arial" w:cs="Arial" w:eastAsia="Arial" w:hAnsi="Arial"/>
                <w:sz w:val="12"/>
                <w:szCs w:val="12"/>
                <w:color w:val="0000FF"/>
              </w:rPr>
            </w:pPr>
            <w:hyperlink r:id="rId82">
              <w:r>
                <w:rPr>
                  <w:rFonts w:ascii="Arial" w:cs="Arial" w:eastAsia="Arial" w:hAnsi="Arial"/>
                  <w:sz w:val="12"/>
                  <w:szCs w:val="12"/>
                  <w:color w:val="0000FF"/>
                </w:rPr>
                <w:t>Second Amended and Restated Limited Liability Company Agreement of NRG Yield Operating LLC.</w:t>
              </w:r>
            </w:hyperlink>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3.4</w:t>
            </w:r>
          </w:p>
        </w:tc>
        <w:tc>
          <w:tcPr>
            <w:tcW w:w="210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91"/>
              </w:rPr>
            </w:pPr>
            <w:hyperlink r:id="rId83">
              <w:r>
                <w:rPr>
                  <w:rFonts w:ascii="Arial" w:cs="Arial" w:eastAsia="Arial" w:hAnsi="Arial"/>
                  <w:sz w:val="12"/>
                  <w:szCs w:val="12"/>
                  <w:color w:val="0000FF"/>
                  <w:w w:val="91"/>
                </w:rPr>
                <w:t>Certificate of Formation of NRG Yield LLC.</w:t>
              </w:r>
            </w:hyperlink>
          </w:p>
        </w:tc>
        <w:tc>
          <w:tcPr>
            <w:tcW w:w="2660" w:type="dxa"/>
            <w:vAlign w:val="bottom"/>
            <w:tcBorders>
              <w:top w:val="single" w:sz="8" w:color="0000FF"/>
            </w:tcBorders>
            <w:gridSpan w:val="4"/>
          </w:tcPr>
          <w:p>
            <w:pPr>
              <w:spacing w:after="0"/>
              <w:rPr>
                <w:sz w:val="24"/>
                <w:szCs w:val="24"/>
                <w:color w:val="auto"/>
              </w:rPr>
            </w:pPr>
          </w:p>
        </w:tc>
        <w:tc>
          <w:tcPr>
            <w:tcW w:w="11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3.5</w:t>
            </w:r>
          </w:p>
        </w:tc>
        <w:tc>
          <w:tcPr>
            <w:tcW w:w="3480" w:type="dxa"/>
            <w:vAlign w:val="bottom"/>
            <w:tcBorders>
              <w:bottom w:val="single" w:sz="8" w:color="0000FF"/>
            </w:tcBorders>
            <w:gridSpan w:val="9"/>
          </w:tcPr>
          <w:p>
            <w:pPr>
              <w:spacing w:after="0"/>
              <w:rPr>
                <w:rFonts w:ascii="Arial" w:cs="Arial" w:eastAsia="Arial" w:hAnsi="Arial"/>
                <w:sz w:val="12"/>
                <w:szCs w:val="12"/>
                <w:color w:val="0000FF"/>
                <w:w w:val="91"/>
              </w:rPr>
            </w:pPr>
            <w:hyperlink r:id="rId84">
              <w:r>
                <w:rPr>
                  <w:rFonts w:ascii="Arial" w:cs="Arial" w:eastAsia="Arial" w:hAnsi="Arial"/>
                  <w:sz w:val="12"/>
                  <w:szCs w:val="12"/>
                  <w:color w:val="0000FF"/>
                  <w:w w:val="91"/>
                </w:rPr>
                <w:t>Certificate of Amendment of Certificate of Formation of NRG Yield LLC.</w:t>
              </w:r>
            </w:hyperlink>
          </w:p>
        </w:tc>
        <w:tc>
          <w:tcPr>
            <w:tcW w:w="2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3.6</w:t>
            </w:r>
          </w:p>
        </w:tc>
        <w:tc>
          <w:tcPr>
            <w:tcW w:w="5880" w:type="dxa"/>
            <w:vAlign w:val="bottom"/>
            <w:gridSpan w:val="20"/>
          </w:tcPr>
          <w:p>
            <w:pPr>
              <w:spacing w:after="0"/>
              <w:rPr>
                <w:rFonts w:ascii="Arial" w:cs="Arial" w:eastAsia="Arial" w:hAnsi="Arial"/>
                <w:sz w:val="12"/>
                <w:szCs w:val="12"/>
                <w:color w:val="0000FF"/>
                <w:w w:val="97"/>
              </w:rPr>
            </w:pPr>
            <w:hyperlink r:id="rId85">
              <w:r>
                <w:rPr>
                  <w:rFonts w:ascii="Arial" w:cs="Arial" w:eastAsia="Arial" w:hAnsi="Arial"/>
                  <w:sz w:val="12"/>
                  <w:szCs w:val="12"/>
                  <w:color w:val="0000FF"/>
                  <w:w w:val="97"/>
                </w:rPr>
                <w:t>Third Amended and Restated Limited Liability Company Agreement of NRG Yield LLC, dated as of May 14,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4.1</w:t>
            </w:r>
          </w:p>
        </w:tc>
        <w:tc>
          <w:tcPr>
            <w:tcW w:w="5880" w:type="dxa"/>
            <w:vAlign w:val="bottom"/>
            <w:gridSpan w:val="20"/>
          </w:tcPr>
          <w:p>
            <w:pPr>
              <w:spacing w:after="0"/>
              <w:rPr>
                <w:rFonts w:ascii="Arial" w:cs="Arial" w:eastAsia="Arial" w:hAnsi="Arial"/>
                <w:sz w:val="12"/>
                <w:szCs w:val="12"/>
                <w:color w:val="0000FF"/>
                <w:w w:val="88"/>
              </w:rPr>
            </w:pPr>
            <w:hyperlink r:id="rId86">
              <w:r>
                <w:rPr>
                  <w:rFonts w:ascii="Arial" w:cs="Arial" w:eastAsia="Arial" w:hAnsi="Arial"/>
                  <w:sz w:val="12"/>
                  <w:szCs w:val="12"/>
                  <w:color w:val="0000FF"/>
                  <w:w w:val="88"/>
                </w:rPr>
                <w:t>Indenture, dated August 5, 2014, among NRG Yield Operating LLC, the guarantors named therein and Law Debenture Trust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6" w:lineRule="exact"/>
              <w:rPr>
                <w:rFonts w:ascii="Arial" w:cs="Arial" w:eastAsia="Arial" w:hAnsi="Arial"/>
                <w:sz w:val="12"/>
                <w:szCs w:val="12"/>
                <w:color w:val="0000FF"/>
                <w:w w:val="89"/>
              </w:rPr>
            </w:pPr>
            <w:hyperlink r:id="rId86">
              <w:r>
                <w:rPr>
                  <w:rFonts w:ascii="Arial" w:cs="Arial" w:eastAsia="Arial" w:hAnsi="Arial"/>
                  <w:sz w:val="12"/>
                  <w:szCs w:val="12"/>
                  <w:color w:val="0000FF"/>
                  <w:w w:val="89"/>
                </w:rPr>
                <w:t>Company of New York.</w:t>
              </w:r>
            </w:hyperlink>
          </w:p>
        </w:tc>
        <w:tc>
          <w:tcPr>
            <w:tcW w:w="4680" w:type="dxa"/>
            <w:vAlign w:val="bottom"/>
            <w:tcBorders>
              <w:top w:val="single" w:sz="8" w:color="0000FF"/>
            </w:tcBorders>
            <w:gridSpan w:val="14"/>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5420" w:type="dxa"/>
            <w:vAlign w:val="bottom"/>
            <w:gridSpan w:val="12"/>
          </w:tcPr>
          <w:p>
            <w:pPr>
              <w:ind w:left="4580"/>
              <w:spacing w:after="0"/>
              <w:rPr>
                <w:sz w:val="20"/>
                <w:szCs w:val="20"/>
                <w:color w:val="auto"/>
              </w:rPr>
            </w:pPr>
            <w:r>
              <w:rPr>
                <w:rFonts w:ascii="Arial" w:cs="Arial" w:eastAsia="Arial" w:hAnsi="Arial"/>
                <w:sz w:val="13"/>
                <w:szCs w:val="13"/>
                <w:color w:val="auto"/>
              </w:rPr>
              <w:t>119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Method of Filing</w:t>
      </w:r>
    </w:p>
    <w:p>
      <w:pPr>
        <w:spacing w:after="0" w:line="49"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May 9,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2.2 to NRG Yield, Inc.’s Current Report on Form 8-K filed on May 9,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2.3 to NRG Yield, Inc.’s Current Report on Form 8-K filed on May 9, 2014.</w:t>
      </w:r>
    </w:p>
    <w:p>
      <w:pPr>
        <w:spacing w:after="0" w:line="20" w:lineRule="exact"/>
        <w:rPr>
          <w:sz w:val="20"/>
          <w:szCs w:val="20"/>
          <w:color w:val="auto"/>
        </w:rPr>
      </w:pPr>
    </w:p>
    <w:p>
      <w:pPr>
        <w:ind w:right="20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 filed on June 9, 2014.</w:t>
      </w:r>
    </w:p>
    <w:p>
      <w:pPr>
        <w:spacing w:after="0" w:line="166"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November 7,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2.2 to NRG Yield, Inc.’s Current Report on Form 8-K filed on November 7,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2.1 to NRG Yield, Inc.’s Quarterly Report on Form 10-Q filed on August 4, 2015.</w:t>
      </w:r>
    </w:p>
    <w:p>
      <w:pPr>
        <w:spacing w:after="0" w:line="78"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September 21, 2015.</w:t>
      </w:r>
    </w:p>
    <w:p>
      <w:pPr>
        <w:spacing w:after="0" w:line="282"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August 9, 2016.</w:t>
      </w:r>
    </w:p>
    <w:p>
      <w:pPr>
        <w:spacing w:after="0" w:line="136"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Incorporated herein by reference to Exhibit 2.10 to NRG Yield, Inc.'s Annual Report on Form 10-K, filed on March 1, 2018.</w:t>
      </w:r>
    </w:p>
    <w:p>
      <w:pPr>
        <w:spacing w:after="0" w:line="34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3.01(a) to the Company's Registration Statement on Form S-4 filed on April 13, 2015.</w:t>
      </w:r>
    </w:p>
    <w:p>
      <w:pPr>
        <w:spacing w:after="0" w:line="78" w:lineRule="exact"/>
        <w:rPr>
          <w:sz w:val="20"/>
          <w:szCs w:val="20"/>
          <w:color w:val="auto"/>
        </w:rPr>
      </w:pPr>
    </w:p>
    <w:p>
      <w:pPr>
        <w:ind w:right="500"/>
        <w:spacing w:after="0" w:line="270" w:lineRule="auto"/>
        <w:rPr>
          <w:sz w:val="20"/>
          <w:szCs w:val="20"/>
          <w:color w:val="auto"/>
        </w:rPr>
      </w:pPr>
      <w:r>
        <w:rPr>
          <w:rFonts w:ascii="Arial" w:cs="Arial" w:eastAsia="Arial" w:hAnsi="Arial"/>
          <w:sz w:val="12"/>
          <w:szCs w:val="12"/>
          <w:color w:val="auto"/>
        </w:rPr>
        <w:t>Incorporated herein by reference to Exhibit 3.01(b) to the Company's Registration Statement on Form S-4 filed on April 13, 2015.</w:t>
      </w:r>
    </w:p>
    <w:p>
      <w:pPr>
        <w:spacing w:after="0" w:line="136"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Incorporated herein by reference to Exhibit 3.02 to the Company's Registration Statement on Form S-4 filed on April 13, 2015.</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3.03(a) to the Company's Registration Statement on Form S-4 filed on April 13, 2015.</w:t>
      </w:r>
    </w:p>
    <w:p>
      <w:pPr>
        <w:spacing w:after="0" w:line="136" w:lineRule="exact"/>
        <w:rPr>
          <w:sz w:val="20"/>
          <w:szCs w:val="20"/>
          <w:color w:val="auto"/>
        </w:rPr>
      </w:pPr>
    </w:p>
    <w:p>
      <w:pPr>
        <w:ind w:right="500"/>
        <w:spacing w:after="0" w:line="270" w:lineRule="auto"/>
        <w:rPr>
          <w:sz w:val="20"/>
          <w:szCs w:val="20"/>
          <w:color w:val="auto"/>
        </w:rPr>
      </w:pPr>
      <w:r>
        <w:rPr>
          <w:rFonts w:ascii="Arial" w:cs="Arial" w:eastAsia="Arial" w:hAnsi="Arial"/>
          <w:sz w:val="12"/>
          <w:szCs w:val="12"/>
          <w:color w:val="auto"/>
        </w:rPr>
        <w:t>Incorporated herein by reference to Exhibit 3.03(b) to the Company's Registration Statement on Form S-4 filed on April 13, 2015.</w:t>
      </w:r>
    </w:p>
    <w:p>
      <w:pPr>
        <w:spacing w:after="0" w:line="136"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Incorporated herein by reference to Exhibit 10.4 to NRG Yield, Inc.'s Current Report on Form 8-K filed on May 15, 2015.</w:t>
      </w:r>
    </w:p>
    <w:p>
      <w:pPr>
        <w:spacing w:after="0" w:line="78"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August 5, 2014.</w:t>
      </w:r>
    </w:p>
    <w:p>
      <w:pPr>
        <w:sectPr>
          <w:pgSz w:w="11900" w:h="16838" w:orient="portrait"/>
          <w:cols w:equalWidth="0" w:num="2">
            <w:col w:w="6920" w:space="200"/>
            <w:col w:w="4320"/>
          </w:cols>
          <w:pgMar w:left="240" w:top="709" w:right="21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4.2</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4.3</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4.5</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4.6</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4.7</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4.9</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4.10</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4.11</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4.12</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4.13</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4.14</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10.1</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10.2</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10.3</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10.4</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10.5</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2"/>
          <w:szCs w:val="12"/>
          <w:u w:val="single" w:color="auto"/>
          <w:color w:val="0000FF"/>
        </w:rPr>
      </w:pPr>
      <w:hyperlink r:id="rId86">
        <w:r>
          <w:rPr>
            <w:rFonts w:ascii="Arial" w:cs="Arial" w:eastAsia="Arial" w:hAnsi="Arial"/>
            <w:sz w:val="12"/>
            <w:szCs w:val="12"/>
            <w:u w:val="single" w:color="auto"/>
            <w:color w:val="0000FF"/>
          </w:rPr>
          <w:t>Form of 5.375% Senior Note due 2024.</w:t>
        </w:r>
      </w:hyperlink>
    </w:p>
    <w:p>
      <w:pPr>
        <w:spacing w:after="0" w:line="192" w:lineRule="exact"/>
        <w:rPr>
          <w:sz w:val="20"/>
          <w:szCs w:val="20"/>
          <w:color w:val="auto"/>
        </w:rPr>
      </w:pPr>
    </w:p>
    <w:p>
      <w:pPr>
        <w:ind w:right="140"/>
        <w:spacing w:after="0" w:line="344" w:lineRule="auto"/>
        <w:rPr>
          <w:rFonts w:ascii="Arial" w:cs="Arial" w:eastAsia="Arial" w:hAnsi="Arial"/>
          <w:sz w:val="10"/>
          <w:szCs w:val="10"/>
          <w:u w:val="single" w:color="auto"/>
          <w:color w:val="0000FF"/>
        </w:rPr>
      </w:pPr>
      <w:hyperlink r:id="rId87">
        <w:r>
          <w:rPr>
            <w:rFonts w:ascii="Arial" w:cs="Arial" w:eastAsia="Arial" w:hAnsi="Arial"/>
            <w:sz w:val="10"/>
            <w:szCs w:val="10"/>
            <w:u w:val="single" w:color="auto"/>
            <w:color w:val="0000FF"/>
          </w:rPr>
          <w:t>Registration Rights Agreement, dated August 5, 2014, among NRG Yield Operating LLC, the guarantors named therein and</w:t>
        </w:r>
      </w:hyperlink>
      <w:r>
        <w:rPr>
          <w:rFonts w:ascii="Arial" w:cs="Arial" w:eastAsia="Arial" w:hAnsi="Arial"/>
          <w:sz w:val="10"/>
          <w:szCs w:val="10"/>
          <w:u w:val="single" w:color="auto"/>
          <w:color w:val="0000FF"/>
        </w:rPr>
        <w:t xml:space="preserve"> </w:t>
      </w:r>
      <w:hyperlink r:id="rId87">
        <w:r>
          <w:rPr>
            <w:rFonts w:ascii="Arial" w:cs="Arial" w:eastAsia="Arial" w:hAnsi="Arial"/>
            <w:sz w:val="10"/>
            <w:szCs w:val="10"/>
            <w:u w:val="single" w:color="auto"/>
            <w:color w:val="0000FF"/>
          </w:rPr>
          <w:t>Merrill Lynch, Pierce, Fenner &amp; Smith Incorporated, as representative of the initial purchasers.</w:t>
        </w:r>
      </w:hyperlink>
    </w:p>
    <w:p>
      <w:pPr>
        <w:spacing w:after="0" w:line="1"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88">
        <w:r>
          <w:rPr>
            <w:rFonts w:ascii="Arial" w:cs="Arial" w:eastAsia="Arial" w:hAnsi="Arial"/>
            <w:sz w:val="12"/>
            <w:szCs w:val="12"/>
            <w:u w:val="single" w:color="auto"/>
            <w:color w:val="0000FF"/>
          </w:rPr>
          <w:t>Supplemental Indenture, dated as of November 7, 2014, among NRG Yield Operating LLC, the guarantors named therein and</w:t>
        </w:r>
      </w:hyperlink>
      <w:r>
        <w:rPr>
          <w:rFonts w:ascii="Arial" w:cs="Arial" w:eastAsia="Arial" w:hAnsi="Arial"/>
          <w:sz w:val="12"/>
          <w:szCs w:val="12"/>
          <w:u w:val="single" w:color="auto"/>
          <w:color w:val="0000FF"/>
        </w:rPr>
        <w:t xml:space="preserve"> </w:t>
      </w:r>
      <w:hyperlink r:id="rId88">
        <w:r>
          <w:rPr>
            <w:rFonts w:ascii="Arial" w:cs="Arial" w:eastAsia="Arial" w:hAnsi="Arial"/>
            <w:sz w:val="12"/>
            <w:szCs w:val="12"/>
            <w:u w:val="single" w:color="auto"/>
            <w:color w:val="0000FF"/>
          </w:rPr>
          <w:t>Law Debenture Trust Company of New York.</w:t>
        </w:r>
      </w:hyperlink>
    </w:p>
    <w:p>
      <w:pPr>
        <w:spacing w:after="0" w:line="20"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89">
        <w:r>
          <w:rPr>
            <w:rFonts w:ascii="Arial" w:cs="Arial" w:eastAsia="Arial" w:hAnsi="Arial"/>
            <w:sz w:val="12"/>
            <w:szCs w:val="12"/>
            <w:u w:val="single" w:color="auto"/>
            <w:color w:val="0000FF"/>
          </w:rPr>
          <w:t>Supplemental Indenture, dated as of February 25, 2015, among NRG Yield Operating LLC, the guarantors named therein and</w:t>
        </w:r>
      </w:hyperlink>
      <w:r>
        <w:rPr>
          <w:rFonts w:ascii="Arial" w:cs="Arial" w:eastAsia="Arial" w:hAnsi="Arial"/>
          <w:sz w:val="12"/>
          <w:szCs w:val="12"/>
          <w:u w:val="single" w:color="auto"/>
          <w:color w:val="0000FF"/>
        </w:rPr>
        <w:t xml:space="preserve"> </w:t>
      </w:r>
      <w:hyperlink r:id="rId89">
        <w:r>
          <w:rPr>
            <w:rFonts w:ascii="Arial" w:cs="Arial" w:eastAsia="Arial" w:hAnsi="Arial"/>
            <w:sz w:val="12"/>
            <w:szCs w:val="12"/>
            <w:u w:val="single" w:color="auto"/>
            <w:color w:val="0000FF"/>
          </w:rPr>
          <w:t>Law Debenture Trust Company of New York.</w:t>
        </w:r>
      </w:hyperlink>
    </w:p>
    <w:p>
      <w:pPr>
        <w:spacing w:after="0" w:line="195" w:lineRule="exact"/>
        <w:rPr>
          <w:sz w:val="20"/>
          <w:szCs w:val="20"/>
          <w:color w:val="auto"/>
        </w:rPr>
      </w:pPr>
    </w:p>
    <w:p>
      <w:pPr>
        <w:ind w:right="280"/>
        <w:spacing w:after="0" w:line="270" w:lineRule="auto"/>
        <w:rPr>
          <w:rFonts w:ascii="Arial" w:cs="Arial" w:eastAsia="Arial" w:hAnsi="Arial"/>
          <w:sz w:val="12"/>
          <w:szCs w:val="12"/>
          <w:u w:val="single" w:color="auto"/>
          <w:color w:val="0000FF"/>
        </w:rPr>
      </w:pPr>
      <w:hyperlink r:id="rId90">
        <w:r>
          <w:rPr>
            <w:rFonts w:ascii="Arial" w:cs="Arial" w:eastAsia="Arial" w:hAnsi="Arial"/>
            <w:sz w:val="12"/>
            <w:szCs w:val="12"/>
            <w:u w:val="single" w:color="auto"/>
            <w:color w:val="0000FF"/>
          </w:rPr>
          <w:t>Third Supplemental Indenture, dated as of April 10, 2015, among NRG Yield Operating LLC, NRG Yield LLC, the other</w:t>
        </w:r>
      </w:hyperlink>
      <w:r>
        <w:rPr>
          <w:rFonts w:ascii="Arial" w:cs="Arial" w:eastAsia="Arial" w:hAnsi="Arial"/>
          <w:sz w:val="12"/>
          <w:szCs w:val="12"/>
          <w:u w:val="single" w:color="auto"/>
          <w:color w:val="0000FF"/>
        </w:rPr>
        <w:t xml:space="preserve"> </w:t>
      </w:r>
      <w:hyperlink r:id="rId90">
        <w:r>
          <w:rPr>
            <w:rFonts w:ascii="Arial" w:cs="Arial" w:eastAsia="Arial" w:hAnsi="Arial"/>
            <w:sz w:val="12"/>
            <w:szCs w:val="12"/>
            <w:u w:val="single" w:color="auto"/>
            <w:color w:val="0000FF"/>
          </w:rPr>
          <w:t>guarantors named therein and Law Debenture Trust Company of New York.</w:t>
        </w:r>
      </w:hyperlink>
    </w:p>
    <w:p>
      <w:pPr>
        <w:spacing w:after="0" w:line="136" w:lineRule="exact"/>
        <w:rPr>
          <w:sz w:val="20"/>
          <w:szCs w:val="20"/>
          <w:color w:val="auto"/>
        </w:rPr>
      </w:pPr>
    </w:p>
    <w:p>
      <w:pPr>
        <w:ind w:right="20"/>
        <w:spacing w:after="0" w:line="270" w:lineRule="auto"/>
        <w:rPr>
          <w:rFonts w:ascii="Arial" w:cs="Arial" w:eastAsia="Arial" w:hAnsi="Arial"/>
          <w:sz w:val="12"/>
          <w:szCs w:val="12"/>
          <w:u w:val="single" w:color="auto"/>
          <w:color w:val="0000FF"/>
        </w:rPr>
      </w:pPr>
      <w:hyperlink r:id="rId91">
        <w:r>
          <w:rPr>
            <w:rFonts w:ascii="Arial" w:cs="Arial" w:eastAsia="Arial" w:hAnsi="Arial"/>
            <w:sz w:val="12"/>
            <w:szCs w:val="12"/>
            <w:u w:val="single" w:color="auto"/>
            <w:color w:val="0000FF"/>
          </w:rPr>
          <w:t>Fourth Supplemental Indenture, dated as of May 8, 2015, among NRG Yield Operating LLC, the guarantors named therein and</w:t>
        </w:r>
      </w:hyperlink>
      <w:r>
        <w:rPr>
          <w:rFonts w:ascii="Arial" w:cs="Arial" w:eastAsia="Arial" w:hAnsi="Arial"/>
          <w:sz w:val="12"/>
          <w:szCs w:val="12"/>
          <w:u w:val="single" w:color="auto"/>
          <w:color w:val="0000FF"/>
        </w:rPr>
        <w:t xml:space="preserve"> </w:t>
      </w:r>
      <w:hyperlink r:id="rId91">
        <w:r>
          <w:rPr>
            <w:rFonts w:ascii="Arial" w:cs="Arial" w:eastAsia="Arial" w:hAnsi="Arial"/>
            <w:sz w:val="12"/>
            <w:szCs w:val="12"/>
            <w:u w:val="single" w:color="auto"/>
            <w:color w:val="0000FF"/>
          </w:rPr>
          <w:t>Law Debenture Trust Company of New York.</w:t>
        </w:r>
      </w:hyperlink>
    </w:p>
    <w:p>
      <w:pPr>
        <w:spacing w:after="0" w:line="136"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2">
        <w:r>
          <w:rPr>
            <w:rFonts w:ascii="Arial" w:cs="Arial" w:eastAsia="Arial" w:hAnsi="Arial"/>
            <w:sz w:val="12"/>
            <w:szCs w:val="12"/>
            <w:u w:val="single" w:color="auto"/>
            <w:color w:val="0000FF"/>
          </w:rPr>
          <w:t>Indenture, dated June 29, 2015, among NRG Yield, Inc., NRG Yield Operating LLC and NRG Yield LLC, as Guarantors, and</w:t>
        </w:r>
      </w:hyperlink>
      <w:r>
        <w:rPr>
          <w:rFonts w:ascii="Arial" w:cs="Arial" w:eastAsia="Arial" w:hAnsi="Arial"/>
          <w:sz w:val="12"/>
          <w:szCs w:val="12"/>
          <w:u w:val="single" w:color="auto"/>
          <w:color w:val="0000FF"/>
        </w:rPr>
        <w:t xml:space="preserve"> </w:t>
      </w:r>
      <w:hyperlink r:id="rId92">
        <w:r>
          <w:rPr>
            <w:rFonts w:ascii="Arial" w:cs="Arial" w:eastAsia="Arial" w:hAnsi="Arial"/>
            <w:sz w:val="12"/>
            <w:szCs w:val="12"/>
            <w:u w:val="single" w:color="auto"/>
            <w:color w:val="0000FF"/>
          </w:rPr>
          <w:t>Wilmington Trust, National Association, as Trustee.</w:t>
        </w:r>
      </w:hyperlink>
    </w:p>
    <w:p>
      <w:pPr>
        <w:spacing w:after="0" w:line="136" w:lineRule="exact"/>
        <w:rPr>
          <w:sz w:val="20"/>
          <w:szCs w:val="20"/>
          <w:color w:val="auto"/>
        </w:rPr>
      </w:pPr>
    </w:p>
    <w:p>
      <w:pPr>
        <w:spacing w:after="0"/>
        <w:rPr>
          <w:rFonts w:ascii="Arial" w:cs="Arial" w:eastAsia="Arial" w:hAnsi="Arial"/>
          <w:sz w:val="12"/>
          <w:szCs w:val="12"/>
          <w:u w:val="single" w:color="auto"/>
          <w:color w:val="0000FF"/>
        </w:rPr>
      </w:pPr>
      <w:hyperlink r:id="rId92">
        <w:r>
          <w:rPr>
            <w:rFonts w:ascii="Arial" w:cs="Arial" w:eastAsia="Arial" w:hAnsi="Arial"/>
            <w:sz w:val="12"/>
            <w:szCs w:val="12"/>
            <w:u w:val="single" w:color="auto"/>
            <w:color w:val="0000FF"/>
          </w:rPr>
          <w:t>Form of 3.25% Convertible Senior Note due 2020.</w:t>
        </w:r>
      </w:hyperlink>
    </w:p>
    <w:p>
      <w:pPr>
        <w:spacing w:after="0" w:line="338"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3">
        <w:r>
          <w:rPr>
            <w:rFonts w:ascii="Arial" w:cs="Arial" w:eastAsia="Arial" w:hAnsi="Arial"/>
            <w:sz w:val="12"/>
            <w:szCs w:val="12"/>
            <w:u w:val="single" w:color="auto"/>
            <w:color w:val="0000FF"/>
          </w:rPr>
          <w:t>Indenture, dated August 18, 2016, among NRG Yield Operating LLC, the guarantors named therein and Law Debenture Trust</w:t>
        </w:r>
      </w:hyperlink>
      <w:r>
        <w:rPr>
          <w:rFonts w:ascii="Arial" w:cs="Arial" w:eastAsia="Arial" w:hAnsi="Arial"/>
          <w:sz w:val="12"/>
          <w:szCs w:val="12"/>
          <w:u w:val="single" w:color="auto"/>
          <w:color w:val="0000FF"/>
        </w:rPr>
        <w:t xml:space="preserve"> </w:t>
      </w:r>
      <w:hyperlink r:id="rId93">
        <w:r>
          <w:rPr>
            <w:rFonts w:ascii="Arial" w:cs="Arial" w:eastAsia="Arial" w:hAnsi="Arial"/>
            <w:sz w:val="12"/>
            <w:szCs w:val="12"/>
            <w:u w:val="single" w:color="auto"/>
            <w:color w:val="0000FF"/>
          </w:rPr>
          <w:t>Company of New York.</w:t>
        </w:r>
      </w:hyperlink>
    </w:p>
    <w:p>
      <w:pPr>
        <w:spacing w:after="0" w:line="136" w:lineRule="exact"/>
        <w:rPr>
          <w:sz w:val="20"/>
          <w:szCs w:val="20"/>
          <w:color w:val="auto"/>
        </w:rPr>
      </w:pPr>
    </w:p>
    <w:p>
      <w:pPr>
        <w:spacing w:after="0"/>
        <w:rPr>
          <w:rFonts w:ascii="Arial" w:cs="Arial" w:eastAsia="Arial" w:hAnsi="Arial"/>
          <w:sz w:val="12"/>
          <w:szCs w:val="12"/>
          <w:u w:val="single" w:color="auto"/>
          <w:color w:val="0000FF"/>
        </w:rPr>
      </w:pPr>
      <w:hyperlink r:id="rId93">
        <w:r>
          <w:rPr>
            <w:rFonts w:ascii="Arial" w:cs="Arial" w:eastAsia="Arial" w:hAnsi="Arial"/>
            <w:sz w:val="12"/>
            <w:szCs w:val="12"/>
            <w:u w:val="single" w:color="auto"/>
            <w:color w:val="0000FF"/>
          </w:rPr>
          <w:t>Form of 5.000% Senior Note due 2026.</w:t>
        </w:r>
      </w:hyperlink>
    </w:p>
    <w:p>
      <w:pPr>
        <w:spacing w:after="0" w:line="309"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4">
        <w:r>
          <w:rPr>
            <w:rFonts w:ascii="Arial" w:cs="Arial" w:eastAsia="Arial" w:hAnsi="Arial"/>
            <w:sz w:val="12"/>
            <w:szCs w:val="12"/>
            <w:u w:val="single" w:color="auto"/>
            <w:color w:val="0000FF"/>
          </w:rPr>
          <w:t>Registration Rights Agreement, dated August 18, 2016, among NRG Yield Operating LLC, the guarantors named therein and</w:t>
        </w:r>
      </w:hyperlink>
      <w:r>
        <w:rPr>
          <w:rFonts w:ascii="Arial" w:cs="Arial" w:eastAsia="Arial" w:hAnsi="Arial"/>
          <w:sz w:val="12"/>
          <w:szCs w:val="12"/>
          <w:u w:val="single" w:color="auto"/>
          <w:color w:val="0000FF"/>
        </w:rPr>
        <w:t xml:space="preserve"> </w:t>
      </w:r>
      <w:hyperlink r:id="rId94">
        <w:r>
          <w:rPr>
            <w:rFonts w:ascii="Arial" w:cs="Arial" w:eastAsia="Arial" w:hAnsi="Arial"/>
            <w:sz w:val="12"/>
            <w:szCs w:val="12"/>
            <w:u w:val="single" w:color="auto"/>
            <w:color w:val="0000FF"/>
          </w:rPr>
          <w:t>J.P. Morgan Securities LLC, as representative of the initial purchasers.</w:t>
        </w:r>
      </w:hyperlink>
    </w:p>
    <w:p>
      <w:pPr>
        <w:spacing w:after="0" w:line="136" w:lineRule="exact"/>
        <w:rPr>
          <w:sz w:val="20"/>
          <w:szCs w:val="20"/>
          <w:color w:val="auto"/>
        </w:rPr>
      </w:pPr>
    </w:p>
    <w:p>
      <w:pPr>
        <w:ind w:right="80"/>
        <w:spacing w:after="0" w:line="372" w:lineRule="auto"/>
        <w:rPr>
          <w:rFonts w:ascii="Arial" w:cs="Arial" w:eastAsia="Arial" w:hAnsi="Arial"/>
          <w:sz w:val="10"/>
          <w:szCs w:val="10"/>
          <w:u w:val="single" w:color="auto"/>
          <w:color w:val="0000FF"/>
        </w:rPr>
      </w:pPr>
      <w:hyperlink r:id="rId95">
        <w:r>
          <w:rPr>
            <w:rFonts w:ascii="Arial" w:cs="Arial" w:eastAsia="Arial" w:hAnsi="Arial"/>
            <w:sz w:val="10"/>
            <w:szCs w:val="10"/>
            <w:u w:val="single" w:color="auto"/>
            <w:color w:val="0000FF"/>
          </w:rPr>
          <w:t>Fifth Supplemental Indenture, dated as of January 29, 2018, among NRG Yield Operating LLC, the guarantors named therein</w:t>
        </w:r>
      </w:hyperlink>
      <w:r>
        <w:rPr>
          <w:rFonts w:ascii="Arial" w:cs="Arial" w:eastAsia="Arial" w:hAnsi="Arial"/>
          <w:sz w:val="10"/>
          <w:szCs w:val="10"/>
          <w:u w:val="single" w:color="auto"/>
          <w:color w:val="0000FF"/>
        </w:rPr>
        <w:t xml:space="preserve"> </w:t>
      </w:r>
      <w:hyperlink r:id="rId95">
        <w:r>
          <w:rPr>
            <w:rFonts w:ascii="Arial" w:cs="Arial" w:eastAsia="Arial" w:hAnsi="Arial"/>
            <w:sz w:val="10"/>
            <w:szCs w:val="10"/>
            <w:u w:val="single" w:color="auto"/>
            <w:color w:val="0000FF"/>
          </w:rPr>
          <w:t>and Delaware Trust Company (as successor in interest to Law Debenture Trust Company of New York).</w:t>
        </w:r>
      </w:hyperlink>
    </w:p>
    <w:p>
      <w:pPr>
        <w:spacing w:after="0" w:line="353" w:lineRule="exact"/>
        <w:rPr>
          <w:sz w:val="20"/>
          <w:szCs w:val="20"/>
          <w:color w:val="auto"/>
        </w:rPr>
      </w:pPr>
    </w:p>
    <w:p>
      <w:pPr>
        <w:ind w:right="140"/>
        <w:spacing w:after="0" w:line="372" w:lineRule="auto"/>
        <w:rPr>
          <w:rFonts w:ascii="Arial" w:cs="Arial" w:eastAsia="Arial" w:hAnsi="Arial"/>
          <w:sz w:val="10"/>
          <w:szCs w:val="10"/>
          <w:u w:val="single" w:color="auto"/>
          <w:color w:val="0000FF"/>
        </w:rPr>
      </w:pPr>
      <w:hyperlink r:id="rId96">
        <w:r>
          <w:rPr>
            <w:rFonts w:ascii="Arial" w:cs="Arial" w:eastAsia="Arial" w:hAnsi="Arial"/>
            <w:sz w:val="10"/>
            <w:szCs w:val="10"/>
            <w:u w:val="single" w:color="auto"/>
            <w:color w:val="0000FF"/>
          </w:rPr>
          <w:t>Supplemental Indenture, dated as of January 29, 2018, among NRG Yield Operating LLC, the guarantors named therein and</w:t>
        </w:r>
      </w:hyperlink>
      <w:r>
        <w:rPr>
          <w:rFonts w:ascii="Arial" w:cs="Arial" w:eastAsia="Arial" w:hAnsi="Arial"/>
          <w:sz w:val="10"/>
          <w:szCs w:val="10"/>
          <w:u w:val="single" w:color="auto"/>
          <w:color w:val="0000FF"/>
        </w:rPr>
        <w:t xml:space="preserve"> </w:t>
      </w:r>
      <w:hyperlink r:id="rId96">
        <w:r>
          <w:rPr>
            <w:rFonts w:ascii="Arial" w:cs="Arial" w:eastAsia="Arial" w:hAnsi="Arial"/>
            <w:sz w:val="10"/>
            <w:szCs w:val="10"/>
            <w:u w:val="single" w:color="auto"/>
            <w:color w:val="0000FF"/>
          </w:rPr>
          <w:t>the Delaware Trust Company (as successor in interest to Law Debenture Trust Company of New York).</w:t>
        </w:r>
      </w:hyperlink>
    </w:p>
    <w:p>
      <w:pPr>
        <w:spacing w:after="0" w:line="294" w:lineRule="exact"/>
        <w:rPr>
          <w:sz w:val="20"/>
          <w:szCs w:val="20"/>
          <w:color w:val="auto"/>
        </w:rPr>
      </w:pPr>
    </w:p>
    <w:p>
      <w:pPr>
        <w:spacing w:after="0" w:line="270" w:lineRule="auto"/>
        <w:rPr>
          <w:rFonts w:ascii="Arial" w:cs="Arial" w:eastAsia="Arial" w:hAnsi="Arial"/>
          <w:sz w:val="12"/>
          <w:szCs w:val="12"/>
          <w:u w:val="single" w:color="auto"/>
          <w:color w:val="0000FF"/>
        </w:rPr>
      </w:pPr>
      <w:hyperlink r:id="rId97">
        <w:r>
          <w:rPr>
            <w:rFonts w:ascii="Arial" w:cs="Arial" w:eastAsia="Arial" w:hAnsi="Arial"/>
            <w:sz w:val="12"/>
            <w:szCs w:val="12"/>
            <w:u w:val="single" w:color="auto"/>
            <w:color w:val="0000FF"/>
          </w:rPr>
          <w:t>Amended and Restated Registration Rights Agreement, dated as of May 14, 2015, by and between NRG Energy, Inc. and NRG</w:t>
        </w:r>
      </w:hyperlink>
      <w:r>
        <w:rPr>
          <w:rFonts w:ascii="Arial" w:cs="Arial" w:eastAsia="Arial" w:hAnsi="Arial"/>
          <w:sz w:val="12"/>
          <w:szCs w:val="12"/>
          <w:u w:val="single" w:color="auto"/>
          <w:color w:val="0000FF"/>
        </w:rPr>
        <w:t xml:space="preserve"> </w:t>
      </w:r>
      <w:hyperlink r:id="rId97">
        <w:r>
          <w:rPr>
            <w:rFonts w:ascii="Arial" w:cs="Arial" w:eastAsia="Arial" w:hAnsi="Arial"/>
            <w:sz w:val="12"/>
            <w:szCs w:val="12"/>
            <w:u w:val="single" w:color="auto"/>
            <w:color w:val="0000FF"/>
          </w:rPr>
          <w:t>Yield, Inc.</w:t>
        </w:r>
      </w:hyperlink>
    </w:p>
    <w:p>
      <w:pPr>
        <w:spacing w:after="0" w:line="20" w:lineRule="exact"/>
        <w:rPr>
          <w:sz w:val="20"/>
          <w:szCs w:val="20"/>
          <w:color w:val="auto"/>
        </w:rPr>
      </w:pPr>
    </w:p>
    <w:p>
      <w:pPr>
        <w:spacing w:after="0"/>
        <w:rPr>
          <w:rFonts w:ascii="Arial" w:cs="Arial" w:eastAsia="Arial" w:hAnsi="Arial"/>
          <w:sz w:val="10"/>
          <w:szCs w:val="10"/>
          <w:u w:val="single" w:color="auto"/>
          <w:color w:val="0000FF"/>
        </w:rPr>
      </w:pPr>
      <w:hyperlink r:id="rId98">
        <w:r>
          <w:rPr>
            <w:rFonts w:ascii="Arial" w:cs="Arial" w:eastAsia="Arial" w:hAnsi="Arial"/>
            <w:sz w:val="10"/>
            <w:szCs w:val="10"/>
            <w:u w:val="single" w:color="auto"/>
            <w:color w:val="0000FF"/>
          </w:rPr>
          <w:t>Amended and Restated Exchange Agreement, dated as of May 14, 2015, by and among NRG Energy, Inc., NRG Yield, Inc.</w:t>
        </w:r>
      </w:hyperlink>
    </w:p>
    <w:p>
      <w:pPr>
        <w:spacing w:after="0" w:line="33" w:lineRule="exact"/>
        <w:rPr>
          <w:sz w:val="20"/>
          <w:szCs w:val="20"/>
          <w:color w:val="auto"/>
        </w:rPr>
      </w:pPr>
    </w:p>
    <w:p>
      <w:pPr>
        <w:spacing w:after="0"/>
        <w:rPr>
          <w:rFonts w:ascii="Arial" w:cs="Arial" w:eastAsia="Arial" w:hAnsi="Arial"/>
          <w:sz w:val="12"/>
          <w:szCs w:val="12"/>
          <w:u w:val="single" w:color="auto"/>
          <w:color w:val="0000FF"/>
        </w:rPr>
      </w:pPr>
      <w:hyperlink r:id="rId98">
        <w:r>
          <w:rPr>
            <w:rFonts w:ascii="Arial" w:cs="Arial" w:eastAsia="Arial" w:hAnsi="Arial"/>
            <w:sz w:val="12"/>
            <w:szCs w:val="12"/>
            <w:u w:val="single" w:color="auto"/>
            <w:color w:val="0000FF"/>
          </w:rPr>
          <w:t>and NRG Yield LLC.</w:t>
        </w:r>
      </w:hyperlink>
    </w:p>
    <w:p>
      <w:pPr>
        <w:spacing w:after="0" w:line="103"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u w:val="single" w:color="auto"/>
          <w:color w:val="0000FF"/>
        </w:rPr>
        <w:t>Second Amended and Restated Right of First Offer Agreement, dated as of February 24, 2017, by and between NRG Energy, Inc. and NRG Yield, Inc.</w:t>
      </w:r>
    </w:p>
    <w:p>
      <w:pPr>
        <w:spacing w:after="0" w:line="78"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9">
        <w:r>
          <w:rPr>
            <w:rFonts w:ascii="Arial" w:cs="Arial" w:eastAsia="Arial" w:hAnsi="Arial"/>
            <w:sz w:val="12"/>
            <w:szCs w:val="12"/>
            <w:u w:val="single" w:color="auto"/>
            <w:color w:val="0000FF"/>
          </w:rPr>
          <w:t>Management Services Agreement, dated as of July 22, 2013, by and between NRG Energy, Inc., NRG Yield, Inc., NRG Yield</w:t>
        </w:r>
      </w:hyperlink>
      <w:r>
        <w:rPr>
          <w:rFonts w:ascii="Arial" w:cs="Arial" w:eastAsia="Arial" w:hAnsi="Arial"/>
          <w:sz w:val="12"/>
          <w:szCs w:val="12"/>
          <w:u w:val="single" w:color="auto"/>
          <w:color w:val="0000FF"/>
        </w:rPr>
        <w:t xml:space="preserve"> </w:t>
      </w:r>
      <w:hyperlink r:id="rId99">
        <w:r>
          <w:rPr>
            <w:rFonts w:ascii="Arial" w:cs="Arial" w:eastAsia="Arial" w:hAnsi="Arial"/>
            <w:sz w:val="12"/>
            <w:szCs w:val="12"/>
            <w:u w:val="single" w:color="auto"/>
            <w:color w:val="0000FF"/>
          </w:rPr>
          <w:t>LLC and NRG Yield Operating LLC.</w:t>
        </w:r>
      </w:hyperlink>
    </w:p>
    <w:p>
      <w:pPr>
        <w:spacing w:after="0" w:line="20" w:lineRule="exact"/>
        <w:rPr>
          <w:sz w:val="20"/>
          <w:szCs w:val="20"/>
          <w:color w:val="auto"/>
        </w:rPr>
      </w:pPr>
    </w:p>
    <w:p>
      <w:pPr>
        <w:jc w:val="center"/>
        <w:ind w:right="620"/>
        <w:spacing w:after="0"/>
        <w:rPr>
          <w:rFonts w:ascii="Arial" w:cs="Arial" w:eastAsia="Arial" w:hAnsi="Arial"/>
          <w:sz w:val="10"/>
          <w:szCs w:val="10"/>
          <w:u w:val="single" w:color="auto"/>
          <w:color w:val="0000FF"/>
        </w:rPr>
      </w:pPr>
      <w:hyperlink r:id="rId100">
        <w:r>
          <w:rPr>
            <w:rFonts w:ascii="Arial" w:cs="Arial" w:eastAsia="Arial" w:hAnsi="Arial"/>
            <w:sz w:val="10"/>
            <w:szCs w:val="10"/>
            <w:u w:val="single" w:color="auto"/>
            <w:color w:val="0000FF"/>
          </w:rPr>
          <w:t>Trademark License Agreement, dated as of July 22, 2013, by and between NRG Energy, Inc. and NRG Yield, Inc.</w:t>
        </w:r>
      </w:hyperlink>
    </w:p>
    <w:p>
      <w:pPr>
        <w:spacing w:after="0" w:line="215" w:lineRule="exact"/>
        <w:rPr>
          <w:sz w:val="20"/>
          <w:szCs w:val="20"/>
          <w:color w:val="auto"/>
        </w:rPr>
      </w:pPr>
    </w:p>
    <w:p>
      <w:pPr>
        <w:spacing w:after="0"/>
        <w:rPr>
          <w:rFonts w:ascii="Arial" w:cs="Arial" w:eastAsia="Arial" w:hAnsi="Arial"/>
          <w:sz w:val="10"/>
          <w:szCs w:val="10"/>
          <w:u w:val="single" w:color="auto"/>
          <w:color w:val="0000FF"/>
        </w:rPr>
      </w:pPr>
      <w:hyperlink r:id="rId101">
        <w:r>
          <w:rPr>
            <w:rFonts w:ascii="Arial" w:cs="Arial" w:eastAsia="Arial" w:hAnsi="Arial"/>
            <w:sz w:val="10"/>
            <w:szCs w:val="10"/>
            <w:u w:val="single" w:color="auto"/>
            <w:color w:val="0000FF"/>
          </w:rPr>
          <w:t>Loan Guarantee Agreement, dated as of September 30, 2011, by and among High Plains Ranch II, LLC, as borrower, the U.S.</w:t>
        </w:r>
      </w:hyperlink>
    </w:p>
    <w:p>
      <w:pPr>
        <w:spacing w:after="0" w:line="33" w:lineRule="exact"/>
        <w:rPr>
          <w:sz w:val="20"/>
          <w:szCs w:val="20"/>
          <w:color w:val="auto"/>
        </w:rPr>
      </w:pPr>
    </w:p>
    <w:p>
      <w:pPr>
        <w:spacing w:after="0"/>
        <w:rPr>
          <w:rFonts w:ascii="Arial" w:cs="Arial" w:eastAsia="Arial" w:hAnsi="Arial"/>
          <w:sz w:val="12"/>
          <w:szCs w:val="12"/>
          <w:u w:val="single" w:color="auto"/>
          <w:color w:val="0000FF"/>
        </w:rPr>
      </w:pPr>
      <w:hyperlink r:id="rId101">
        <w:r>
          <w:rPr>
            <w:rFonts w:ascii="Arial" w:cs="Arial" w:eastAsia="Arial" w:hAnsi="Arial"/>
            <w:sz w:val="12"/>
            <w:szCs w:val="12"/>
            <w:u w:val="single" w:color="auto"/>
            <w:color w:val="0000FF"/>
          </w:rPr>
          <w:t>Department of Energy, as guarantor, and the U.S. Department of Energy, as loan servicer.</w:t>
        </w:r>
      </w:hyperlink>
    </w:p>
    <w:p>
      <w:pPr>
        <w:spacing w:after="0" w:line="198"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2"/>
          <w:szCs w:val="12"/>
          <w:color w:val="auto"/>
        </w:rPr>
        <w:t>Incorporated herein by reference to Exhibit 4.2 to NRG Yield, Inc.'s Current Report on Form 8-K filed on August 5,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4.3 to NRG Yield, Inc.'s Current Report on Form 8-K filed on August 5,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November 13, 2014.</w:t>
      </w:r>
    </w:p>
    <w:p>
      <w:pPr>
        <w:spacing w:after="0" w:line="78"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February 27, 2015.</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4.07 to the Company's Registration Statement on Form S-4 filed on April 13, 2015.</w:t>
      </w:r>
    </w:p>
    <w:p>
      <w:pPr>
        <w:spacing w:after="0" w:line="136"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May 8, 2015.</w:t>
      </w:r>
    </w:p>
    <w:p>
      <w:pPr>
        <w:spacing w:after="0" w:line="136"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June 29, 2015.</w:t>
      </w:r>
    </w:p>
    <w:p>
      <w:pPr>
        <w:spacing w:after="0" w:line="136" w:lineRule="exact"/>
        <w:rPr>
          <w:sz w:val="20"/>
          <w:szCs w:val="20"/>
          <w:color w:val="auto"/>
        </w:rPr>
      </w:pPr>
    </w:p>
    <w:p>
      <w:pPr>
        <w:ind w:right="180"/>
        <w:spacing w:after="0" w:line="273" w:lineRule="auto"/>
        <w:rPr>
          <w:sz w:val="20"/>
          <w:szCs w:val="20"/>
          <w:color w:val="auto"/>
        </w:rPr>
      </w:pPr>
      <w:r>
        <w:rPr>
          <w:rFonts w:ascii="Arial" w:cs="Arial" w:eastAsia="Arial" w:hAnsi="Arial"/>
          <w:sz w:val="12"/>
          <w:szCs w:val="12"/>
          <w:color w:val="auto"/>
        </w:rPr>
        <w:t>Incorporated herein by reference to Exhibit 4.2 to NRG Yield, Inc.'s Current Report on Form 8-K filed on June 29, 2015</w:t>
      </w:r>
      <w:r>
        <w:rPr>
          <w:rFonts w:ascii="Arial" w:cs="Arial" w:eastAsia="Arial" w:hAnsi="Arial"/>
          <w:sz w:val="15"/>
          <w:szCs w:val="15"/>
          <w:color w:val="auto"/>
        </w:rPr>
        <w:t>.</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4.1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4.2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4.3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4.1 to the Registrant's Current Report on Form 8-K, filed on January 31, 2018.</w:t>
      </w:r>
    </w:p>
    <w:p>
      <w:pPr>
        <w:spacing w:after="0" w:line="399"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4.2 to the Registrant's Current Report on Form 8-K, filed on January 31, 2018.</w:t>
      </w:r>
    </w:p>
    <w:p>
      <w:pPr>
        <w:spacing w:after="0" w:line="34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10.2 to NRG Yield, Inc.'s Current Report on Form 8-K filed on May 15, 2015.</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 filed on May 15, 2015.</w:t>
      </w:r>
    </w:p>
    <w:p>
      <w:pPr>
        <w:spacing w:after="0" w:line="136"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10.3 to NRG Yield, Inc.'s Annual Report on Form 10-K filed on February 28, 2017.</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10.4 to NRG Yield, Inc.'s Current Report on Form 8-K filed on July 26,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10.5 to NRG Yield, Inc.'s Current Report on Form 8-K filed on July 26,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10.8 to NRG Yield, Inc.'s Draft Registration Statement on Form S-1 filed on February 13, 2013.</w:t>
      </w:r>
    </w:p>
    <w:p>
      <w:pPr>
        <w:sectPr>
          <w:pgSz w:w="11900" w:h="16838" w:orient="portrait"/>
          <w:cols w:equalWidth="0" w:num="3">
            <w:col w:w="320" w:space="720"/>
            <w:col w:w="5940" w:space="140"/>
            <w:col w:w="4220"/>
          </w:cols>
          <w:pgMar w:left="240" w:top="832"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color w:val="auto"/>
              </w:rPr>
              <w:t>10.7</w:t>
            </w:r>
          </w:p>
        </w:tc>
        <w:tc>
          <w:tcPr>
            <w:tcW w:w="5840" w:type="dxa"/>
            <w:vAlign w:val="bottom"/>
            <w:tcBorders>
              <w:bottom w:val="single" w:sz="8" w:color="0000FF"/>
            </w:tcBorders>
            <w:gridSpan w:val="21"/>
          </w:tcPr>
          <w:p>
            <w:pPr>
              <w:spacing w:after="0"/>
              <w:rPr>
                <w:rFonts w:ascii="Arial" w:cs="Arial" w:eastAsia="Arial" w:hAnsi="Arial"/>
                <w:sz w:val="12"/>
                <w:szCs w:val="12"/>
                <w:color w:val="0000FF"/>
                <w:w w:val="87"/>
              </w:rPr>
            </w:pPr>
            <w:hyperlink r:id="rId102">
              <w:r>
                <w:rPr>
                  <w:rFonts w:ascii="Arial" w:cs="Arial" w:eastAsia="Arial" w:hAnsi="Arial"/>
                  <w:sz w:val="12"/>
                  <w:szCs w:val="12"/>
                  <w:color w:val="0000FF"/>
                  <w:w w:val="87"/>
                </w:rPr>
                <w:t>Operation and Maintenance Agreement, dated as of January 31, 2011, by and between Avenal Solar Holdings LLC and NRG</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040" w:type="dxa"/>
            <w:vAlign w:val="bottom"/>
            <w:tcBorders>
              <w:bottom w:val="single" w:sz="8" w:color="0000FF"/>
            </w:tcBorders>
            <w:gridSpan w:val="6"/>
          </w:tcPr>
          <w:p>
            <w:pPr>
              <w:spacing w:after="0" w:line="126" w:lineRule="exact"/>
              <w:rPr>
                <w:rFonts w:ascii="Arial" w:cs="Arial" w:eastAsia="Arial" w:hAnsi="Arial"/>
                <w:sz w:val="12"/>
                <w:szCs w:val="12"/>
                <w:color w:val="0000FF"/>
                <w:w w:val="87"/>
              </w:rPr>
            </w:pPr>
            <w:hyperlink r:id="rId102">
              <w:r>
                <w:rPr>
                  <w:rFonts w:ascii="Arial" w:cs="Arial" w:eastAsia="Arial" w:hAnsi="Arial"/>
                  <w:sz w:val="12"/>
                  <w:szCs w:val="12"/>
                  <w:color w:val="0000FF"/>
                  <w:w w:val="87"/>
                </w:rPr>
                <w:t>Energy Services LLC.</w:t>
              </w:r>
            </w:hyperlink>
          </w:p>
        </w:tc>
        <w:tc>
          <w:tcPr>
            <w:tcW w:w="48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10.8</w:t>
            </w:r>
          </w:p>
        </w:tc>
        <w:tc>
          <w:tcPr>
            <w:tcW w:w="5740" w:type="dxa"/>
            <w:vAlign w:val="bottom"/>
            <w:tcBorders>
              <w:bottom w:val="single" w:sz="8" w:color="0000FF"/>
            </w:tcBorders>
            <w:gridSpan w:val="18"/>
          </w:tcPr>
          <w:p>
            <w:pPr>
              <w:spacing w:after="0"/>
              <w:rPr>
                <w:rFonts w:ascii="Arial" w:cs="Arial" w:eastAsia="Arial" w:hAnsi="Arial"/>
                <w:sz w:val="12"/>
                <w:szCs w:val="12"/>
                <w:color w:val="0000FF"/>
                <w:w w:val="88"/>
              </w:rPr>
            </w:pPr>
            <w:hyperlink r:id="rId103">
              <w:r>
                <w:rPr>
                  <w:rFonts w:ascii="Arial" w:cs="Arial" w:eastAsia="Arial" w:hAnsi="Arial"/>
                  <w:sz w:val="12"/>
                  <w:szCs w:val="12"/>
                  <w:color w:val="0000FF"/>
                  <w:w w:val="88"/>
                </w:rPr>
                <w:t>Asset Management Agreement, dated as of August 30, 2012, by and between NRG Solar Avra Valley LLC and NRG Solar</w:t>
              </w:r>
            </w:hyperlink>
          </w:p>
        </w:tc>
        <w:tc>
          <w:tcPr>
            <w:tcW w:w="1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80" w:type="dxa"/>
            <w:vAlign w:val="bottom"/>
            <w:tcBorders>
              <w:bottom w:val="single" w:sz="8" w:color="0000FF"/>
            </w:tcBorders>
            <w:gridSpan w:val="8"/>
          </w:tcPr>
          <w:p>
            <w:pPr>
              <w:spacing w:after="0" w:line="126" w:lineRule="exact"/>
              <w:rPr>
                <w:rFonts w:ascii="Arial" w:cs="Arial" w:eastAsia="Arial" w:hAnsi="Arial"/>
                <w:sz w:val="12"/>
                <w:szCs w:val="12"/>
                <w:color w:val="0000FF"/>
                <w:w w:val="87"/>
              </w:rPr>
            </w:pPr>
            <w:hyperlink r:id="rId103">
              <w:r>
                <w:rPr>
                  <w:rFonts w:ascii="Arial" w:cs="Arial" w:eastAsia="Arial" w:hAnsi="Arial"/>
                  <w:sz w:val="12"/>
                  <w:szCs w:val="12"/>
                  <w:color w:val="0000FF"/>
                  <w:w w:val="87"/>
                </w:rPr>
                <w:t>Asset Management LLC.</w:t>
              </w:r>
            </w:hyperlink>
          </w:p>
        </w:tc>
        <w:tc>
          <w:tcPr>
            <w:tcW w:w="474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10.9</w:t>
            </w:r>
          </w:p>
        </w:tc>
        <w:tc>
          <w:tcPr>
            <w:tcW w:w="5920" w:type="dxa"/>
            <w:vAlign w:val="bottom"/>
            <w:gridSpan w:val="25"/>
          </w:tcPr>
          <w:p>
            <w:pPr>
              <w:spacing w:after="0"/>
              <w:rPr>
                <w:rFonts w:ascii="Arial" w:cs="Arial" w:eastAsia="Arial" w:hAnsi="Arial"/>
                <w:sz w:val="12"/>
                <w:szCs w:val="12"/>
                <w:color w:val="0000FF"/>
                <w:w w:val="90"/>
              </w:rPr>
            </w:pPr>
            <w:hyperlink r:id="rId104">
              <w:r>
                <w:rPr>
                  <w:rFonts w:ascii="Arial" w:cs="Arial" w:eastAsia="Arial" w:hAnsi="Arial"/>
                  <w:sz w:val="12"/>
                  <w:szCs w:val="12"/>
                  <w:color w:val="0000FF"/>
                  <w:w w:val="90"/>
                </w:rPr>
                <w:t>Operation and Maintenance Agreement, dated as of August 1, 2012, by and between NRG Energy Services LLC and NRG</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20" w:type="dxa"/>
            <w:vAlign w:val="bottom"/>
            <w:tcBorders>
              <w:top w:val="single" w:sz="8" w:color="0000FF"/>
            </w:tcBorders>
            <w:gridSpan w:val="17"/>
          </w:tcPr>
          <w:p>
            <w:pPr>
              <w:spacing w:after="0" w:line="126" w:lineRule="exact"/>
              <w:rPr>
                <w:rFonts w:ascii="Arial" w:cs="Arial" w:eastAsia="Arial" w:hAnsi="Arial"/>
                <w:sz w:val="12"/>
                <w:szCs w:val="12"/>
                <w:color w:val="0000FF"/>
              </w:rPr>
            </w:pPr>
            <w:hyperlink r:id="rId104">
              <w:r>
                <w:rPr>
                  <w:rFonts w:ascii="Arial" w:cs="Arial" w:eastAsia="Arial" w:hAnsi="Arial"/>
                  <w:sz w:val="12"/>
                  <w:szCs w:val="12"/>
                  <w:color w:val="0000FF"/>
                </w:rPr>
                <w:t>Solar Borrego I LLC.</w:t>
              </w:r>
            </w:hyperlink>
          </w:p>
        </w:tc>
        <w:tc>
          <w:tcPr>
            <w:tcW w:w="20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10.10</w:t>
            </w:r>
          </w:p>
        </w:tc>
        <w:tc>
          <w:tcPr>
            <w:tcW w:w="5760" w:type="dxa"/>
            <w:vAlign w:val="bottom"/>
            <w:tcBorders>
              <w:bottom w:val="single" w:sz="8" w:color="0000FF"/>
            </w:tcBorders>
            <w:gridSpan w:val="19"/>
          </w:tcPr>
          <w:p>
            <w:pPr>
              <w:spacing w:after="0"/>
              <w:rPr>
                <w:rFonts w:ascii="Arial" w:cs="Arial" w:eastAsia="Arial" w:hAnsi="Arial"/>
                <w:sz w:val="12"/>
                <w:szCs w:val="12"/>
                <w:color w:val="0000FF"/>
                <w:w w:val="88"/>
              </w:rPr>
            </w:pPr>
            <w:hyperlink r:id="rId105">
              <w:r>
                <w:rPr>
                  <w:rFonts w:ascii="Arial" w:cs="Arial" w:eastAsia="Arial" w:hAnsi="Arial"/>
                  <w:sz w:val="12"/>
                  <w:szCs w:val="12"/>
                  <w:color w:val="0000FF"/>
                  <w:w w:val="88"/>
                </w:rPr>
                <w:t>Asset Management Agreement, dated as of March 15, 2012, by and between NRG Solar Alpine LLC and NRG Solar Asset</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05">
              <w:r>
                <w:rPr>
                  <w:rFonts w:ascii="Arial" w:cs="Arial" w:eastAsia="Arial" w:hAnsi="Arial"/>
                  <w:sz w:val="12"/>
                  <w:szCs w:val="12"/>
                  <w:color w:val="0000FF"/>
                </w:rPr>
                <w:t>Management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10.11</w:t>
            </w:r>
          </w:p>
        </w:tc>
        <w:tc>
          <w:tcPr>
            <w:tcW w:w="5920" w:type="dxa"/>
            <w:vAlign w:val="bottom"/>
            <w:tcBorders>
              <w:bottom w:val="single" w:sz="8" w:color="0000FF"/>
            </w:tcBorders>
            <w:gridSpan w:val="25"/>
          </w:tcPr>
          <w:p>
            <w:pPr>
              <w:spacing w:after="0"/>
              <w:rPr>
                <w:rFonts w:ascii="Arial" w:cs="Arial" w:eastAsia="Arial" w:hAnsi="Arial"/>
                <w:sz w:val="12"/>
                <w:szCs w:val="12"/>
                <w:color w:val="0000FF"/>
                <w:w w:val="87"/>
              </w:rPr>
            </w:pPr>
            <w:hyperlink r:id="rId106">
              <w:r>
                <w:rPr>
                  <w:rFonts w:ascii="Arial" w:cs="Arial" w:eastAsia="Arial" w:hAnsi="Arial"/>
                  <w:sz w:val="12"/>
                  <w:szCs w:val="12"/>
                  <w:color w:val="0000FF"/>
                  <w:w w:val="87"/>
                </w:rPr>
                <w:t>Operation and Maintenance Agreement, dated as of September 30, 2011, by and between NRG Energy Services LLC and High</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06">
              <w:r>
                <w:rPr>
                  <w:rFonts w:ascii="Arial" w:cs="Arial" w:eastAsia="Arial" w:hAnsi="Arial"/>
                  <w:sz w:val="12"/>
                  <w:szCs w:val="12"/>
                  <w:color w:val="0000FF"/>
                </w:rPr>
                <w:t>Plains Ranch II,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10.12</w:t>
            </w:r>
          </w:p>
        </w:tc>
        <w:tc>
          <w:tcPr>
            <w:tcW w:w="5660" w:type="dxa"/>
            <w:vAlign w:val="bottom"/>
            <w:tcBorders>
              <w:bottom w:val="single" w:sz="8" w:color="0000FF"/>
            </w:tcBorders>
            <w:gridSpan w:val="16"/>
          </w:tcPr>
          <w:p>
            <w:pPr>
              <w:spacing w:after="0"/>
              <w:rPr>
                <w:rFonts w:ascii="Arial" w:cs="Arial" w:eastAsia="Arial" w:hAnsi="Arial"/>
                <w:sz w:val="12"/>
                <w:szCs w:val="12"/>
                <w:color w:val="0000FF"/>
                <w:w w:val="88"/>
              </w:rPr>
            </w:pPr>
            <w:hyperlink r:id="rId107">
              <w:r>
                <w:rPr>
                  <w:rFonts w:ascii="Arial" w:cs="Arial" w:eastAsia="Arial" w:hAnsi="Arial"/>
                  <w:sz w:val="12"/>
                  <w:szCs w:val="12"/>
                  <w:color w:val="0000FF"/>
                  <w:w w:val="88"/>
                </w:rPr>
                <w:t>Project Administration Agreement, dated as of August 16, 2010, by and between South Trent Wind LLC and NRG Texas</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 w:type="dxa"/>
            <w:vAlign w:val="bottom"/>
            <w:tcBorders>
              <w:bottom w:val="single" w:sz="8" w:color="0000FF"/>
            </w:tcBorders>
            <w:gridSpan w:val="2"/>
          </w:tcPr>
          <w:p>
            <w:pPr>
              <w:spacing w:after="0" w:line="126" w:lineRule="exact"/>
              <w:rPr>
                <w:rFonts w:ascii="Arial" w:cs="Arial" w:eastAsia="Arial" w:hAnsi="Arial"/>
                <w:sz w:val="12"/>
                <w:szCs w:val="12"/>
                <w:color w:val="0000FF"/>
                <w:w w:val="89"/>
              </w:rPr>
            </w:pPr>
            <w:hyperlink r:id="rId107">
              <w:r>
                <w:rPr>
                  <w:rFonts w:ascii="Arial" w:cs="Arial" w:eastAsia="Arial" w:hAnsi="Arial"/>
                  <w:sz w:val="12"/>
                  <w:szCs w:val="12"/>
                  <w:color w:val="0000FF"/>
                  <w:w w:val="89"/>
                </w:rPr>
                <w:t>Power LLC.</w:t>
              </w:r>
            </w:hyperlink>
          </w:p>
        </w:tc>
        <w:tc>
          <w:tcPr>
            <w:tcW w:w="534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10.13</w:t>
            </w:r>
          </w:p>
        </w:tc>
        <w:tc>
          <w:tcPr>
            <w:tcW w:w="5920" w:type="dxa"/>
            <w:vAlign w:val="bottom"/>
            <w:gridSpan w:val="25"/>
          </w:tcPr>
          <w:p>
            <w:pPr>
              <w:spacing w:after="0"/>
              <w:rPr>
                <w:rFonts w:ascii="Arial" w:cs="Arial" w:eastAsia="Arial" w:hAnsi="Arial"/>
                <w:sz w:val="12"/>
                <w:szCs w:val="12"/>
                <w:color w:val="0000FF"/>
                <w:w w:val="94"/>
              </w:rPr>
            </w:pPr>
            <w:hyperlink r:id="rId108">
              <w:r>
                <w:rPr>
                  <w:rFonts w:ascii="Arial" w:cs="Arial" w:eastAsia="Arial" w:hAnsi="Arial"/>
                  <w:sz w:val="12"/>
                  <w:szCs w:val="12"/>
                  <w:color w:val="0000FF"/>
                  <w:w w:val="94"/>
                </w:rPr>
                <w:t>Operation and Maintenance Agreement, dated as of April 24, 2009, by and between GenConn Devon LLC and Devon</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26" w:lineRule="exact"/>
              <w:rPr>
                <w:rFonts w:ascii="Arial" w:cs="Arial" w:eastAsia="Arial" w:hAnsi="Arial"/>
                <w:sz w:val="12"/>
                <w:szCs w:val="12"/>
                <w:color w:val="0000FF"/>
                <w:w w:val="89"/>
              </w:rPr>
            </w:pPr>
            <w:hyperlink r:id="rId108">
              <w:r>
                <w:rPr>
                  <w:rFonts w:ascii="Arial" w:cs="Arial" w:eastAsia="Arial" w:hAnsi="Arial"/>
                  <w:sz w:val="12"/>
                  <w:szCs w:val="12"/>
                  <w:color w:val="0000FF"/>
                  <w:w w:val="89"/>
                </w:rPr>
                <w:t>Power LLC.</w:t>
              </w:r>
            </w:hyperlink>
          </w:p>
        </w:tc>
        <w:tc>
          <w:tcPr>
            <w:tcW w:w="4920" w:type="dxa"/>
            <w:vAlign w:val="bottom"/>
            <w:tcBorders>
              <w:top w:val="single" w:sz="8" w:color="0000FF"/>
            </w:tcBorders>
            <w:gridSpan w:val="12"/>
          </w:tcPr>
          <w:p>
            <w:pPr>
              <w:spacing w:after="0"/>
              <w:rPr>
                <w:sz w:val="10"/>
                <w:szCs w:val="10"/>
                <w:color w:val="auto"/>
              </w:rPr>
            </w:pPr>
          </w:p>
        </w:tc>
        <w:tc>
          <w:tcPr>
            <w:tcW w:w="4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10.14</w:t>
            </w:r>
          </w:p>
        </w:tc>
        <w:tc>
          <w:tcPr>
            <w:tcW w:w="5920" w:type="dxa"/>
            <w:vAlign w:val="bottom"/>
            <w:gridSpan w:val="25"/>
          </w:tcPr>
          <w:p>
            <w:pPr>
              <w:spacing w:after="0"/>
              <w:rPr>
                <w:rFonts w:ascii="Arial" w:cs="Arial" w:eastAsia="Arial" w:hAnsi="Arial"/>
                <w:sz w:val="12"/>
                <w:szCs w:val="12"/>
                <w:color w:val="0000FF"/>
                <w:w w:val="96"/>
              </w:rPr>
            </w:pPr>
            <w:hyperlink r:id="rId109">
              <w:r>
                <w:rPr>
                  <w:rFonts w:ascii="Arial" w:cs="Arial" w:eastAsia="Arial" w:hAnsi="Arial"/>
                  <w:sz w:val="12"/>
                  <w:szCs w:val="12"/>
                  <w:color w:val="0000FF"/>
                  <w:w w:val="96"/>
                </w:rPr>
                <w:t>Operation and Maintenance Agreement, dated as of April 24, 2009, by and between GenConn Middletown LLC and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8"/>
          </w:tcPr>
          <w:p>
            <w:pPr>
              <w:spacing w:after="0" w:line="126" w:lineRule="exact"/>
              <w:rPr>
                <w:rFonts w:ascii="Arial" w:cs="Arial" w:eastAsia="Arial" w:hAnsi="Arial"/>
                <w:sz w:val="12"/>
                <w:szCs w:val="12"/>
                <w:color w:val="0000FF"/>
                <w:w w:val="91"/>
              </w:rPr>
            </w:pPr>
            <w:hyperlink r:id="rId109">
              <w:r>
                <w:rPr>
                  <w:rFonts w:ascii="Arial" w:cs="Arial" w:eastAsia="Arial" w:hAnsi="Arial"/>
                  <w:sz w:val="12"/>
                  <w:szCs w:val="12"/>
                  <w:color w:val="0000FF"/>
                  <w:w w:val="91"/>
                </w:rPr>
                <w:t>Middletown Power LLC.</w:t>
              </w:r>
            </w:hyperlink>
          </w:p>
        </w:tc>
        <w:tc>
          <w:tcPr>
            <w:tcW w:w="4240" w:type="dxa"/>
            <w:vAlign w:val="bottom"/>
            <w:tcBorders>
              <w:top w:val="single" w:sz="8" w:color="0000FF"/>
            </w:tcBorders>
            <w:gridSpan w:val="5"/>
          </w:tcPr>
          <w:p>
            <w:pPr>
              <w:spacing w:after="0"/>
              <w:rPr>
                <w:sz w:val="10"/>
                <w:szCs w:val="10"/>
                <w:color w:val="auto"/>
              </w:rPr>
            </w:pPr>
          </w:p>
        </w:tc>
        <w:tc>
          <w:tcPr>
            <w:tcW w:w="50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10.15</w:t>
            </w:r>
          </w:p>
        </w:tc>
        <w:tc>
          <w:tcPr>
            <w:tcW w:w="5920" w:type="dxa"/>
            <w:vAlign w:val="bottom"/>
            <w:tcBorders>
              <w:bottom w:val="single" w:sz="8" w:color="0000FF"/>
            </w:tcBorders>
            <w:gridSpan w:val="25"/>
          </w:tcPr>
          <w:p>
            <w:pPr>
              <w:spacing w:after="0"/>
              <w:rPr>
                <w:rFonts w:ascii="Arial" w:cs="Arial" w:eastAsia="Arial" w:hAnsi="Arial"/>
                <w:sz w:val="12"/>
                <w:szCs w:val="12"/>
                <w:color w:val="0000FF"/>
                <w:w w:val="88"/>
              </w:rPr>
            </w:pPr>
            <w:hyperlink r:id="rId110">
              <w:r>
                <w:rPr>
                  <w:rFonts w:ascii="Arial" w:cs="Arial" w:eastAsia="Arial" w:hAnsi="Arial"/>
                  <w:sz w:val="12"/>
                  <w:szCs w:val="12"/>
                  <w:color w:val="0000FF"/>
                  <w:w w:val="88"/>
                </w:rPr>
                <w:t>Administrative Services Agreement, dated as of April 2, 2009, by and between GenOn Energy Services, LLC (formerly Mirant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4080" w:type="dxa"/>
            <w:vAlign w:val="bottom"/>
            <w:tcBorders>
              <w:bottom w:val="single" w:sz="8" w:color="0000FF"/>
            </w:tcBorders>
            <w:gridSpan w:val="12"/>
          </w:tcPr>
          <w:p>
            <w:pPr>
              <w:spacing w:after="0" w:line="126" w:lineRule="exact"/>
              <w:rPr>
                <w:rFonts w:ascii="Arial" w:cs="Arial" w:eastAsia="Arial" w:hAnsi="Arial"/>
                <w:sz w:val="12"/>
                <w:szCs w:val="12"/>
                <w:color w:val="0000FF"/>
                <w:w w:val="91"/>
              </w:rPr>
            </w:pPr>
            <w:hyperlink r:id="rId110">
              <w:r>
                <w:rPr>
                  <w:rFonts w:ascii="Arial" w:cs="Arial" w:eastAsia="Arial" w:hAnsi="Arial"/>
                  <w:sz w:val="12"/>
                  <w:szCs w:val="12"/>
                  <w:color w:val="0000FF"/>
                  <w:w w:val="91"/>
                </w:rPr>
                <w:t>Services, LLC) and NRG Marsh Landing, LLC (formerly Mirant Marsh Landing, LLC.</w:t>
              </w:r>
            </w:hyperlink>
          </w:p>
        </w:tc>
        <w:tc>
          <w:tcPr>
            <w:tcW w:w="184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10.16</w:t>
            </w:r>
          </w:p>
        </w:tc>
        <w:tc>
          <w:tcPr>
            <w:tcW w:w="5920" w:type="dxa"/>
            <w:vAlign w:val="bottom"/>
            <w:gridSpan w:val="25"/>
          </w:tcPr>
          <w:p>
            <w:pPr>
              <w:spacing w:after="0"/>
              <w:rPr>
                <w:rFonts w:ascii="Arial" w:cs="Arial" w:eastAsia="Arial" w:hAnsi="Arial"/>
                <w:sz w:val="12"/>
                <w:szCs w:val="12"/>
                <w:color w:val="0000FF"/>
              </w:rPr>
            </w:pPr>
            <w:hyperlink r:id="rId111">
              <w:r>
                <w:rPr>
                  <w:rFonts w:ascii="Arial" w:cs="Arial" w:eastAsia="Arial" w:hAnsi="Arial"/>
                  <w:sz w:val="12"/>
                  <w:szCs w:val="12"/>
                  <w:color w:val="0000FF"/>
                </w:rPr>
                <w:t>Form of Indemnification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6"/>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10.17.1</w:t>
            </w:r>
          </w:p>
        </w:tc>
        <w:tc>
          <w:tcPr>
            <w:tcW w:w="5860" w:type="dxa"/>
            <w:vAlign w:val="bottom"/>
            <w:tcBorders>
              <w:bottom w:val="single" w:sz="8" w:color="0000FF"/>
            </w:tcBorders>
            <w:gridSpan w:val="22"/>
          </w:tcPr>
          <w:p>
            <w:pPr>
              <w:spacing w:after="0"/>
              <w:rPr>
                <w:rFonts w:ascii="Arial" w:cs="Arial" w:eastAsia="Arial" w:hAnsi="Arial"/>
                <w:sz w:val="12"/>
                <w:szCs w:val="12"/>
                <w:color w:val="0000FF"/>
                <w:w w:val="89"/>
              </w:rPr>
            </w:pPr>
            <w:hyperlink r:id="rId112">
              <w:r>
                <w:rPr>
                  <w:rFonts w:ascii="Arial" w:cs="Arial" w:eastAsia="Arial" w:hAnsi="Arial"/>
                  <w:sz w:val="12"/>
                  <w:szCs w:val="12"/>
                  <w:color w:val="0000FF"/>
                  <w:w w:val="89"/>
                </w:rPr>
                <w:t>Amended and Restated Credit Agreement, dated April 25, 2014, by and among NRG Yield Operating LLC, NRG Yield LLC,</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w w:val="88"/>
              </w:rPr>
            </w:pPr>
            <w:hyperlink r:id="rId112">
              <w:r>
                <w:rPr>
                  <w:rFonts w:ascii="Arial" w:cs="Arial" w:eastAsia="Arial" w:hAnsi="Arial"/>
                  <w:sz w:val="12"/>
                  <w:szCs w:val="12"/>
                  <w:color w:val="0000FF"/>
                  <w:w w:val="88"/>
                </w:rPr>
                <w:t>Royal Bank of Canada, as Administrative Agent, the lenders party thereto, Royal Bank of Canada, Goldman Sachs Bank USA</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18"/>
          </w:tcPr>
          <w:p>
            <w:pPr>
              <w:spacing w:after="0" w:line="126" w:lineRule="exact"/>
              <w:rPr>
                <w:rFonts w:ascii="Arial" w:cs="Arial" w:eastAsia="Arial" w:hAnsi="Arial"/>
                <w:sz w:val="12"/>
                <w:szCs w:val="12"/>
                <w:color w:val="0000FF"/>
                <w:w w:val="88"/>
              </w:rPr>
            </w:pPr>
            <w:hyperlink r:id="rId112">
              <w:r>
                <w:rPr>
                  <w:rFonts w:ascii="Arial" w:cs="Arial" w:eastAsia="Arial" w:hAnsi="Arial"/>
                  <w:sz w:val="12"/>
                  <w:szCs w:val="12"/>
                  <w:color w:val="0000FF"/>
                  <w:w w:val="88"/>
                </w:rPr>
                <w:t>and Bank of America, N.A., as L/C Issuers and RBC Capital Markets as Sole Left Lead Arranger and Sole Left Lead Book</w:t>
              </w:r>
            </w:hyperlink>
          </w:p>
        </w:tc>
        <w:tc>
          <w:tcPr>
            <w:tcW w:w="14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2">
              <w:r>
                <w:rPr>
                  <w:rFonts w:ascii="Arial" w:cs="Arial" w:eastAsia="Arial" w:hAnsi="Arial"/>
                  <w:sz w:val="12"/>
                  <w:szCs w:val="12"/>
                  <w:color w:val="0000FF"/>
                </w:rPr>
                <w:t>Runner.</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10.17.2</w:t>
            </w: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vMerge w:val="continue"/>
          </w:tcPr>
          <w:p>
            <w:pPr>
              <w:spacing w:after="0"/>
              <w:rPr>
                <w:sz w:val="16"/>
                <w:szCs w:val="16"/>
                <w:color w:val="auto"/>
              </w:rPr>
            </w:pPr>
          </w:p>
        </w:tc>
        <w:tc>
          <w:tcPr>
            <w:tcW w:w="5880" w:type="dxa"/>
            <w:vAlign w:val="bottom"/>
            <w:gridSpan w:val="24"/>
            <w:vMerge w:val="restart"/>
          </w:tcPr>
          <w:p>
            <w:pPr>
              <w:spacing w:after="0"/>
              <w:rPr>
                <w:rFonts w:ascii="Arial" w:cs="Arial" w:eastAsia="Arial" w:hAnsi="Arial"/>
                <w:sz w:val="12"/>
                <w:szCs w:val="12"/>
                <w:color w:val="0000FF"/>
                <w:w w:val="88"/>
              </w:rPr>
            </w:pPr>
            <w:hyperlink r:id="rId113">
              <w:r>
                <w:rPr>
                  <w:rFonts w:ascii="Arial" w:cs="Arial" w:eastAsia="Arial" w:hAnsi="Arial"/>
                  <w:sz w:val="12"/>
                  <w:szCs w:val="12"/>
                  <w:color w:val="0000FF"/>
                  <w:w w:val="88"/>
                </w:rPr>
                <w:t>First Amendment to Amended &amp; Restated Credit Agreement, dated June 26, 2015, by and among NRG Yield Operating LLC,</w:t>
              </w:r>
            </w:hyperlink>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80" w:type="dxa"/>
            <w:vAlign w:val="bottom"/>
            <w:tcBorders>
              <w:bottom w:val="single" w:sz="8" w:color="0000FF"/>
            </w:tcBorders>
            <w:gridSpan w:val="2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3320" w:type="dxa"/>
            <w:vAlign w:val="bottom"/>
            <w:tcBorders>
              <w:bottom w:val="single" w:sz="8" w:color="0000FF"/>
            </w:tcBorders>
            <w:gridSpan w:val="11"/>
          </w:tcPr>
          <w:p>
            <w:pPr>
              <w:spacing w:after="0" w:line="126" w:lineRule="exact"/>
              <w:rPr>
                <w:rFonts w:ascii="Arial" w:cs="Arial" w:eastAsia="Arial" w:hAnsi="Arial"/>
                <w:sz w:val="12"/>
                <w:szCs w:val="12"/>
                <w:color w:val="0000FF"/>
                <w:w w:val="88"/>
              </w:rPr>
            </w:pPr>
            <w:hyperlink r:id="rId113">
              <w:r>
                <w:rPr>
                  <w:rFonts w:ascii="Arial" w:cs="Arial" w:eastAsia="Arial" w:hAnsi="Arial"/>
                  <w:sz w:val="12"/>
                  <w:szCs w:val="12"/>
                  <w:color w:val="0000FF"/>
                  <w:w w:val="88"/>
                </w:rPr>
                <w:t>NRG Yield LLC, Royal Bank of Canada and the Lenders party thereto.</w:t>
              </w:r>
            </w:hyperlink>
          </w:p>
        </w:tc>
        <w:tc>
          <w:tcPr>
            <w:tcW w:w="260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10.17.3</w:t>
            </w:r>
          </w:p>
        </w:tc>
        <w:tc>
          <w:tcPr>
            <w:tcW w:w="5880" w:type="dxa"/>
            <w:vAlign w:val="bottom"/>
            <w:tcBorders>
              <w:bottom w:val="single" w:sz="8" w:color="0000FF"/>
            </w:tcBorders>
            <w:gridSpan w:val="23"/>
          </w:tcPr>
          <w:p>
            <w:pPr>
              <w:spacing w:after="0"/>
              <w:rPr>
                <w:rFonts w:ascii="Arial" w:cs="Arial" w:eastAsia="Arial" w:hAnsi="Arial"/>
                <w:sz w:val="12"/>
                <w:szCs w:val="12"/>
                <w:color w:val="0000FF"/>
                <w:w w:val="87"/>
              </w:rPr>
            </w:pPr>
            <w:hyperlink r:id="rId114">
              <w:r>
                <w:rPr>
                  <w:rFonts w:ascii="Arial" w:cs="Arial" w:eastAsia="Arial" w:hAnsi="Arial"/>
                  <w:sz w:val="12"/>
                  <w:szCs w:val="12"/>
                  <w:color w:val="0000FF"/>
                  <w:w w:val="87"/>
                </w:rPr>
                <w:t>Second Amendment to Amended &amp; Restated Credit Agreement, dated February 6, 2018, by and among NRG Yield Operating</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w w:val="91"/>
              </w:rPr>
            </w:pPr>
            <w:hyperlink r:id="rId114">
              <w:r>
                <w:rPr>
                  <w:rFonts w:ascii="Arial" w:cs="Arial" w:eastAsia="Arial" w:hAnsi="Arial"/>
                  <w:sz w:val="12"/>
                  <w:szCs w:val="12"/>
                  <w:color w:val="0000FF"/>
                  <w:w w:val="91"/>
                </w:rPr>
                <w:t>LLC, NRG Yield LLC, the guarantors party thereto, Royal Bank of Canada, as Administrative Agent, and the lenders party</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40" w:type="dxa"/>
            <w:vAlign w:val="bottom"/>
            <w:tcBorders>
              <w:top w:val="single" w:sz="8" w:color="0000FF"/>
            </w:tcBorders>
            <w:gridSpan w:val="18"/>
          </w:tcPr>
          <w:p>
            <w:pPr>
              <w:spacing w:after="0" w:line="126" w:lineRule="exact"/>
              <w:rPr>
                <w:rFonts w:ascii="Arial" w:cs="Arial" w:eastAsia="Arial" w:hAnsi="Arial"/>
                <w:sz w:val="12"/>
                <w:szCs w:val="12"/>
                <w:color w:val="0000FF"/>
              </w:rPr>
            </w:pPr>
            <w:hyperlink r:id="rId114">
              <w:r>
                <w:rPr>
                  <w:rFonts w:ascii="Arial" w:cs="Arial" w:eastAsia="Arial" w:hAnsi="Arial"/>
                  <w:sz w:val="12"/>
                  <w:szCs w:val="12"/>
                  <w:color w:val="0000FF"/>
                </w:rPr>
                <w:t>thereto.</w:t>
              </w:r>
            </w:hyperlink>
          </w:p>
        </w:tc>
        <w:tc>
          <w:tcPr>
            <w:tcW w:w="1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10.18.1</w:t>
            </w:r>
          </w:p>
        </w:tc>
        <w:tc>
          <w:tcPr>
            <w:tcW w:w="5640" w:type="dxa"/>
            <w:vAlign w:val="bottom"/>
            <w:tcBorders>
              <w:bottom w:val="single" w:sz="8" w:color="0000FF"/>
            </w:tcBorders>
            <w:gridSpan w:val="15"/>
          </w:tcPr>
          <w:p>
            <w:pPr>
              <w:spacing w:after="0"/>
              <w:rPr>
                <w:rFonts w:ascii="Arial" w:cs="Arial" w:eastAsia="Arial" w:hAnsi="Arial"/>
                <w:sz w:val="12"/>
                <w:szCs w:val="12"/>
                <w:color w:val="0000FF"/>
                <w:w w:val="89"/>
              </w:rPr>
            </w:pPr>
            <w:hyperlink r:id="rId115">
              <w:r>
                <w:rPr>
                  <w:rFonts w:ascii="Arial" w:cs="Arial" w:eastAsia="Arial" w:hAnsi="Arial"/>
                  <w:sz w:val="12"/>
                  <w:szCs w:val="12"/>
                  <w:color w:val="0000FF"/>
                  <w:w w:val="89"/>
                </w:rPr>
                <w:t>Credit Agreement, dated as of August 23, 2011, among NRG West Holdings LLC, ING Capital LLC, Union Bank, N.A.,</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20" w:type="dxa"/>
            <w:vAlign w:val="bottom"/>
            <w:tcBorders>
              <w:bottom w:val="single" w:sz="8" w:color="0000FF"/>
            </w:tcBorders>
            <w:gridSpan w:val="20"/>
          </w:tcPr>
          <w:p>
            <w:pPr>
              <w:spacing w:after="0" w:line="126" w:lineRule="exact"/>
              <w:rPr>
                <w:rFonts w:ascii="Arial" w:cs="Arial" w:eastAsia="Arial" w:hAnsi="Arial"/>
                <w:sz w:val="12"/>
                <w:szCs w:val="12"/>
                <w:color w:val="0000FF"/>
                <w:w w:val="88"/>
              </w:rPr>
            </w:pPr>
            <w:hyperlink r:id="rId115">
              <w:r>
                <w:rPr>
                  <w:rFonts w:ascii="Arial" w:cs="Arial" w:eastAsia="Arial" w:hAnsi="Arial"/>
                  <w:sz w:val="12"/>
                  <w:szCs w:val="12"/>
                  <w:color w:val="0000FF"/>
                  <w:w w:val="88"/>
                </w:rPr>
                <w:t>Mizuho Corporate Bank, Ltd., RBS Securities Inc., Credit Agricole Corporate and Investment Bank, and each of lenders and</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5">
              <w:r>
                <w:rPr>
                  <w:rFonts w:ascii="Arial" w:cs="Arial" w:eastAsia="Arial" w:hAnsi="Arial"/>
                  <w:sz w:val="12"/>
                  <w:szCs w:val="12"/>
                  <w:color w:val="0000FF"/>
                </w:rPr>
                <w:t>issuing banks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10.18.2</w:t>
            </w:r>
          </w:p>
        </w:tc>
        <w:tc>
          <w:tcPr>
            <w:tcW w:w="5660" w:type="dxa"/>
            <w:vAlign w:val="bottom"/>
            <w:tcBorders>
              <w:bottom w:val="single" w:sz="8" w:color="0000FF"/>
            </w:tcBorders>
            <w:gridSpan w:val="16"/>
          </w:tcPr>
          <w:p>
            <w:pPr>
              <w:spacing w:after="0"/>
              <w:rPr>
                <w:rFonts w:ascii="Arial" w:cs="Arial" w:eastAsia="Arial" w:hAnsi="Arial"/>
                <w:sz w:val="12"/>
                <w:szCs w:val="12"/>
                <w:color w:val="0000FF"/>
                <w:w w:val="88"/>
              </w:rPr>
            </w:pPr>
            <w:hyperlink r:id="rId116">
              <w:r>
                <w:rPr>
                  <w:rFonts w:ascii="Arial" w:cs="Arial" w:eastAsia="Arial" w:hAnsi="Arial"/>
                  <w:sz w:val="12"/>
                  <w:szCs w:val="12"/>
                  <w:color w:val="0000FF"/>
                  <w:w w:val="88"/>
                </w:rPr>
                <w:t>Amendment No. 1 to the Credit Agreement, dated October 7, 2011, by and between NRG West Holdings LLC and Credit</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6">
              <w:r>
                <w:rPr>
                  <w:rFonts w:ascii="Arial" w:cs="Arial" w:eastAsia="Arial" w:hAnsi="Arial"/>
                  <w:sz w:val="12"/>
                  <w:szCs w:val="12"/>
                  <w:color w:val="0000FF"/>
                </w:rPr>
                <w:t>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gridSpan w:val="10"/>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10.18.3</w:t>
            </w:r>
          </w:p>
        </w:tc>
        <w:tc>
          <w:tcPr>
            <w:tcW w:w="5920" w:type="dxa"/>
            <w:vAlign w:val="bottom"/>
            <w:gridSpan w:val="25"/>
          </w:tcPr>
          <w:p>
            <w:pPr>
              <w:spacing w:after="0"/>
              <w:rPr>
                <w:rFonts w:ascii="Arial" w:cs="Arial" w:eastAsia="Arial" w:hAnsi="Arial"/>
                <w:sz w:val="12"/>
                <w:szCs w:val="12"/>
                <w:color w:val="0000FF"/>
                <w:w w:val="90"/>
              </w:rPr>
            </w:pPr>
            <w:hyperlink r:id="rId117">
              <w:r>
                <w:rPr>
                  <w:rFonts w:ascii="Arial" w:cs="Arial" w:eastAsia="Arial" w:hAnsi="Arial"/>
                  <w:sz w:val="12"/>
                  <w:szCs w:val="12"/>
                  <w:color w:val="0000FF"/>
                  <w:w w:val="90"/>
                </w:rPr>
                <w:t>Amendment No. 2 to the Credit Agreement, dated February 29, 2012, by and between NRG West Holdings LLC and Credit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60" w:type="dxa"/>
            <w:vAlign w:val="bottom"/>
            <w:tcBorders>
              <w:top w:val="single" w:sz="8" w:color="0000FF"/>
            </w:tcBorders>
            <w:gridSpan w:val="19"/>
          </w:tcPr>
          <w:p>
            <w:pPr>
              <w:spacing w:after="0" w:line="126" w:lineRule="exact"/>
              <w:rPr>
                <w:rFonts w:ascii="Arial" w:cs="Arial" w:eastAsia="Arial" w:hAnsi="Arial"/>
                <w:sz w:val="12"/>
                <w:szCs w:val="12"/>
                <w:color w:val="0000FF"/>
              </w:rPr>
            </w:pPr>
            <w:hyperlink r:id="rId117">
              <w:r>
                <w:rPr>
                  <w:rFonts w:ascii="Arial" w:cs="Arial" w:eastAsia="Arial" w:hAnsi="Arial"/>
                  <w:sz w:val="12"/>
                  <w:szCs w:val="12"/>
                  <w:color w:val="0000FF"/>
                </w:rPr>
                <w:t>Agricole Corporate and Investment Bank.</w:t>
              </w:r>
            </w:hyperlink>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Pr>
          <w:p>
            <w:pPr>
              <w:jc w:val="right"/>
              <w:ind w:right="642"/>
              <w:spacing w:after="0"/>
              <w:rPr>
                <w:sz w:val="20"/>
                <w:szCs w:val="20"/>
                <w:color w:val="auto"/>
              </w:rPr>
            </w:pPr>
            <w:r>
              <w:rPr>
                <w:rFonts w:ascii="Arial" w:cs="Arial" w:eastAsia="Arial" w:hAnsi="Arial"/>
                <w:sz w:val="12"/>
                <w:szCs w:val="12"/>
                <w:color w:val="auto"/>
                <w:w w:val="79"/>
              </w:rPr>
              <w:t>10.18.4</w:t>
            </w:r>
          </w:p>
        </w:tc>
        <w:tc>
          <w:tcPr>
            <w:tcW w:w="5640" w:type="dxa"/>
            <w:vAlign w:val="bottom"/>
            <w:gridSpan w:val="2"/>
            <w:vMerge w:val="restart"/>
          </w:tcPr>
          <w:p>
            <w:pPr>
              <w:spacing w:after="0"/>
              <w:rPr>
                <w:rFonts w:ascii="Arial" w:cs="Arial" w:eastAsia="Arial" w:hAnsi="Arial"/>
                <w:sz w:val="12"/>
                <w:szCs w:val="12"/>
                <w:color w:val="0000FF"/>
                <w:w w:val="87"/>
              </w:rPr>
            </w:pPr>
            <w:hyperlink r:id="rId118">
              <w:r>
                <w:rPr>
                  <w:rFonts w:ascii="Arial" w:cs="Arial" w:eastAsia="Arial" w:hAnsi="Arial"/>
                  <w:sz w:val="12"/>
                  <w:szCs w:val="12"/>
                  <w:color w:val="0000FF"/>
                  <w:w w:val="87"/>
                </w:rPr>
                <w:t>Amendment No. 3 to the Credit Agreement, dated as of January 27, 2014, by and between NRG West Holdings LLC and</w:t>
              </w:r>
            </w:hyperlink>
          </w:p>
        </w:tc>
        <w:tc>
          <w:tcPr>
            <w:tcW w:w="24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640" w:type="dxa"/>
            <w:vAlign w:val="bottom"/>
            <w:tcBorders>
              <w:bottom w:val="single" w:sz="8" w:color="0000FF"/>
            </w:tcBorders>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4"/>
          </w:tcPr>
          <w:p>
            <w:pPr>
              <w:spacing w:after="0" w:line="126" w:lineRule="exact"/>
              <w:rPr>
                <w:rFonts w:ascii="Arial" w:cs="Arial" w:eastAsia="Arial" w:hAnsi="Arial"/>
                <w:sz w:val="12"/>
                <w:szCs w:val="12"/>
                <w:color w:val="0000FF"/>
              </w:rPr>
            </w:pPr>
            <w:hyperlink r:id="rId118">
              <w:r>
                <w:rPr>
                  <w:rFonts w:ascii="Arial" w:cs="Arial" w:eastAsia="Arial" w:hAnsi="Arial"/>
                  <w:sz w:val="12"/>
                  <w:szCs w:val="12"/>
                  <w:color w:val="0000FF"/>
                </w:rPr>
                <w:t>Credit 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42"/>
              <w:spacing w:after="0"/>
              <w:rPr>
                <w:sz w:val="20"/>
                <w:szCs w:val="20"/>
                <w:color w:val="auto"/>
              </w:rPr>
            </w:pPr>
            <w:r>
              <w:rPr>
                <w:rFonts w:ascii="Arial" w:cs="Arial" w:eastAsia="Arial" w:hAnsi="Arial"/>
                <w:sz w:val="12"/>
                <w:szCs w:val="12"/>
                <w:color w:val="auto"/>
                <w:w w:val="79"/>
              </w:rPr>
              <w:t>10.18.5</w:t>
            </w:r>
          </w:p>
        </w:tc>
        <w:tc>
          <w:tcPr>
            <w:tcW w:w="226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5860" w:type="dxa"/>
            <w:vAlign w:val="bottom"/>
            <w:gridSpan w:val="3"/>
            <w:vMerge w:val="restart"/>
          </w:tcPr>
          <w:p>
            <w:pPr>
              <w:spacing w:after="0"/>
              <w:rPr>
                <w:rFonts w:ascii="Arial" w:cs="Arial" w:eastAsia="Arial" w:hAnsi="Arial"/>
                <w:sz w:val="12"/>
                <w:szCs w:val="12"/>
                <w:color w:val="0000FF"/>
                <w:w w:val="88"/>
              </w:rPr>
            </w:pPr>
            <w:hyperlink r:id="rId119">
              <w:r>
                <w:rPr>
                  <w:rFonts w:ascii="Arial" w:cs="Arial" w:eastAsia="Arial" w:hAnsi="Arial"/>
                  <w:sz w:val="12"/>
                  <w:szCs w:val="12"/>
                  <w:color w:val="0000FF"/>
                  <w:w w:val="88"/>
                </w:rPr>
                <w:t>Amendment No. 4 to the Credit Agreement and Amendment No. 1 to the Collateral Agreement, dated as of May 16, 2014, by</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60" w:type="dxa"/>
            <w:vAlign w:val="bottom"/>
            <w:tcBorders>
              <w:bottom w:val="single" w:sz="8" w:color="0000FF"/>
            </w:tcBorders>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tcBorders>
              <w:bottom w:val="single" w:sz="8" w:color="0000FF"/>
            </w:tcBorders>
            <w:gridSpan w:val="4"/>
          </w:tcPr>
          <w:p>
            <w:pPr>
              <w:spacing w:after="0" w:line="126" w:lineRule="exact"/>
              <w:rPr>
                <w:rFonts w:ascii="Arial" w:cs="Arial" w:eastAsia="Arial" w:hAnsi="Arial"/>
                <w:sz w:val="12"/>
                <w:szCs w:val="12"/>
                <w:color w:val="0000FF"/>
                <w:w w:val="88"/>
              </w:rPr>
            </w:pPr>
            <w:hyperlink r:id="rId119">
              <w:r>
                <w:rPr>
                  <w:rFonts w:ascii="Arial" w:cs="Arial" w:eastAsia="Arial" w:hAnsi="Arial"/>
                  <w:sz w:val="12"/>
                  <w:szCs w:val="12"/>
                  <w:color w:val="0000FF"/>
                  <w:w w:val="88"/>
                </w:rPr>
                <w:t>and between NRG West Holdings LLC, El Segundo Energy Center LLC and Credit Agricole Corporate and Investment Bank.</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10.11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10.12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10.13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10.14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10.15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10.16 to NRG Yield, Inc.'s Draft Registration Statement on Form S-1 filed on February 13,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10.15 to NRG Yield, Inc.'s Registration Statement on Form S-1 filed on June 6,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10.16 to NRG Yield, Inc.'s Registration Statement on Form S-1 filed on June 7,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10.17 to NRG Yield, Inc.'s Registration Statement on Form S-1 filed on June 7,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10.20 to NRG Yield, Inc.'s Registration Statement on Form S-1/A filed on June 21, 2013.</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by reference to Exhibit 10.1 to NRG Yield, Inc.'s Current Report on Form 8-K filed on April 28, 2014.</w:t>
      </w: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10.9 to NRG Yield, Inc.'s Quarterly Report on Form 10-Q filed on August 4, 2015.</w:t>
      </w: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10.1 to the Company's Current Report on Form 8-K filed on February 12, 2018.</w:t>
      </w: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August 7, 2014.</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10.3 to NRG Yield, Inc.'s Quarterly Report on Form 10-Q filed on August 7, 2014.</w:t>
      </w:r>
    </w:p>
    <w:p>
      <w:pPr>
        <w:spacing w:after="0" w:line="20"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10.4 to NRG Yield, Inc.'s Quarterly Report on Form 10-Q filed on August 7, 2014.</w:t>
      </w:r>
    </w:p>
    <w:p>
      <w:pPr>
        <w:spacing w:after="0" w:line="20"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10.6 to NRG Yield, Inc.'s Quarterly Report on Form 10-Q filed on August 4, 2015.</w:t>
      </w:r>
    </w:p>
    <w:p>
      <w:pPr>
        <w:spacing w:after="0" w:line="136"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10.7 to NRG Yield, Inc.'s Quarterly Report on Form 10-Q filed on August 4, 2015.</w:t>
      </w:r>
    </w:p>
    <w:p>
      <w:pPr>
        <w:spacing w:after="0" w:line="226" w:lineRule="exact"/>
        <w:rPr>
          <w:sz w:val="20"/>
          <w:szCs w:val="20"/>
          <w:color w:val="auto"/>
        </w:rPr>
      </w:pPr>
    </w:p>
    <w:p>
      <w:pPr>
        <w:sectPr>
          <w:pgSz w:w="11900" w:h="16838" w:orient="portrait"/>
          <w:cols w:equalWidth="0" w:num="2">
            <w:col w:w="6960" w:space="160"/>
            <w:col w:w="4280"/>
          </w:cols>
          <w:pgMar w:left="240" w:top="817" w:right="259" w:bottom="1440" w:gutter="0" w:footer="0" w:header="0"/>
        </w:sectPr>
      </w:pP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121</w:t>
      </w:r>
    </w:p>
    <w:p>
      <w:pPr>
        <w:sectPr>
          <w:pgSz w:w="11900" w:h="16838" w:orient="portrait"/>
          <w:cols w:equalWidth="0" w:num="1">
            <w:col w:w="11400"/>
          </w:cols>
          <w:pgMar w:left="240" w:top="817" w:right="259" w:bottom="1440" w:gutter="0" w:footer="0" w:header="0"/>
          <w:type w:val="continuous"/>
        </w:sectPr>
      </w:pPr>
    </w:p>
    <w:bookmarkStart w:id="121" w:name="page122"/>
    <w:bookmarkEnd w:id="121"/>
    <w:tbl>
      <w:tblPr>
        <w:tblLayout w:type="fixed"/>
        <w:tblInd w:w="3" w:type="dxa"/>
        <w:tblCellMar>
          <w:top w:w="0" w:type="dxa"/>
          <w:left w:w="0" w:type="dxa"/>
          <w:bottom w:w="0" w:type="dxa"/>
          <w:right w:w="0" w:type="dxa"/>
        </w:tblCellMar>
      </w:tblPr>
      <w:tr>
        <w:trPr>
          <w:trHeight w:val="148"/>
        </w:trPr>
        <w:tc>
          <w:tcPr>
            <w:tcW w:w="1040" w:type="dxa"/>
            <w:vAlign w:val="bottom"/>
          </w:tcPr>
          <w:p>
            <w:pPr>
              <w:spacing w:after="0"/>
              <w:rPr>
                <w:sz w:val="20"/>
                <w:szCs w:val="20"/>
                <w:color w:val="auto"/>
              </w:rPr>
            </w:pPr>
            <w:r>
              <w:rPr>
                <w:rFonts w:ascii="Arial" w:cs="Arial" w:eastAsia="Arial" w:hAnsi="Arial"/>
                <w:sz w:val="12"/>
                <w:szCs w:val="12"/>
                <w:color w:val="auto"/>
              </w:rPr>
              <w:t>10.18.6</w:t>
            </w:r>
          </w:p>
        </w:tc>
        <w:tc>
          <w:tcPr>
            <w:tcW w:w="5880" w:type="dxa"/>
            <w:vAlign w:val="bottom"/>
            <w:gridSpan w:val="18"/>
            <w:vMerge w:val="restart"/>
          </w:tcPr>
          <w:p>
            <w:pPr>
              <w:spacing w:after="0"/>
              <w:rPr>
                <w:rFonts w:ascii="Arial" w:cs="Arial" w:eastAsia="Arial" w:hAnsi="Arial"/>
                <w:sz w:val="12"/>
                <w:szCs w:val="12"/>
                <w:color w:val="0000FF"/>
                <w:w w:val="90"/>
              </w:rPr>
            </w:pPr>
            <w:hyperlink r:id="rId120">
              <w:r>
                <w:rPr>
                  <w:rFonts w:ascii="Arial" w:cs="Arial" w:eastAsia="Arial" w:hAnsi="Arial"/>
                  <w:sz w:val="12"/>
                  <w:szCs w:val="12"/>
                  <w:color w:val="0000FF"/>
                  <w:w w:val="90"/>
                </w:rPr>
                <w:t>Amendment No. 5 to the Credit Agreement, dated as of May 29, 2015, by and between NRG West Holdings LLC and ING</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620" w:type="dxa"/>
            <w:vAlign w:val="bottom"/>
            <w:tcBorders>
              <w:top w:val="single" w:sz="8" w:color="0000FF"/>
              <w:bottom w:val="single" w:sz="8" w:color="0000FF"/>
            </w:tcBorders>
          </w:tcPr>
          <w:p>
            <w:pPr>
              <w:spacing w:after="0" w:line="126" w:lineRule="exact"/>
              <w:rPr>
                <w:rFonts w:ascii="Arial" w:cs="Arial" w:eastAsia="Arial" w:hAnsi="Arial"/>
                <w:sz w:val="12"/>
                <w:szCs w:val="12"/>
                <w:color w:val="0000FF"/>
                <w:w w:val="90"/>
              </w:rPr>
            </w:pPr>
            <w:hyperlink r:id="rId120">
              <w:r>
                <w:rPr>
                  <w:rFonts w:ascii="Arial" w:cs="Arial" w:eastAsia="Arial" w:hAnsi="Arial"/>
                  <w:sz w:val="12"/>
                  <w:szCs w:val="12"/>
                  <w:color w:val="0000FF"/>
                  <w:w w:val="90"/>
                </w:rPr>
                <w:t>Capital LLC.</w:t>
              </w:r>
            </w:hyperlink>
          </w:p>
        </w:tc>
        <w:tc>
          <w:tcPr>
            <w:tcW w:w="5100" w:type="dxa"/>
            <w:vAlign w:val="bottom"/>
            <w:tcBorders>
              <w:top w:val="single" w:sz="8" w:color="0000FF"/>
            </w:tcBorders>
            <w:gridSpan w:val="12"/>
          </w:tcPr>
          <w:p>
            <w:pPr>
              <w:spacing w:after="0"/>
              <w:rPr>
                <w:sz w:val="10"/>
                <w:szCs w:val="10"/>
                <w:color w:val="auto"/>
              </w:rPr>
            </w:pPr>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10.19.1</w:t>
            </w:r>
          </w:p>
        </w:tc>
        <w:tc>
          <w:tcPr>
            <w:tcW w:w="5860" w:type="dxa"/>
            <w:vAlign w:val="bottom"/>
            <w:tcBorders>
              <w:bottom w:val="single" w:sz="8" w:color="0000FF"/>
            </w:tcBorders>
            <w:gridSpan w:val="17"/>
          </w:tcPr>
          <w:p>
            <w:pPr>
              <w:spacing w:after="0"/>
              <w:rPr>
                <w:rFonts w:ascii="Arial" w:cs="Arial" w:eastAsia="Arial" w:hAnsi="Arial"/>
                <w:sz w:val="12"/>
                <w:szCs w:val="12"/>
                <w:color w:val="0000FF"/>
                <w:w w:val="88"/>
              </w:rPr>
            </w:pPr>
            <w:hyperlink r:id="rId121">
              <w:r>
                <w:rPr>
                  <w:rFonts w:ascii="Arial" w:cs="Arial" w:eastAsia="Arial" w:hAnsi="Arial"/>
                  <w:sz w:val="12"/>
                  <w:szCs w:val="12"/>
                  <w:color w:val="0000FF"/>
                  <w:w w:val="88"/>
                </w:rPr>
                <w:t>Amended and Restated Credit Agreement, dated July 17, 2014, by and among NRG Marsh Landing LLC, The Royal Bank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rPr>
            </w:pPr>
            <w:hyperlink r:id="rId121">
              <w:r>
                <w:rPr>
                  <w:rFonts w:ascii="Arial" w:cs="Arial" w:eastAsia="Arial" w:hAnsi="Arial"/>
                  <w:sz w:val="12"/>
                  <w:szCs w:val="12"/>
                  <w:color w:val="0000FF"/>
                </w:rPr>
                <w:t>Scotland Plc, Deutsche Bank Trust Company Americas and the 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10.19.2</w:t>
            </w:r>
          </w:p>
        </w:tc>
        <w:tc>
          <w:tcPr>
            <w:tcW w:w="5760" w:type="dxa"/>
            <w:vAlign w:val="bottom"/>
            <w:tcBorders>
              <w:bottom w:val="single" w:sz="8" w:color="0000FF"/>
            </w:tcBorders>
            <w:gridSpan w:val="14"/>
          </w:tcPr>
          <w:p>
            <w:pPr>
              <w:spacing w:after="0"/>
              <w:rPr>
                <w:rFonts w:ascii="Arial" w:cs="Arial" w:eastAsia="Arial" w:hAnsi="Arial"/>
                <w:sz w:val="12"/>
                <w:szCs w:val="12"/>
                <w:color w:val="0000FF"/>
                <w:w w:val="88"/>
              </w:rPr>
            </w:pPr>
            <w:hyperlink r:id="rId122">
              <w:r>
                <w:rPr>
                  <w:rFonts w:ascii="Arial" w:cs="Arial" w:eastAsia="Arial" w:hAnsi="Arial"/>
                  <w:sz w:val="12"/>
                  <w:szCs w:val="12"/>
                  <w:color w:val="0000FF"/>
                  <w:w w:val="88"/>
                </w:rPr>
                <w:t>First Amendment to the Credit Agreement and Collateral Agency and Intercreditor Agreement, dated July 17, 2014, by and</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tcBorders>
              <w:bottom w:val="single" w:sz="8" w:color="0000FF"/>
            </w:tcBorders>
            <w:gridSpan w:val="18"/>
          </w:tcPr>
          <w:p>
            <w:pPr>
              <w:spacing w:after="0" w:line="126" w:lineRule="exact"/>
              <w:rPr>
                <w:rFonts w:ascii="Arial" w:cs="Arial" w:eastAsia="Arial" w:hAnsi="Arial"/>
                <w:sz w:val="12"/>
                <w:szCs w:val="12"/>
                <w:color w:val="0000FF"/>
                <w:w w:val="88"/>
              </w:rPr>
            </w:pPr>
            <w:hyperlink r:id="rId122">
              <w:r>
                <w:rPr>
                  <w:rFonts w:ascii="Arial" w:cs="Arial" w:eastAsia="Arial" w:hAnsi="Arial"/>
                  <w:sz w:val="12"/>
                  <w:szCs w:val="12"/>
                  <w:color w:val="0000FF"/>
                  <w:w w:val="88"/>
                </w:rPr>
                <w:t>among NRG Marsh Landing LLC, The Royal Bank of Scotland Plc, Deutsche Bank Trust Company Americas and the lenders</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620" w:type="dxa"/>
            <w:vAlign w:val="bottom"/>
            <w:tcBorders>
              <w:bottom w:val="single" w:sz="8" w:color="0000FF"/>
            </w:tcBorders>
          </w:tcPr>
          <w:p>
            <w:pPr>
              <w:spacing w:after="0" w:line="126" w:lineRule="exact"/>
              <w:rPr>
                <w:rFonts w:ascii="Arial" w:cs="Arial" w:eastAsia="Arial" w:hAnsi="Arial"/>
                <w:sz w:val="12"/>
                <w:szCs w:val="12"/>
                <w:color w:val="0000FF"/>
                <w:w w:val="84"/>
              </w:rPr>
            </w:pPr>
            <w:hyperlink r:id="rId122">
              <w:r>
                <w:rPr>
                  <w:rFonts w:ascii="Arial" w:cs="Arial" w:eastAsia="Arial" w:hAnsi="Arial"/>
                  <w:sz w:val="12"/>
                  <w:szCs w:val="12"/>
                  <w:color w:val="0000FF"/>
                  <w:w w:val="84"/>
                </w:rPr>
                <w:t>party thereto.</w:t>
              </w:r>
            </w:hyperlink>
          </w:p>
        </w:tc>
        <w:tc>
          <w:tcPr>
            <w:tcW w:w="52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20"/>
                <w:szCs w:val="20"/>
                <w:color w:val="auto"/>
              </w:rPr>
            </w:pPr>
            <w:r>
              <w:rPr>
                <w:rFonts w:ascii="Arial" w:cs="Arial" w:eastAsia="Arial" w:hAnsi="Arial"/>
                <w:sz w:val="12"/>
                <w:szCs w:val="12"/>
                <w:color w:val="auto"/>
              </w:rPr>
              <w:t>10.20^</w:t>
            </w:r>
          </w:p>
        </w:tc>
        <w:tc>
          <w:tcPr>
            <w:tcW w:w="5880" w:type="dxa"/>
            <w:vAlign w:val="bottom"/>
            <w:gridSpan w:val="18"/>
            <w:vMerge w:val="restart"/>
          </w:tcPr>
          <w:p>
            <w:pPr>
              <w:spacing w:after="0"/>
              <w:rPr>
                <w:rFonts w:ascii="Arial" w:cs="Arial" w:eastAsia="Arial" w:hAnsi="Arial"/>
                <w:sz w:val="12"/>
                <w:szCs w:val="12"/>
                <w:color w:val="0000FF"/>
                <w:w w:val="95"/>
              </w:rPr>
            </w:pPr>
            <w:hyperlink r:id="rId123">
              <w:r>
                <w:rPr>
                  <w:rFonts w:ascii="Arial" w:cs="Arial" w:eastAsia="Arial" w:hAnsi="Arial"/>
                  <w:sz w:val="12"/>
                  <w:szCs w:val="12"/>
                  <w:color w:val="0000FF"/>
                  <w:w w:val="95"/>
                </w:rPr>
                <w:t>Amended and Restated Limited Liability Company Agreement of NRG RPV Holdco 1 LLC, dated as of April 9, 2015.</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10.21^</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continue"/>
          </w:tcPr>
          <w:p>
            <w:pPr>
              <w:spacing w:after="0"/>
              <w:rPr>
                <w:sz w:val="24"/>
                <w:szCs w:val="24"/>
                <w:color w:val="auto"/>
              </w:rPr>
            </w:pPr>
          </w:p>
        </w:tc>
        <w:tc>
          <w:tcPr>
            <w:tcW w:w="5880" w:type="dxa"/>
            <w:vAlign w:val="bottom"/>
            <w:gridSpan w:val="18"/>
            <w:vMerge w:val="restart"/>
          </w:tcPr>
          <w:p>
            <w:pPr>
              <w:spacing w:after="0"/>
              <w:rPr>
                <w:rFonts w:ascii="Arial" w:cs="Arial" w:eastAsia="Arial" w:hAnsi="Arial"/>
                <w:sz w:val="12"/>
                <w:szCs w:val="12"/>
                <w:color w:val="0000FF"/>
                <w:w w:val="93"/>
              </w:rPr>
            </w:pPr>
            <w:hyperlink r:id="rId124">
              <w:r>
                <w:rPr>
                  <w:rFonts w:ascii="Arial" w:cs="Arial" w:eastAsia="Arial" w:hAnsi="Arial"/>
                  <w:sz w:val="12"/>
                  <w:szCs w:val="12"/>
                  <w:color w:val="0000FF"/>
                  <w:w w:val="93"/>
                </w:rPr>
                <w:t>Amended and Restated Limited Liability Company Agreement of NRG DGPV Holdco 1 LLC, dated as of May 8, 2015.</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10.22^</w:t>
            </w:r>
          </w:p>
        </w:tc>
        <w:tc>
          <w:tcPr>
            <w:tcW w:w="5880" w:type="dxa"/>
            <w:vAlign w:val="bottom"/>
            <w:tcBorders>
              <w:bottom w:val="single" w:sz="8" w:color="0000FF"/>
            </w:tcBorders>
            <w:gridSpan w:val="18"/>
          </w:tcPr>
          <w:p>
            <w:pPr>
              <w:spacing w:after="0"/>
              <w:rPr>
                <w:rFonts w:ascii="Arial" w:cs="Arial" w:eastAsia="Arial" w:hAnsi="Arial"/>
                <w:sz w:val="12"/>
                <w:szCs w:val="12"/>
                <w:color w:val="0000FF"/>
                <w:w w:val="89"/>
              </w:rPr>
            </w:pPr>
            <w:hyperlink r:id="rId125">
              <w:r>
                <w:rPr>
                  <w:rFonts w:ascii="Arial" w:cs="Arial" w:eastAsia="Arial" w:hAnsi="Arial"/>
                  <w:sz w:val="12"/>
                  <w:szCs w:val="12"/>
                  <w:color w:val="0000FF"/>
                  <w:w w:val="89"/>
                </w:rPr>
                <w:t>Amendment No. 1 to Amended and Restated Limited Liability Company Agreement of NRG RPV Holdco 1 LLC, dated as of</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000" w:type="dxa"/>
            <w:vAlign w:val="bottom"/>
            <w:tcBorders>
              <w:bottom w:val="single" w:sz="8" w:color="0000FF"/>
            </w:tcBorders>
            <w:gridSpan w:val="9"/>
          </w:tcPr>
          <w:p>
            <w:pPr>
              <w:spacing w:after="0" w:line="126" w:lineRule="exact"/>
              <w:rPr>
                <w:rFonts w:ascii="Arial" w:cs="Arial" w:eastAsia="Arial" w:hAnsi="Arial"/>
                <w:sz w:val="12"/>
                <w:szCs w:val="12"/>
                <w:color w:val="0000FF"/>
                <w:w w:val="89"/>
              </w:rPr>
            </w:pPr>
            <w:hyperlink r:id="rId125">
              <w:r>
                <w:rPr>
                  <w:rFonts w:ascii="Arial" w:cs="Arial" w:eastAsia="Arial" w:hAnsi="Arial"/>
                  <w:sz w:val="12"/>
                  <w:szCs w:val="12"/>
                  <w:color w:val="0000FF"/>
                  <w:w w:val="89"/>
                </w:rPr>
                <w:t>March 1, 2016, by and between NRG Yield RPV Holding LLC and NRG Residential Solar Solutions LLC.</w:t>
              </w:r>
            </w:hyperlink>
          </w:p>
        </w:tc>
        <w:tc>
          <w:tcPr>
            <w:tcW w:w="8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451"/>
        </w:trPr>
        <w:tc>
          <w:tcPr>
            <w:tcW w:w="1040" w:type="dxa"/>
            <w:vAlign w:val="bottom"/>
          </w:tcPr>
          <w:p>
            <w:pPr>
              <w:spacing w:after="0"/>
              <w:rPr>
                <w:sz w:val="20"/>
                <w:szCs w:val="20"/>
                <w:color w:val="auto"/>
              </w:rPr>
            </w:pPr>
            <w:r>
              <w:rPr>
                <w:rFonts w:ascii="Arial" w:cs="Arial" w:eastAsia="Arial" w:hAnsi="Arial"/>
                <w:sz w:val="12"/>
                <w:szCs w:val="12"/>
                <w:color w:val="auto"/>
              </w:rPr>
              <w:t>10.23^</w:t>
            </w:r>
          </w:p>
        </w:tc>
        <w:tc>
          <w:tcPr>
            <w:tcW w:w="5880" w:type="dxa"/>
            <w:vAlign w:val="bottom"/>
            <w:gridSpan w:val="18"/>
            <w:vMerge w:val="restart"/>
          </w:tcPr>
          <w:p>
            <w:pPr>
              <w:spacing w:after="0"/>
              <w:rPr>
                <w:rFonts w:ascii="Arial" w:cs="Arial" w:eastAsia="Arial" w:hAnsi="Arial"/>
                <w:sz w:val="12"/>
                <w:szCs w:val="12"/>
                <w:color w:val="0000FF"/>
                <w:w w:val="90"/>
              </w:rPr>
            </w:pPr>
            <w:hyperlink r:id="rId126">
              <w:r>
                <w:rPr>
                  <w:rFonts w:ascii="Arial" w:cs="Arial" w:eastAsia="Arial" w:hAnsi="Arial"/>
                  <w:sz w:val="12"/>
                  <w:szCs w:val="12"/>
                  <w:color w:val="0000FF"/>
                  <w:w w:val="90"/>
                </w:rPr>
                <w:t>Amendment No. 2 to Amended and Restated Limited Liability Company Agreement of NRG DGPV Holdco 1 LLC, dated as</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4"/>
          </w:tcPr>
          <w:p>
            <w:pPr>
              <w:spacing w:after="0" w:line="126" w:lineRule="exact"/>
              <w:rPr>
                <w:rFonts w:ascii="Arial" w:cs="Arial" w:eastAsia="Arial" w:hAnsi="Arial"/>
                <w:sz w:val="12"/>
                <w:szCs w:val="12"/>
                <w:color w:val="0000FF"/>
                <w:w w:val="90"/>
              </w:rPr>
            </w:pPr>
            <w:hyperlink r:id="rId126">
              <w:r>
                <w:rPr>
                  <w:rFonts w:ascii="Arial" w:cs="Arial" w:eastAsia="Arial" w:hAnsi="Arial"/>
                  <w:sz w:val="12"/>
                  <w:szCs w:val="12"/>
                  <w:color w:val="0000FF"/>
                  <w:w w:val="90"/>
                </w:rPr>
                <w:t>of March 1, 2016, by and among NRG Yield DGPV Holding LLC, NRG Renew DG Holdings LLC and NRG Renew LLC.</w:t>
              </w:r>
            </w:hyperlink>
          </w:p>
        </w:tc>
        <w:tc>
          <w:tcPr>
            <w:tcW w:w="80" w:type="dxa"/>
            <w:vAlign w:val="bottom"/>
            <w:tcBorders>
              <w:top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10.24^</w:t>
            </w:r>
          </w:p>
        </w:tc>
        <w:tc>
          <w:tcPr>
            <w:tcW w:w="5880" w:type="dxa"/>
            <w:vAlign w:val="bottom"/>
            <w:gridSpan w:val="18"/>
            <w:vMerge w:val="restart"/>
          </w:tcPr>
          <w:p>
            <w:pPr>
              <w:spacing w:after="0"/>
              <w:rPr>
                <w:rFonts w:ascii="Arial" w:cs="Arial" w:eastAsia="Arial" w:hAnsi="Arial"/>
                <w:sz w:val="12"/>
                <w:szCs w:val="12"/>
                <w:color w:val="0000FF"/>
                <w:w w:val="90"/>
              </w:rPr>
            </w:pPr>
            <w:hyperlink r:id="rId127">
              <w:r>
                <w:rPr>
                  <w:rFonts w:ascii="Arial" w:cs="Arial" w:eastAsia="Arial" w:hAnsi="Arial"/>
                  <w:sz w:val="12"/>
                  <w:szCs w:val="12"/>
                  <w:color w:val="0000FF"/>
                  <w:w w:val="90"/>
                </w:rPr>
                <w:t>Amended and Restated Limited Liability Company Agreement of NRG DGPV Holdco 2 LLC, dated as of March 1, 2016, by</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40" w:type="dxa"/>
            <w:vAlign w:val="bottom"/>
            <w:tcBorders>
              <w:top w:val="single" w:sz="8" w:color="0000FF"/>
            </w:tcBorders>
            <w:gridSpan w:val="16"/>
          </w:tcPr>
          <w:p>
            <w:pPr>
              <w:spacing w:after="0" w:line="126" w:lineRule="exact"/>
              <w:rPr>
                <w:rFonts w:ascii="Arial" w:cs="Arial" w:eastAsia="Arial" w:hAnsi="Arial"/>
                <w:sz w:val="12"/>
                <w:szCs w:val="12"/>
                <w:color w:val="0000FF"/>
              </w:rPr>
            </w:pPr>
            <w:hyperlink r:id="rId127">
              <w:r>
                <w:rPr>
                  <w:rFonts w:ascii="Arial" w:cs="Arial" w:eastAsia="Arial" w:hAnsi="Arial"/>
                  <w:sz w:val="12"/>
                  <w:szCs w:val="12"/>
                  <w:color w:val="0000FF"/>
                </w:rPr>
                <w:t>and among NRG Yield DGPV Holding LLC, NRG Renew DG Holdings LLC, and NRG Renew LLC.</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10.25</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5880" w:type="dxa"/>
            <w:vAlign w:val="bottom"/>
            <w:gridSpan w:val="18"/>
            <w:vMerge w:val="restart"/>
          </w:tcPr>
          <w:p>
            <w:pPr>
              <w:spacing w:after="0"/>
              <w:rPr>
                <w:rFonts w:ascii="Arial" w:cs="Arial" w:eastAsia="Arial" w:hAnsi="Arial"/>
                <w:sz w:val="12"/>
                <w:szCs w:val="12"/>
                <w:color w:val="0000FF"/>
                <w:w w:val="89"/>
              </w:rPr>
            </w:pPr>
            <w:hyperlink r:id="rId128">
              <w:r>
                <w:rPr>
                  <w:rFonts w:ascii="Arial" w:cs="Arial" w:eastAsia="Arial" w:hAnsi="Arial"/>
                  <w:sz w:val="12"/>
                  <w:szCs w:val="12"/>
                  <w:color w:val="0000FF"/>
                  <w:w w:val="89"/>
                </w:rPr>
                <w:t>Amendment No. 2 to Amended and Restated Limited Liability Company Agreement of NRG RPV Holdco 1 LLC, dated as of</w:t>
              </w:r>
            </w:hyperlink>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80" w:type="dxa"/>
            <w:vAlign w:val="bottom"/>
            <w:tcBorders>
              <w:bottom w:val="single" w:sz="8" w:color="0000FF"/>
            </w:tcBorders>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rPr>
            </w:pPr>
            <w:hyperlink r:id="rId128">
              <w:r>
                <w:rPr>
                  <w:rFonts w:ascii="Arial" w:cs="Arial" w:eastAsia="Arial" w:hAnsi="Arial"/>
                  <w:sz w:val="12"/>
                  <w:szCs w:val="12"/>
                  <w:color w:val="0000FF"/>
                </w:rPr>
                <w:t>August 5, 2016, by and between NRG Yield RPV Holding LLC and NRG Residential Solar Solutions LLC.</w:t>
              </w:r>
            </w:hyperlink>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10.26†</w:t>
            </w:r>
          </w:p>
        </w:tc>
        <w:tc>
          <w:tcPr>
            <w:tcW w:w="5020" w:type="dxa"/>
            <w:vAlign w:val="bottom"/>
            <w:tcBorders>
              <w:top w:val="single" w:sz="8" w:color="0000FF"/>
            </w:tcBorders>
            <w:gridSpan w:val="10"/>
            <w:vMerge w:val="restart"/>
          </w:tcPr>
          <w:p>
            <w:pPr>
              <w:spacing w:after="0"/>
              <w:rPr>
                <w:rFonts w:ascii="Arial" w:cs="Arial" w:eastAsia="Arial" w:hAnsi="Arial"/>
                <w:sz w:val="12"/>
                <w:szCs w:val="12"/>
                <w:color w:val="0000FF"/>
                <w:w w:val="92"/>
              </w:rPr>
            </w:pPr>
            <w:hyperlink r:id="rId129">
              <w:r>
                <w:rPr>
                  <w:rFonts w:ascii="Arial" w:cs="Arial" w:eastAsia="Arial" w:hAnsi="Arial"/>
                  <w:sz w:val="12"/>
                  <w:szCs w:val="12"/>
                  <w:color w:val="0000FF"/>
                  <w:w w:val="92"/>
                </w:rPr>
                <w:t>Employment Agreement, dated as of May 6, 2016, between NRG Yield, Inc. and Christopher S. Sotos.</w:t>
              </w:r>
            </w:hyperlink>
          </w:p>
        </w:tc>
        <w:tc>
          <w:tcPr>
            <w:tcW w:w="86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020" w:type="dxa"/>
            <w:vAlign w:val="bottom"/>
            <w:gridSpan w:val="10"/>
            <w:vMerge w:val="continue"/>
          </w:tcPr>
          <w:p>
            <w:pPr>
              <w:spacing w:after="0"/>
              <w:rPr>
                <w:sz w:val="2"/>
                <w:szCs w:val="2"/>
                <w:color w:val="auto"/>
              </w:rPr>
            </w:pPr>
          </w:p>
        </w:tc>
        <w:tc>
          <w:tcPr>
            <w:tcW w:w="8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10.27†</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continue"/>
          </w:tcPr>
          <w:p>
            <w:pPr>
              <w:spacing w:after="0"/>
              <w:rPr>
                <w:sz w:val="24"/>
                <w:szCs w:val="24"/>
                <w:color w:val="auto"/>
              </w:rPr>
            </w:pPr>
          </w:p>
        </w:tc>
        <w:tc>
          <w:tcPr>
            <w:tcW w:w="5260" w:type="dxa"/>
            <w:vAlign w:val="bottom"/>
            <w:gridSpan w:val="11"/>
            <w:vMerge w:val="restart"/>
          </w:tcPr>
          <w:p>
            <w:pPr>
              <w:spacing w:after="0"/>
              <w:rPr>
                <w:rFonts w:ascii="Arial" w:cs="Arial" w:eastAsia="Arial" w:hAnsi="Arial"/>
                <w:sz w:val="12"/>
                <w:szCs w:val="12"/>
                <w:color w:val="0000FF"/>
                <w:w w:val="87"/>
              </w:rPr>
            </w:pPr>
            <w:hyperlink r:id="rId130">
              <w:r>
                <w:rPr>
                  <w:rFonts w:ascii="Arial" w:cs="Arial" w:eastAsia="Arial" w:hAnsi="Arial"/>
                  <w:sz w:val="12"/>
                  <w:szCs w:val="12"/>
                  <w:color w:val="0000FF"/>
                  <w:w w:val="87"/>
                </w:rPr>
                <w:t>Amendment, dated January 1, 2018 to Employment Agreement between NRG Yield, Inc. and Christopher Sotos.</w:t>
              </w:r>
            </w:hyperlink>
          </w:p>
        </w:tc>
        <w:tc>
          <w:tcPr>
            <w:tcW w:w="6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260" w:type="dxa"/>
            <w:vAlign w:val="bottom"/>
            <w:tcBorders>
              <w:bottom w:val="single" w:sz="8" w:color="0000FF"/>
            </w:tcBorders>
            <w:gridSpan w:val="11"/>
            <w:vMerge w:val="continue"/>
          </w:tcPr>
          <w:p>
            <w:pPr>
              <w:spacing w:after="0"/>
              <w:rPr>
                <w:sz w:val="2"/>
                <w:szCs w:val="2"/>
                <w:color w:val="auto"/>
              </w:rPr>
            </w:pPr>
          </w:p>
        </w:tc>
        <w:tc>
          <w:tcPr>
            <w:tcW w:w="62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10.28^</w:t>
            </w:r>
          </w:p>
        </w:tc>
        <w:tc>
          <w:tcPr>
            <w:tcW w:w="5540" w:type="dxa"/>
            <w:vAlign w:val="bottom"/>
            <w:gridSpan w:val="12"/>
            <w:vMerge w:val="restart"/>
          </w:tcPr>
          <w:p>
            <w:pPr>
              <w:spacing w:after="0"/>
              <w:rPr>
                <w:rFonts w:ascii="Arial" w:cs="Arial" w:eastAsia="Arial" w:hAnsi="Arial"/>
                <w:sz w:val="12"/>
                <w:szCs w:val="12"/>
                <w:color w:val="0000FF"/>
                <w:w w:val="87"/>
              </w:rPr>
            </w:pPr>
            <w:hyperlink r:id="rId131">
              <w:r>
                <w:rPr>
                  <w:rFonts w:ascii="Arial" w:cs="Arial" w:eastAsia="Arial" w:hAnsi="Arial"/>
                  <w:sz w:val="12"/>
                  <w:szCs w:val="12"/>
                  <w:color w:val="0000FF"/>
                  <w:w w:val="87"/>
                </w:rPr>
                <w:t>Consent and Indemnity Agreement, dated as of February 6, 2018, by and among NRG Energy, Inc., NRG Repowering</w:t>
              </w:r>
            </w:hyperlink>
          </w:p>
        </w:tc>
        <w:tc>
          <w:tcPr>
            <w:tcW w:w="3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540" w:type="dxa"/>
            <w:vAlign w:val="bottom"/>
            <w:tcBorders>
              <w:bottom w:val="single" w:sz="8" w:color="0000FF"/>
            </w:tcBorders>
            <w:gridSpan w:val="12"/>
            <w:vMerge w:val="continue"/>
          </w:tcPr>
          <w:p>
            <w:pPr>
              <w:spacing w:after="0"/>
              <w:rPr>
                <w:sz w:val="2"/>
                <w:szCs w:val="2"/>
                <w:color w:val="auto"/>
              </w:rPr>
            </w:pPr>
          </w:p>
        </w:tc>
        <w:tc>
          <w:tcPr>
            <w:tcW w:w="34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w w:val="92"/>
              </w:rPr>
            </w:pPr>
            <w:hyperlink r:id="rId131">
              <w:r>
                <w:rPr>
                  <w:rFonts w:ascii="Arial" w:cs="Arial" w:eastAsia="Arial" w:hAnsi="Arial"/>
                  <w:sz w:val="12"/>
                  <w:szCs w:val="12"/>
                  <w:color w:val="0000FF"/>
                  <w:w w:val="92"/>
                </w:rPr>
                <w:t>Holdings LLC, NRG Yield, Inc., and GIP III Zephyr Acquisition Partners, L.P., and NRG Yield Operating LLC (solely with</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3"/>
          </w:tcPr>
          <w:p>
            <w:pPr>
              <w:spacing w:after="0" w:line="126" w:lineRule="exact"/>
              <w:rPr>
                <w:rFonts w:ascii="Arial" w:cs="Arial" w:eastAsia="Arial" w:hAnsi="Arial"/>
                <w:sz w:val="12"/>
                <w:szCs w:val="12"/>
                <w:color w:val="0000FF"/>
                <w:w w:val="85"/>
              </w:rPr>
            </w:pPr>
            <w:hyperlink r:id="rId131">
              <w:r>
                <w:rPr>
                  <w:rFonts w:ascii="Arial" w:cs="Arial" w:eastAsia="Arial" w:hAnsi="Arial"/>
                  <w:sz w:val="12"/>
                  <w:szCs w:val="12"/>
                  <w:color w:val="0000FF"/>
                  <w:w w:val="85"/>
                </w:rPr>
                <w:t>respect to Sections E.5, E.6 and G.12).</w:t>
              </w:r>
            </w:hyperlink>
          </w:p>
        </w:tc>
        <w:tc>
          <w:tcPr>
            <w:tcW w:w="3980" w:type="dxa"/>
            <w:vAlign w:val="bottom"/>
            <w:tcBorders>
              <w:top w:val="single" w:sz="8" w:color="0000FF"/>
            </w:tcBorders>
            <w:gridSpan w:val="12"/>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12.1</w:t>
            </w:r>
          </w:p>
        </w:tc>
        <w:tc>
          <w:tcPr>
            <w:tcW w:w="2440" w:type="dxa"/>
            <w:vAlign w:val="bottom"/>
            <w:tcBorders>
              <w:bottom w:val="single" w:sz="8" w:color="0000FF"/>
            </w:tcBorders>
            <w:gridSpan w:val="4"/>
          </w:tcPr>
          <w:p>
            <w:pPr>
              <w:spacing w:after="0"/>
              <w:rPr>
                <w:rFonts w:ascii="Arial" w:cs="Arial" w:eastAsia="Arial" w:hAnsi="Arial"/>
                <w:sz w:val="12"/>
                <w:szCs w:val="12"/>
                <w:color w:val="0000FF"/>
                <w:w w:val="88"/>
              </w:rPr>
            </w:pPr>
            <w:hyperlink w:anchor="page128">
              <w:r>
                <w:rPr>
                  <w:rFonts w:ascii="Arial" w:cs="Arial" w:eastAsia="Arial" w:hAnsi="Arial"/>
                  <w:sz w:val="12"/>
                  <w:szCs w:val="12"/>
                  <w:color w:val="0000FF"/>
                  <w:w w:val="88"/>
                </w:rPr>
                <w:t>Computation of Ratio of Earnings to Fixed Charges.</w:t>
              </w:r>
            </w:hyperlink>
          </w:p>
        </w:tc>
        <w:tc>
          <w:tcPr>
            <w:tcW w:w="3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20"/>
                <w:szCs w:val="20"/>
                <w:color w:val="auto"/>
              </w:rPr>
            </w:pPr>
            <w:r>
              <w:rPr>
                <w:rFonts w:ascii="Arial" w:cs="Arial" w:eastAsia="Arial" w:hAnsi="Arial"/>
                <w:sz w:val="12"/>
                <w:szCs w:val="12"/>
                <w:color w:val="auto"/>
              </w:rPr>
              <w:t>21.1</w:t>
            </w:r>
          </w:p>
        </w:tc>
        <w:tc>
          <w:tcPr>
            <w:tcW w:w="5880" w:type="dxa"/>
            <w:vAlign w:val="bottom"/>
            <w:gridSpan w:val="18"/>
          </w:tcPr>
          <w:p>
            <w:pPr>
              <w:spacing w:after="0"/>
              <w:rPr>
                <w:rFonts w:ascii="Arial" w:cs="Arial" w:eastAsia="Arial" w:hAnsi="Arial"/>
                <w:sz w:val="12"/>
                <w:szCs w:val="12"/>
                <w:color w:val="0000FF"/>
              </w:rPr>
            </w:pPr>
            <w:hyperlink w:anchor="page129">
              <w:r>
                <w:rPr>
                  <w:rFonts w:ascii="Arial" w:cs="Arial" w:eastAsia="Arial" w:hAnsi="Arial"/>
                  <w:sz w:val="12"/>
                  <w:szCs w:val="12"/>
                  <w:color w:val="0000FF"/>
                </w:rPr>
                <w:t>Subsidiaries of NRG Yield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2"/>
                <w:szCs w:val="12"/>
                <w:color w:val="auto"/>
              </w:rPr>
              <w:t>31.1</w:t>
            </w:r>
          </w:p>
        </w:tc>
        <w:tc>
          <w:tcPr>
            <w:tcW w:w="5880" w:type="dxa"/>
            <w:vAlign w:val="bottom"/>
            <w:gridSpan w:val="18"/>
          </w:tcPr>
          <w:p>
            <w:pPr>
              <w:spacing w:after="0"/>
              <w:rPr>
                <w:rFonts w:ascii="Arial" w:cs="Arial" w:eastAsia="Arial" w:hAnsi="Arial"/>
                <w:sz w:val="12"/>
                <w:szCs w:val="12"/>
                <w:color w:val="0000FF"/>
              </w:rPr>
            </w:pPr>
            <w:hyperlink w:anchor="page137">
              <w:r>
                <w:rPr>
                  <w:rFonts w:ascii="Arial" w:cs="Arial" w:eastAsia="Arial" w:hAnsi="Arial"/>
                  <w:sz w:val="12"/>
                  <w:szCs w:val="12"/>
                  <w:color w:val="0000FF"/>
                </w:rPr>
                <w:t>Rule 13a-14(a)/15d-14(a) certification of Christopher S. Sotos.</w:t>
              </w:r>
            </w:hyperlink>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2"/>
                <w:szCs w:val="12"/>
                <w:color w:val="auto"/>
              </w:rPr>
              <w:t>31.2</w:t>
            </w:r>
          </w:p>
        </w:tc>
        <w:tc>
          <w:tcPr>
            <w:tcW w:w="2920" w:type="dxa"/>
            <w:vAlign w:val="bottom"/>
            <w:tcBorders>
              <w:top w:val="single" w:sz="8" w:color="0000FF"/>
            </w:tcBorders>
            <w:gridSpan w:val="6"/>
          </w:tcPr>
          <w:p>
            <w:pPr>
              <w:spacing w:after="0"/>
              <w:rPr>
                <w:rFonts w:ascii="Arial" w:cs="Arial" w:eastAsia="Arial" w:hAnsi="Arial"/>
                <w:sz w:val="12"/>
                <w:szCs w:val="12"/>
                <w:color w:val="0000FF"/>
              </w:rPr>
            </w:pPr>
            <w:hyperlink w:anchor="page138">
              <w:r>
                <w:rPr>
                  <w:rFonts w:ascii="Arial" w:cs="Arial" w:eastAsia="Arial" w:hAnsi="Arial"/>
                  <w:sz w:val="12"/>
                  <w:szCs w:val="12"/>
                  <w:color w:val="0000FF"/>
                </w:rPr>
                <w:t>Rule 13a-14(a)/15d-14(a) certification of Chad Plotkin.</w:t>
              </w:r>
            </w:hyperlink>
          </w:p>
        </w:tc>
        <w:tc>
          <w:tcPr>
            <w:tcW w:w="29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2"/>
                <w:szCs w:val="12"/>
                <w:color w:val="auto"/>
              </w:rPr>
              <w:t>31.3</w:t>
            </w:r>
          </w:p>
        </w:tc>
        <w:tc>
          <w:tcPr>
            <w:tcW w:w="5880" w:type="dxa"/>
            <w:vAlign w:val="bottom"/>
            <w:gridSpan w:val="18"/>
          </w:tcPr>
          <w:p>
            <w:pPr>
              <w:spacing w:after="0"/>
              <w:rPr>
                <w:rFonts w:ascii="Arial" w:cs="Arial" w:eastAsia="Arial" w:hAnsi="Arial"/>
                <w:sz w:val="12"/>
                <w:szCs w:val="12"/>
                <w:color w:val="0000FF"/>
              </w:rPr>
            </w:pPr>
            <w:hyperlink w:anchor="page139">
              <w:r>
                <w:rPr>
                  <w:rFonts w:ascii="Arial" w:cs="Arial" w:eastAsia="Arial" w:hAnsi="Arial"/>
                  <w:sz w:val="12"/>
                  <w:szCs w:val="12"/>
                  <w:color w:val="0000FF"/>
                </w:rPr>
                <w:t>Rule 13a-14(a)/15d-14(a) certification of David Callen.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043" w:hanging="1043"/>
        <w:spacing w:after="0"/>
        <w:tabs>
          <w:tab w:leader="none" w:pos="1043" w:val="left"/>
        </w:tabs>
        <w:numPr>
          <w:ilvl w:val="0"/>
          <w:numId w:val="71"/>
        </w:numPr>
        <w:rPr>
          <w:rFonts w:ascii="Arial" w:cs="Arial" w:eastAsia="Arial" w:hAnsi="Arial"/>
          <w:sz w:val="12"/>
          <w:szCs w:val="12"/>
          <w:u w:val="single" w:color="auto"/>
          <w:color w:val="0000FF"/>
        </w:rPr>
      </w:pPr>
      <w:hyperlink w:anchor="page140">
        <w:r>
          <w:rPr>
            <w:rFonts w:ascii="Arial" w:cs="Arial" w:eastAsia="Arial" w:hAnsi="Arial"/>
            <w:sz w:val="12"/>
            <w:szCs w:val="12"/>
            <w:u w:val="single" w:color="auto"/>
            <w:color w:val="0000FF"/>
          </w:rPr>
          <w:t>Section 1350 Certification.</w:t>
        </w:r>
      </w:hyperlink>
    </w:p>
    <w:p>
      <w:pPr>
        <w:spacing w:after="0" w:line="56" w:lineRule="exact"/>
        <w:rPr>
          <w:sz w:val="20"/>
          <w:szCs w:val="20"/>
          <w:color w:val="auto"/>
        </w:rPr>
      </w:pPr>
    </w:p>
    <w:tbl>
      <w:tblPr>
        <w:tblLayout w:type="fixed"/>
        <w:tblInd w:w="3" w:type="dxa"/>
        <w:tblCellMar>
          <w:top w:w="0" w:type="dxa"/>
          <w:left w:w="0" w:type="dxa"/>
          <w:bottom w:w="0" w:type="dxa"/>
          <w:right w:w="0" w:type="dxa"/>
        </w:tblCellMar>
      </w:tblPr>
      <w:tr>
        <w:trPr>
          <w:trHeight w:val="148"/>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INS</w:t>
            </w:r>
          </w:p>
        </w:tc>
        <w:tc>
          <w:tcPr>
            <w:tcW w:w="2720" w:type="dxa"/>
            <w:vAlign w:val="bottom"/>
          </w:tcPr>
          <w:p>
            <w:pPr>
              <w:ind w:left="300"/>
              <w:spacing w:after="0"/>
              <w:rPr>
                <w:sz w:val="20"/>
                <w:szCs w:val="20"/>
                <w:color w:val="auto"/>
              </w:rPr>
            </w:pPr>
            <w:r>
              <w:rPr>
                <w:rFonts w:ascii="Arial" w:cs="Arial" w:eastAsia="Arial" w:hAnsi="Arial"/>
                <w:sz w:val="12"/>
                <w:szCs w:val="12"/>
                <w:color w:val="auto"/>
              </w:rPr>
              <w:t>XBRL Instance Document.</w:t>
            </w:r>
          </w:p>
        </w:tc>
      </w:tr>
      <w:tr>
        <w:trPr>
          <w:trHeight w:val="194"/>
        </w:trPr>
        <w:tc>
          <w:tcPr>
            <w:tcW w:w="740" w:type="dxa"/>
            <w:vAlign w:val="bottom"/>
            <w:gridSpan w:val="2"/>
          </w:tcPr>
          <w:p>
            <w:pPr>
              <w:spacing w:after="0"/>
              <w:rPr>
                <w:sz w:val="20"/>
                <w:szCs w:val="20"/>
                <w:color w:val="auto"/>
              </w:rPr>
            </w:pPr>
            <w:r>
              <w:rPr>
                <w:rFonts w:ascii="Arial" w:cs="Arial" w:eastAsia="Arial" w:hAnsi="Arial"/>
                <w:sz w:val="12"/>
                <w:szCs w:val="12"/>
                <w:color w:val="auto"/>
              </w:rPr>
              <w:t>101 SCH</w:t>
            </w:r>
          </w:p>
        </w:tc>
        <w:tc>
          <w:tcPr>
            <w:tcW w:w="2720" w:type="dxa"/>
            <w:vAlign w:val="bottom"/>
          </w:tcPr>
          <w:p>
            <w:pPr>
              <w:ind w:left="300"/>
              <w:spacing w:after="0"/>
              <w:rPr>
                <w:sz w:val="20"/>
                <w:szCs w:val="20"/>
                <w:color w:val="auto"/>
              </w:rPr>
            </w:pPr>
            <w:r>
              <w:rPr>
                <w:rFonts w:ascii="Arial" w:cs="Arial" w:eastAsia="Arial" w:hAnsi="Arial"/>
                <w:sz w:val="12"/>
                <w:szCs w:val="12"/>
                <w:color w:val="auto"/>
              </w:rPr>
              <w:t>XBRL Taxonomy Extension Schema.</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CAL</w:t>
            </w:r>
          </w:p>
        </w:tc>
        <w:tc>
          <w:tcPr>
            <w:tcW w:w="2720" w:type="dxa"/>
            <w:vAlign w:val="bottom"/>
          </w:tcPr>
          <w:p>
            <w:pPr>
              <w:ind w:left="300"/>
              <w:spacing w:after="0"/>
              <w:rPr>
                <w:sz w:val="20"/>
                <w:szCs w:val="20"/>
                <w:color w:val="auto"/>
              </w:rPr>
            </w:pPr>
            <w:r>
              <w:rPr>
                <w:rFonts w:ascii="Arial" w:cs="Arial" w:eastAsia="Arial" w:hAnsi="Arial"/>
                <w:sz w:val="12"/>
                <w:szCs w:val="12"/>
                <w:color w:val="auto"/>
                <w:w w:val="90"/>
              </w:rPr>
              <w:t>XBRL Taxonomy Extension Calculation Linkbase.</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DEF</w:t>
            </w:r>
          </w:p>
        </w:tc>
        <w:tc>
          <w:tcPr>
            <w:tcW w:w="2720" w:type="dxa"/>
            <w:vAlign w:val="bottom"/>
          </w:tcPr>
          <w:p>
            <w:pPr>
              <w:ind w:left="300"/>
              <w:spacing w:after="0"/>
              <w:rPr>
                <w:sz w:val="20"/>
                <w:szCs w:val="20"/>
                <w:color w:val="auto"/>
              </w:rPr>
            </w:pPr>
            <w:r>
              <w:rPr>
                <w:rFonts w:ascii="Arial" w:cs="Arial" w:eastAsia="Arial" w:hAnsi="Arial"/>
                <w:sz w:val="12"/>
                <w:szCs w:val="12"/>
                <w:color w:val="auto"/>
                <w:w w:val="94"/>
              </w:rPr>
              <w:t>XBRL Taxonomy Extension Definition Linkbase.</w:t>
            </w:r>
          </w:p>
        </w:tc>
      </w:tr>
      <w:tr>
        <w:trPr>
          <w:trHeight w:val="194"/>
        </w:trPr>
        <w:tc>
          <w:tcPr>
            <w:tcW w:w="740" w:type="dxa"/>
            <w:vAlign w:val="bottom"/>
            <w:gridSpan w:val="2"/>
          </w:tcPr>
          <w:p>
            <w:pPr>
              <w:spacing w:after="0"/>
              <w:rPr>
                <w:sz w:val="20"/>
                <w:szCs w:val="20"/>
                <w:color w:val="auto"/>
              </w:rPr>
            </w:pPr>
            <w:r>
              <w:rPr>
                <w:rFonts w:ascii="Arial" w:cs="Arial" w:eastAsia="Arial" w:hAnsi="Arial"/>
                <w:sz w:val="12"/>
                <w:szCs w:val="12"/>
                <w:color w:val="auto"/>
              </w:rPr>
              <w:t>101 LAB</w:t>
            </w:r>
          </w:p>
        </w:tc>
        <w:tc>
          <w:tcPr>
            <w:tcW w:w="2720" w:type="dxa"/>
            <w:vAlign w:val="bottom"/>
          </w:tcPr>
          <w:p>
            <w:pPr>
              <w:ind w:left="300"/>
              <w:spacing w:after="0"/>
              <w:rPr>
                <w:sz w:val="20"/>
                <w:szCs w:val="20"/>
                <w:color w:val="auto"/>
              </w:rPr>
            </w:pPr>
            <w:r>
              <w:rPr>
                <w:rFonts w:ascii="Arial" w:cs="Arial" w:eastAsia="Arial" w:hAnsi="Arial"/>
                <w:sz w:val="12"/>
                <w:szCs w:val="12"/>
                <w:color w:val="auto"/>
              </w:rPr>
              <w:t>XBRL Taxonomy Extension Label Linkbase.</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PRE</w:t>
            </w:r>
          </w:p>
        </w:tc>
        <w:tc>
          <w:tcPr>
            <w:tcW w:w="2720" w:type="dxa"/>
            <w:vAlign w:val="bottom"/>
          </w:tcPr>
          <w:p>
            <w:pPr>
              <w:ind w:left="300"/>
              <w:spacing w:after="0"/>
              <w:rPr>
                <w:sz w:val="20"/>
                <w:szCs w:val="20"/>
                <w:color w:val="auto"/>
              </w:rPr>
            </w:pPr>
            <w:r>
              <w:rPr>
                <w:rFonts w:ascii="Arial" w:cs="Arial" w:eastAsia="Arial" w:hAnsi="Arial"/>
                <w:sz w:val="12"/>
                <w:szCs w:val="12"/>
                <w:color w:val="auto"/>
                <w:w w:val="88"/>
              </w:rPr>
              <w:t>XBRL Taxonomy Extension Presentation Linkbase.</w:t>
            </w:r>
          </w:p>
        </w:tc>
      </w:tr>
    </w:tbl>
    <w:p>
      <w:pPr>
        <w:spacing w:after="0" w:line="346" w:lineRule="exact"/>
        <w:rPr>
          <w:sz w:val="20"/>
          <w:szCs w:val="20"/>
          <w:color w:val="auto"/>
        </w:rPr>
      </w:pPr>
    </w:p>
    <w:p>
      <w:pPr>
        <w:ind w:left="5623"/>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2"/>
          <w:szCs w:val="12"/>
          <w:color w:val="auto"/>
        </w:rPr>
        <w:t>Incorporated herein by reference to Exhibit 10.8 to NRG Yield, Inc.'s Quarterly Report on Form 10-Q filed on August 4, 2015.</w:t>
      </w:r>
    </w:p>
    <w:p>
      <w:pPr>
        <w:spacing w:after="0" w:line="282"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10.5 to NRG Yield, Inc.'s Quarterly Report on Form 10-Q filed on August 7, 2014.</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10.6 to NRG Yield, Inc.'s Quarterly Report on Form 10-Q filed on August 7, 2014.</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August 4, 2015.</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August 4, 2015.</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May 5, 2016.</w:t>
      </w:r>
    </w:p>
    <w:p>
      <w:pPr>
        <w:spacing w:after="0" w:line="282"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May 5, 2016.</w:t>
      </w:r>
    </w:p>
    <w:p>
      <w:pPr>
        <w:spacing w:after="0" w:line="282"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10.3 to NRG Yield, Inc.'s Quarterly Report on Form 10-Q filed on May 5,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August 9, 2016.</w:t>
      </w:r>
    </w:p>
    <w:p>
      <w:pPr>
        <w:spacing w:after="0" w:line="282"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8-K/A, filed on August 9, 2016.</w:t>
      </w:r>
    </w:p>
    <w:p>
      <w:pPr>
        <w:spacing w:after="0" w:line="136"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Incorporated herein by reference to Exhibit 10.28 to NRG Yield, Inc.'s Annual Report on Form 10-K, filed on March 1, 2018.</w:t>
      </w:r>
    </w:p>
    <w:p>
      <w:pPr>
        <w:spacing w:after="0" w:line="136"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Incorporated herein by reference to Exhibit 10.34 to NRG Yield, Inc.'s Annual Report on Form 10-K, filed on March 1, 2018.</w:t>
      </w: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Furnished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ectPr>
          <w:pgSz w:w="11900" w:h="16838" w:orient="portrait"/>
          <w:cols w:equalWidth="0" w:num="2">
            <w:col w:w="6923" w:space="200"/>
            <w:col w:w="4200"/>
          </w:cols>
          <w:pgMar w:left="237" w:top="832" w:right="339" w:bottom="1440" w:gutter="0" w:footer="0" w:header="0"/>
        </w:sectPr>
      </w:pPr>
    </w:p>
    <w:bookmarkStart w:id="122" w:name="page123"/>
    <w:bookmarkEnd w:id="122"/>
    <w:p>
      <w:pPr>
        <w:ind w:left="403" w:hanging="403"/>
        <w:spacing w:after="0"/>
        <w:tabs>
          <w:tab w:leader="none" w:pos="403"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Indicates exhibits that constitute compensatory plans or arrangements.</w:t>
      </w:r>
    </w:p>
    <w:p>
      <w:pPr>
        <w:spacing w:after="0" w:line="56" w:lineRule="exact"/>
        <w:rPr>
          <w:sz w:val="20"/>
          <w:szCs w:val="20"/>
          <w:color w:val="auto"/>
        </w:rPr>
      </w:pPr>
    </w:p>
    <w:p>
      <w:pPr>
        <w:ind w:left="403" w:right="3619" w:hanging="403"/>
        <w:spacing w:after="0" w:line="270" w:lineRule="auto"/>
        <w:tabs>
          <w:tab w:leader="none" w:pos="403"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filing excludes schedules pursuant to Item 601(b)(2) of Regulation S-K, which the registrant agrees to furnish supplementary to the Securities and Exchange Commission upon request by the Commission.</w:t>
      </w:r>
    </w:p>
    <w:p>
      <w:pPr>
        <w:spacing w:after="0" w:line="20" w:lineRule="exact"/>
        <w:rPr>
          <w:sz w:val="20"/>
          <w:szCs w:val="20"/>
          <w:color w:val="auto"/>
        </w:rPr>
      </w:pPr>
    </w:p>
    <w:p>
      <w:pPr>
        <w:ind w:left="403" w:right="3639" w:hanging="403"/>
        <w:spacing w:after="0" w:line="372" w:lineRule="auto"/>
        <w:tabs>
          <w:tab w:leader="none" w:pos="403" w:val="left"/>
        </w:tabs>
        <w:numPr>
          <w:ilvl w:val="0"/>
          <w:numId w:val="74"/>
        </w:numPr>
        <w:rPr>
          <w:rFonts w:ascii="Arial" w:cs="Arial" w:eastAsia="Arial" w:hAnsi="Arial"/>
          <w:sz w:val="10"/>
          <w:szCs w:val="10"/>
          <w:color w:val="auto"/>
        </w:rPr>
      </w:pPr>
      <w:r>
        <w:rPr>
          <w:rFonts w:ascii="Arial" w:cs="Arial" w:eastAsia="Arial" w:hAnsi="Arial"/>
          <w:sz w:val="10"/>
          <w:szCs w:val="10"/>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29" w:lineRule="exact"/>
        <w:rPr>
          <w:sz w:val="20"/>
          <w:szCs w:val="20"/>
          <w:color w:val="auto"/>
        </w:rPr>
      </w:pPr>
    </w:p>
    <w:p>
      <w:pPr>
        <w:ind w:left="5623"/>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0222"/>
          </w:cols>
          <w:pgMar w:left="237" w:top="832" w:right="1440"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color w:val="auto"/>
        </w:rPr>
        <w:t>Item 16 — Form 10-K Summary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97"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239"/>
          </w:cols>
          <w:pgMar w:left="220" w:top="709" w:right="1440" w:bottom="1440" w:gutter="0" w:footer="0" w:header="0"/>
        </w:sectPr>
      </w:pPr>
    </w:p>
    <w:bookmarkStart w:id="124" w:name="page125"/>
    <w:bookmarkEnd w:id="124"/>
    <w:p>
      <w:pPr>
        <w:ind w:left="5320"/>
        <w:spacing w:after="0"/>
        <w:rPr>
          <w:sz w:val="20"/>
          <w:szCs w:val="20"/>
          <w:color w:val="auto"/>
        </w:rPr>
      </w:pPr>
      <w:r>
        <w:rPr>
          <w:rFonts w:ascii="Arial" w:cs="Arial" w:eastAsia="Arial" w:hAnsi="Arial"/>
          <w:sz w:val="13"/>
          <w:szCs w:val="13"/>
          <w:b w:val="1"/>
          <w:bCs w:val="1"/>
          <w:color w:val="auto"/>
        </w:rPr>
        <w:t>SIGNATURES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NRG YIELD LLC</w:t>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(Registrant)</w:t>
      </w:r>
    </w:p>
    <w:p>
      <w:pPr>
        <w:spacing w:after="0" w:line="251"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21590</wp:posOffset>
            </wp:positionV>
            <wp:extent cx="21158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2">
                      <a:extLst>
                        <a:ext uri="{28A0092B-C50C-407E-A947-70E740481C1C}"/>
                      </a:extLst>
                    </a:blip>
                    <a:srcRect/>
                    <a:stretch>
                      <a:fillRect/>
                    </a:stretch>
                  </pic:blipFill>
                  <pic:spPr bwMode="auto">
                    <a:xfrm>
                      <a:off x="0" y="0"/>
                      <a:ext cx="2115820" cy="6350"/>
                    </a:xfrm>
                    <a:prstGeom prst="rect">
                      <a:avLst/>
                    </a:prstGeom>
                    <a:noFill/>
                  </pic:spPr>
                </pic:pic>
              </a:graphicData>
            </a:graphic>
          </wp:anchor>
        </w:drawing>
      </w:r>
    </w:p>
    <w:p>
      <w:pPr>
        <w:spacing w:after="0" w:line="35"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Christopher S. Sotos</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3"/>
          <w:szCs w:val="13"/>
          <w:i w:val="1"/>
          <w:iCs w:val="1"/>
          <w:color w:val="auto"/>
        </w:rPr>
        <w:t>Chief Executive Officer</w:t>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3"/>
          <w:szCs w:val="13"/>
          <w:i w:val="1"/>
          <w:iCs w:val="1"/>
          <w:color w:val="auto"/>
        </w:rPr>
        <w:t>(Principal Executive Officer)</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March 1,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165"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3"/>
          <w:szCs w:val="13"/>
          <w:color w:val="auto"/>
        </w:rPr>
        <w:t>Each person whose signature appears below constitutes and appoints David R. Hill and Brian E. Curci,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 accordance with the Securities Exchange Act of 1934, this report has been signed by the following persons on behalf of the registrant in the capacities indicated on March 1, 2018.</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Signatures</w:t>
            </w:r>
          </w:p>
        </w:tc>
        <w:tc>
          <w:tcPr>
            <w:tcW w:w="20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7"/>
              </w:rPr>
              <w:t>Title</w:t>
            </w:r>
          </w:p>
        </w:tc>
        <w:tc>
          <w:tcPr>
            <w:tcW w:w="0" w:type="dxa"/>
            <w:vAlign w:val="bottom"/>
          </w:tcPr>
          <w:p>
            <w:pPr>
              <w:spacing w:after="0"/>
              <w:rPr>
                <w:sz w:val="1"/>
                <w:szCs w:val="1"/>
                <w:color w:val="auto"/>
              </w:rPr>
            </w:pPr>
          </w:p>
        </w:tc>
      </w:tr>
      <w:tr>
        <w:trPr>
          <w:trHeight w:val="183"/>
        </w:trPr>
        <w:tc>
          <w:tcPr>
            <w:tcW w:w="5280" w:type="dxa"/>
            <w:vAlign w:val="bottom"/>
            <w:gridSpan w:val="3"/>
          </w:tcPr>
          <w:p>
            <w:pPr>
              <w:jc w:val="center"/>
              <w:ind w:left="755"/>
              <w:spacing w:after="0"/>
              <w:rPr>
                <w:sz w:val="20"/>
                <w:szCs w:val="20"/>
                <w:color w:val="auto"/>
              </w:rPr>
            </w:pPr>
            <w:r>
              <w:rPr>
                <w:rFonts w:ascii="Arial" w:cs="Arial" w:eastAsia="Arial" w:hAnsi="Arial"/>
                <w:sz w:val="13"/>
                <w:szCs w:val="13"/>
                <w:color w:val="auto"/>
                <w:w w:val="91"/>
              </w:rPr>
              <w:t>/s/ CHRISTOPHER S. SOTOS</w:t>
            </w:r>
          </w:p>
        </w:tc>
        <w:tc>
          <w:tcPr>
            <w:tcW w:w="3320" w:type="dxa"/>
            <w:vAlign w:val="bottom"/>
            <w:gridSpan w:val="2"/>
          </w:tcPr>
          <w:p>
            <w:pPr>
              <w:ind w:left="480"/>
              <w:spacing w:after="0"/>
              <w:rPr>
                <w:sz w:val="20"/>
                <w:szCs w:val="20"/>
                <w:color w:val="auto"/>
              </w:rPr>
            </w:pPr>
            <w:r>
              <w:rPr>
                <w:rFonts w:ascii="Arial" w:cs="Arial" w:eastAsia="Arial" w:hAnsi="Arial"/>
                <w:sz w:val="13"/>
                <w:szCs w:val="13"/>
                <w:i w:val="1"/>
                <w:iCs w:val="1"/>
                <w:color w:val="auto"/>
              </w:rPr>
              <w:t>President and Chief Executive Officer</w:t>
            </w: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320" w:type="dxa"/>
            <w:vAlign w:val="bottom"/>
            <w:gridSpan w:val="2"/>
            <w:vMerge w:val="restart"/>
          </w:tcPr>
          <w:p>
            <w:pPr>
              <w:ind w:left="480"/>
              <w:spacing w:after="0"/>
              <w:rPr>
                <w:sz w:val="20"/>
                <w:szCs w:val="20"/>
                <w:color w:val="auto"/>
              </w:rPr>
            </w:pPr>
            <w:r>
              <w:rPr>
                <w:rFonts w:ascii="Arial" w:cs="Arial" w:eastAsia="Arial" w:hAnsi="Arial"/>
                <w:sz w:val="13"/>
                <w:szCs w:val="13"/>
                <w:i w:val="1"/>
                <w:iCs w:val="1"/>
                <w:color w:val="auto"/>
              </w:rPr>
              <w:t>of NRG Yield LLC (Principal Executive Officer)</w:t>
            </w:r>
          </w:p>
        </w:tc>
        <w:tc>
          <w:tcPr>
            <w:tcW w:w="0" w:type="dxa"/>
            <w:vAlign w:val="bottom"/>
          </w:tcPr>
          <w:p>
            <w:pPr>
              <w:spacing w:after="0"/>
              <w:rPr>
                <w:sz w:val="1"/>
                <w:szCs w:val="1"/>
                <w:color w:val="auto"/>
              </w:rPr>
            </w:pPr>
          </w:p>
        </w:tc>
      </w:tr>
      <w:tr>
        <w:trPr>
          <w:trHeight w:val="164"/>
        </w:trPr>
        <w:tc>
          <w:tcPr>
            <w:tcW w:w="5280" w:type="dxa"/>
            <w:vAlign w:val="bottom"/>
            <w:gridSpan w:val="3"/>
          </w:tcPr>
          <w:p>
            <w:pPr>
              <w:jc w:val="center"/>
              <w:ind w:left="735"/>
              <w:spacing w:after="0"/>
              <w:rPr>
                <w:sz w:val="20"/>
                <w:szCs w:val="20"/>
                <w:color w:val="auto"/>
              </w:rPr>
            </w:pPr>
            <w:r>
              <w:rPr>
                <w:rFonts w:ascii="Arial" w:cs="Arial" w:eastAsia="Arial" w:hAnsi="Arial"/>
                <w:sz w:val="13"/>
                <w:szCs w:val="13"/>
                <w:color w:val="auto"/>
                <w:w w:val="90"/>
              </w:rPr>
              <w:t>Christopher S. Sotos</w:t>
            </w:r>
          </w:p>
        </w:tc>
        <w:tc>
          <w:tcPr>
            <w:tcW w:w="3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gridSpan w:val="3"/>
          </w:tcPr>
          <w:p>
            <w:pPr>
              <w:ind w:left="500"/>
              <w:spacing w:after="0"/>
              <w:rPr>
                <w:sz w:val="20"/>
                <w:szCs w:val="20"/>
                <w:color w:val="auto"/>
              </w:rPr>
            </w:pPr>
            <w:r>
              <w:rPr>
                <w:rFonts w:ascii="Arial" w:cs="Arial" w:eastAsia="Arial" w:hAnsi="Arial"/>
                <w:sz w:val="13"/>
                <w:szCs w:val="13"/>
                <w:color w:val="auto"/>
              </w:rPr>
              <w:t>Date: March 1, 2018</w:t>
            </w: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20" w:type="dxa"/>
            <w:vAlign w:val="bottom"/>
            <w:gridSpan w:val="2"/>
          </w:tcPr>
          <w:p>
            <w:pPr>
              <w:ind w:left="480"/>
              <w:spacing w:after="0"/>
              <w:rPr>
                <w:sz w:val="20"/>
                <w:szCs w:val="20"/>
                <w:color w:val="auto"/>
              </w:rPr>
            </w:pPr>
            <w:r>
              <w:rPr>
                <w:rFonts w:ascii="Arial" w:cs="Arial" w:eastAsia="Arial" w:hAnsi="Arial"/>
                <w:sz w:val="13"/>
                <w:szCs w:val="13"/>
                <w:i w:val="1"/>
                <w:iCs w:val="1"/>
                <w:color w:val="auto"/>
              </w:rPr>
              <w:t>Senior Vice President and Chief Financial Officer</w:t>
            </w:r>
          </w:p>
        </w:tc>
        <w:tc>
          <w:tcPr>
            <w:tcW w:w="0" w:type="dxa"/>
            <w:vAlign w:val="bottom"/>
          </w:tcPr>
          <w:p>
            <w:pPr>
              <w:spacing w:after="0"/>
              <w:rPr>
                <w:sz w:val="1"/>
                <w:szCs w:val="1"/>
                <w:color w:val="auto"/>
              </w:rPr>
            </w:pPr>
          </w:p>
        </w:tc>
      </w:tr>
      <w:tr>
        <w:trPr>
          <w:trHeight w:val="311"/>
        </w:trPr>
        <w:tc>
          <w:tcPr>
            <w:tcW w:w="5280" w:type="dxa"/>
            <w:vAlign w:val="bottom"/>
            <w:gridSpan w:val="3"/>
          </w:tcPr>
          <w:p>
            <w:pPr>
              <w:jc w:val="center"/>
              <w:ind w:left="735"/>
              <w:spacing w:after="0"/>
              <w:rPr>
                <w:sz w:val="20"/>
                <w:szCs w:val="20"/>
                <w:color w:val="auto"/>
              </w:rPr>
            </w:pPr>
            <w:r>
              <w:rPr>
                <w:rFonts w:ascii="Arial" w:cs="Arial" w:eastAsia="Arial" w:hAnsi="Arial"/>
                <w:sz w:val="13"/>
                <w:szCs w:val="13"/>
                <w:color w:val="auto"/>
                <w:w w:val="98"/>
              </w:rPr>
              <w:t>/s/ CHAD PLOTKIN</w:t>
            </w: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320" w:type="dxa"/>
            <w:vAlign w:val="bottom"/>
            <w:gridSpan w:val="2"/>
            <w:vMerge w:val="restart"/>
          </w:tcPr>
          <w:p>
            <w:pPr>
              <w:ind w:left="480"/>
              <w:spacing w:after="0"/>
              <w:rPr>
                <w:sz w:val="20"/>
                <w:szCs w:val="20"/>
                <w:color w:val="auto"/>
              </w:rPr>
            </w:pPr>
            <w:r>
              <w:rPr>
                <w:rFonts w:ascii="Arial" w:cs="Arial" w:eastAsia="Arial" w:hAnsi="Arial"/>
                <w:sz w:val="13"/>
                <w:szCs w:val="13"/>
                <w:i w:val="1"/>
                <w:iCs w:val="1"/>
                <w:color w:val="auto"/>
              </w:rPr>
              <w:t>of NRG Yield LLC (Principal Financial Officer)</w:t>
            </w:r>
          </w:p>
        </w:tc>
        <w:tc>
          <w:tcPr>
            <w:tcW w:w="0" w:type="dxa"/>
            <w:vAlign w:val="bottom"/>
          </w:tcPr>
          <w:p>
            <w:pPr>
              <w:spacing w:after="0"/>
              <w:rPr>
                <w:sz w:val="1"/>
                <w:szCs w:val="1"/>
                <w:color w:val="auto"/>
              </w:rPr>
            </w:pPr>
          </w:p>
        </w:tc>
      </w:tr>
      <w:tr>
        <w:trPr>
          <w:trHeight w:val="164"/>
        </w:trPr>
        <w:tc>
          <w:tcPr>
            <w:tcW w:w="5280" w:type="dxa"/>
            <w:vAlign w:val="bottom"/>
            <w:gridSpan w:val="3"/>
          </w:tcPr>
          <w:p>
            <w:pPr>
              <w:jc w:val="center"/>
              <w:ind w:left="735"/>
              <w:spacing w:after="0"/>
              <w:rPr>
                <w:sz w:val="20"/>
                <w:szCs w:val="20"/>
                <w:color w:val="auto"/>
              </w:rPr>
            </w:pPr>
            <w:r>
              <w:rPr>
                <w:rFonts w:ascii="Arial" w:cs="Arial" w:eastAsia="Arial" w:hAnsi="Arial"/>
                <w:sz w:val="13"/>
                <w:szCs w:val="13"/>
                <w:color w:val="auto"/>
                <w:w w:val="92"/>
              </w:rPr>
              <w:t>Chad Plotkin</w:t>
            </w:r>
          </w:p>
        </w:tc>
        <w:tc>
          <w:tcPr>
            <w:tcW w:w="3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gridSpan w:val="3"/>
          </w:tcPr>
          <w:p>
            <w:pPr>
              <w:ind w:left="500"/>
              <w:spacing w:after="0"/>
              <w:rPr>
                <w:sz w:val="20"/>
                <w:szCs w:val="20"/>
                <w:color w:val="auto"/>
              </w:rPr>
            </w:pPr>
            <w:r>
              <w:rPr>
                <w:rFonts w:ascii="Arial" w:cs="Arial" w:eastAsia="Arial" w:hAnsi="Arial"/>
                <w:sz w:val="13"/>
                <w:szCs w:val="13"/>
                <w:color w:val="auto"/>
              </w:rPr>
              <w:t>Date: March 1, 2018</w:t>
            </w: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5280" w:type="dxa"/>
            <w:vAlign w:val="bottom"/>
            <w:gridSpan w:val="3"/>
          </w:tcPr>
          <w:p>
            <w:pPr>
              <w:jc w:val="center"/>
              <w:ind w:left="755"/>
              <w:spacing w:after="0"/>
              <w:rPr>
                <w:sz w:val="20"/>
                <w:szCs w:val="20"/>
                <w:color w:val="auto"/>
              </w:rPr>
            </w:pPr>
            <w:r>
              <w:rPr>
                <w:rFonts w:ascii="Arial" w:cs="Arial" w:eastAsia="Arial" w:hAnsi="Arial"/>
                <w:sz w:val="13"/>
                <w:szCs w:val="13"/>
                <w:color w:val="auto"/>
                <w:w w:val="98"/>
              </w:rPr>
              <w:t>/s/ DAVID CALLEN</w:t>
            </w:r>
          </w:p>
        </w:tc>
        <w:tc>
          <w:tcPr>
            <w:tcW w:w="3320" w:type="dxa"/>
            <w:vAlign w:val="bottom"/>
            <w:gridSpan w:val="2"/>
          </w:tcPr>
          <w:p>
            <w:pPr>
              <w:ind w:left="480"/>
              <w:spacing w:after="0"/>
              <w:rPr>
                <w:sz w:val="20"/>
                <w:szCs w:val="20"/>
                <w:color w:val="auto"/>
              </w:rPr>
            </w:pPr>
            <w:r>
              <w:rPr>
                <w:rFonts w:ascii="Arial" w:cs="Arial" w:eastAsia="Arial" w:hAnsi="Arial"/>
                <w:sz w:val="13"/>
                <w:szCs w:val="13"/>
                <w:i w:val="1"/>
                <w:iCs w:val="1"/>
                <w:color w:val="auto"/>
                <w:w w:val="95"/>
              </w:rPr>
              <w:t>Senior Vice President and Chief Accounting Officer</w:t>
            </w: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320" w:type="dxa"/>
            <w:vAlign w:val="bottom"/>
            <w:gridSpan w:val="2"/>
            <w:vMerge w:val="restart"/>
          </w:tcPr>
          <w:p>
            <w:pPr>
              <w:ind w:left="480"/>
              <w:spacing w:after="0"/>
              <w:rPr>
                <w:sz w:val="20"/>
                <w:szCs w:val="20"/>
                <w:color w:val="auto"/>
              </w:rPr>
            </w:pPr>
            <w:r>
              <w:rPr>
                <w:rFonts w:ascii="Arial" w:cs="Arial" w:eastAsia="Arial" w:hAnsi="Arial"/>
                <w:sz w:val="13"/>
                <w:szCs w:val="13"/>
                <w:i w:val="1"/>
                <w:iCs w:val="1"/>
                <w:color w:val="auto"/>
              </w:rPr>
              <w:t>of NRG Yield LLC (Principal Accounting Officer)</w:t>
            </w:r>
          </w:p>
        </w:tc>
        <w:tc>
          <w:tcPr>
            <w:tcW w:w="0" w:type="dxa"/>
            <w:vAlign w:val="bottom"/>
          </w:tcPr>
          <w:p>
            <w:pPr>
              <w:spacing w:after="0"/>
              <w:rPr>
                <w:sz w:val="1"/>
                <w:szCs w:val="1"/>
                <w:color w:val="auto"/>
              </w:rPr>
            </w:pPr>
          </w:p>
        </w:tc>
      </w:tr>
      <w:tr>
        <w:trPr>
          <w:trHeight w:val="164"/>
        </w:trPr>
        <w:tc>
          <w:tcPr>
            <w:tcW w:w="5280" w:type="dxa"/>
            <w:vAlign w:val="bottom"/>
            <w:gridSpan w:val="3"/>
          </w:tcPr>
          <w:p>
            <w:pPr>
              <w:jc w:val="center"/>
              <w:ind w:left="735"/>
              <w:spacing w:after="0"/>
              <w:rPr>
                <w:sz w:val="20"/>
                <w:szCs w:val="20"/>
                <w:color w:val="auto"/>
              </w:rPr>
            </w:pPr>
            <w:r>
              <w:rPr>
                <w:rFonts w:ascii="Arial" w:cs="Arial" w:eastAsia="Arial" w:hAnsi="Arial"/>
                <w:sz w:val="13"/>
                <w:szCs w:val="13"/>
                <w:color w:val="auto"/>
                <w:w w:val="92"/>
              </w:rPr>
              <w:t>David Callen</w:t>
            </w:r>
          </w:p>
        </w:tc>
        <w:tc>
          <w:tcPr>
            <w:tcW w:w="3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gridSpan w:val="3"/>
          </w:tcPr>
          <w:p>
            <w:pPr>
              <w:ind w:left="500"/>
              <w:spacing w:after="0"/>
              <w:rPr>
                <w:sz w:val="20"/>
                <w:szCs w:val="20"/>
                <w:color w:val="auto"/>
              </w:rPr>
            </w:pPr>
            <w:r>
              <w:rPr>
                <w:rFonts w:ascii="Arial" w:cs="Arial" w:eastAsia="Arial" w:hAnsi="Arial"/>
                <w:sz w:val="13"/>
                <w:szCs w:val="13"/>
                <w:color w:val="auto"/>
              </w:rPr>
              <w:t>Date: March 1, 2018</w:t>
            </w: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5280" w:type="dxa"/>
            <w:vAlign w:val="bottom"/>
            <w:gridSpan w:val="3"/>
          </w:tcPr>
          <w:p>
            <w:pPr>
              <w:ind w:left="20"/>
              <w:spacing w:after="0"/>
              <w:rPr>
                <w:sz w:val="20"/>
                <w:szCs w:val="20"/>
                <w:color w:val="auto"/>
              </w:rPr>
            </w:pPr>
            <w:r>
              <w:rPr>
                <w:rFonts w:ascii="Arial" w:cs="Arial" w:eastAsia="Arial" w:hAnsi="Arial"/>
                <w:sz w:val="13"/>
                <w:szCs w:val="13"/>
                <w:color w:val="auto"/>
              </w:rPr>
              <w:t>NRG YIELD, INC.</w:t>
            </w:r>
          </w:p>
        </w:tc>
        <w:tc>
          <w:tcPr>
            <w:tcW w:w="3320" w:type="dxa"/>
            <w:vAlign w:val="bottom"/>
            <w:gridSpan w:val="2"/>
          </w:tcPr>
          <w:p>
            <w:pPr>
              <w:ind w:left="480"/>
              <w:spacing w:after="0"/>
              <w:rPr>
                <w:sz w:val="20"/>
                <w:szCs w:val="20"/>
                <w:color w:val="auto"/>
              </w:rPr>
            </w:pPr>
            <w:r>
              <w:rPr>
                <w:rFonts w:ascii="Arial" w:cs="Arial" w:eastAsia="Arial" w:hAnsi="Arial"/>
                <w:sz w:val="13"/>
                <w:szCs w:val="13"/>
                <w:color w:val="auto"/>
              </w:rPr>
              <w:t>Sole Managing Member</w:t>
            </w:r>
          </w:p>
        </w:tc>
        <w:tc>
          <w:tcPr>
            <w:tcW w:w="0" w:type="dxa"/>
            <w:vAlign w:val="bottom"/>
          </w:tcPr>
          <w:p>
            <w:pPr>
              <w:spacing w:after="0"/>
              <w:rPr>
                <w:sz w:val="1"/>
                <w:szCs w:val="1"/>
                <w:color w:val="auto"/>
              </w:rPr>
            </w:pPr>
          </w:p>
        </w:tc>
      </w:tr>
      <w:tr>
        <w:trPr>
          <w:trHeight w:val="408"/>
        </w:trPr>
        <w:tc>
          <w:tcPr>
            <w:tcW w:w="5280" w:type="dxa"/>
            <w:vAlign w:val="bottom"/>
            <w:gridSpan w:val="3"/>
          </w:tcPr>
          <w:p>
            <w:pPr>
              <w:jc w:val="center"/>
              <w:ind w:left="755"/>
              <w:spacing w:after="0"/>
              <w:rPr>
                <w:sz w:val="20"/>
                <w:szCs w:val="20"/>
                <w:color w:val="auto"/>
              </w:rPr>
            </w:pPr>
            <w:r>
              <w:rPr>
                <w:rFonts w:ascii="Arial" w:cs="Arial" w:eastAsia="Arial" w:hAnsi="Arial"/>
                <w:sz w:val="13"/>
                <w:szCs w:val="13"/>
                <w:color w:val="auto"/>
                <w:w w:val="91"/>
              </w:rPr>
              <w:t>/s/ CHRISTOPHER S. SOTOS</w:t>
            </w:r>
          </w:p>
        </w:tc>
        <w:tc>
          <w:tcPr>
            <w:tcW w:w="3320" w:type="dxa"/>
            <w:vAlign w:val="bottom"/>
            <w:gridSpan w:val="2"/>
          </w:tcPr>
          <w:p>
            <w:pPr>
              <w:ind w:left="480"/>
              <w:spacing w:after="0"/>
              <w:rPr>
                <w:sz w:val="20"/>
                <w:szCs w:val="20"/>
                <w:color w:val="auto"/>
              </w:rPr>
            </w:pPr>
            <w:r>
              <w:rPr>
                <w:rFonts w:ascii="Arial" w:cs="Arial" w:eastAsia="Arial" w:hAnsi="Arial"/>
                <w:sz w:val="13"/>
                <w:szCs w:val="13"/>
                <w:i w:val="1"/>
                <w:iCs w:val="1"/>
                <w:color w:val="auto"/>
              </w:rPr>
              <w:t>President and Chief Executive Officer</w:t>
            </w: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320" w:type="dxa"/>
            <w:vAlign w:val="bottom"/>
            <w:gridSpan w:val="2"/>
            <w:vMerge w:val="restart"/>
          </w:tcPr>
          <w:p>
            <w:pPr>
              <w:ind w:left="480"/>
              <w:spacing w:after="0"/>
              <w:rPr>
                <w:sz w:val="20"/>
                <w:szCs w:val="20"/>
                <w:color w:val="auto"/>
              </w:rPr>
            </w:pPr>
            <w:r>
              <w:rPr>
                <w:rFonts w:ascii="Arial" w:cs="Arial" w:eastAsia="Arial" w:hAnsi="Arial"/>
                <w:sz w:val="13"/>
                <w:szCs w:val="13"/>
                <w:i w:val="1"/>
                <w:iCs w:val="1"/>
                <w:color w:val="auto"/>
              </w:rPr>
              <w:t>of NRG Yield, Inc.</w:t>
            </w:r>
          </w:p>
        </w:tc>
        <w:tc>
          <w:tcPr>
            <w:tcW w:w="0" w:type="dxa"/>
            <w:vAlign w:val="bottom"/>
          </w:tcPr>
          <w:p>
            <w:pPr>
              <w:spacing w:after="0"/>
              <w:rPr>
                <w:sz w:val="1"/>
                <w:szCs w:val="1"/>
                <w:color w:val="auto"/>
              </w:rPr>
            </w:pPr>
          </w:p>
        </w:tc>
      </w:tr>
      <w:tr>
        <w:trPr>
          <w:trHeight w:val="164"/>
        </w:trPr>
        <w:tc>
          <w:tcPr>
            <w:tcW w:w="5280" w:type="dxa"/>
            <w:vAlign w:val="bottom"/>
            <w:gridSpan w:val="3"/>
          </w:tcPr>
          <w:p>
            <w:pPr>
              <w:jc w:val="center"/>
              <w:ind w:left="735"/>
              <w:spacing w:after="0"/>
              <w:rPr>
                <w:sz w:val="20"/>
                <w:szCs w:val="20"/>
                <w:color w:val="auto"/>
              </w:rPr>
            </w:pPr>
            <w:r>
              <w:rPr>
                <w:rFonts w:ascii="Arial" w:cs="Arial" w:eastAsia="Arial" w:hAnsi="Arial"/>
                <w:sz w:val="13"/>
                <w:szCs w:val="13"/>
                <w:color w:val="auto"/>
                <w:w w:val="90"/>
              </w:rPr>
              <w:t>Christopher S. Sotos</w:t>
            </w:r>
          </w:p>
        </w:tc>
        <w:tc>
          <w:tcPr>
            <w:tcW w:w="3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gridSpan w:val="3"/>
          </w:tcPr>
          <w:p>
            <w:pPr>
              <w:ind w:left="500"/>
              <w:spacing w:after="0"/>
              <w:rPr>
                <w:sz w:val="20"/>
                <w:szCs w:val="20"/>
                <w:color w:val="auto"/>
              </w:rPr>
            </w:pPr>
            <w:r>
              <w:rPr>
                <w:rFonts w:ascii="Arial" w:cs="Arial" w:eastAsia="Arial" w:hAnsi="Arial"/>
                <w:sz w:val="13"/>
                <w:szCs w:val="13"/>
                <w:color w:val="auto"/>
              </w:rPr>
              <w:t>Date: March 1, 2018</w:t>
            </w: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5"/>
        </w:trPr>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ind w:left="360"/>
              <w:spacing w:after="0"/>
              <w:rPr>
                <w:sz w:val="20"/>
                <w:szCs w:val="20"/>
                <w:color w:val="auto"/>
              </w:rPr>
            </w:pPr>
            <w:r>
              <w:rPr>
                <w:rFonts w:ascii="Arial" w:cs="Arial" w:eastAsia="Arial" w:hAnsi="Arial"/>
                <w:sz w:val="13"/>
                <w:szCs w:val="13"/>
                <w:color w:val="auto"/>
              </w:rPr>
              <w:t>125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81" w:right="2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8"/>
              </w:rPr>
              <w:t>/s/ KIRKLAND B. ANDREWS</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5"/>
              </w:rPr>
              <w:t>Kirkland B. Andrews</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408"/>
        </w:trPr>
        <w:tc>
          <w:tcPr>
            <w:tcW w:w="3560" w:type="dxa"/>
            <w:vAlign w:val="bottom"/>
          </w:tcPr>
          <w:p>
            <w:pPr>
              <w:jc w:val="center"/>
              <w:spacing w:after="0"/>
              <w:rPr>
                <w:sz w:val="20"/>
                <w:szCs w:val="20"/>
                <w:color w:val="auto"/>
              </w:rPr>
            </w:pPr>
            <w:r>
              <w:rPr>
                <w:rFonts w:ascii="Arial" w:cs="Arial" w:eastAsia="Arial" w:hAnsi="Arial"/>
                <w:sz w:val="13"/>
                <w:szCs w:val="13"/>
                <w:color w:val="auto"/>
                <w:w w:val="96"/>
              </w:rPr>
              <w:t>/s/ JOHN CHILLEMI</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2"/>
              </w:rPr>
              <w:t>John Chillemi</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408"/>
        </w:trPr>
        <w:tc>
          <w:tcPr>
            <w:tcW w:w="3560" w:type="dxa"/>
            <w:vAlign w:val="bottom"/>
          </w:tcPr>
          <w:p>
            <w:pPr>
              <w:jc w:val="center"/>
              <w:spacing w:after="0"/>
              <w:rPr>
                <w:sz w:val="20"/>
                <w:szCs w:val="20"/>
                <w:color w:val="auto"/>
              </w:rPr>
            </w:pPr>
            <w:r>
              <w:rPr>
                <w:rFonts w:ascii="Arial" w:cs="Arial" w:eastAsia="Arial" w:hAnsi="Arial"/>
                <w:sz w:val="13"/>
                <w:szCs w:val="13"/>
                <w:color w:val="auto"/>
                <w:w w:val="95"/>
              </w:rPr>
              <w:t>/s/ JOHN CHLEBOWSKI</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vMerge w:val="restart"/>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89"/>
              </w:rPr>
              <w:t>John Chlebowski</w:t>
            </w:r>
          </w:p>
        </w:tc>
        <w:tc>
          <w:tcPr>
            <w:tcW w:w="12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3560" w:type="dxa"/>
            <w:vAlign w:val="bottom"/>
          </w:tcPr>
          <w:p>
            <w:pPr>
              <w:jc w:val="center"/>
              <w:spacing w:after="0"/>
              <w:rPr>
                <w:sz w:val="20"/>
                <w:szCs w:val="20"/>
                <w:color w:val="auto"/>
              </w:rPr>
            </w:pPr>
            <w:r>
              <w:rPr>
                <w:rFonts w:ascii="Arial" w:cs="Arial" w:eastAsia="Arial" w:hAnsi="Arial"/>
                <w:sz w:val="13"/>
                <w:szCs w:val="13"/>
                <w:color w:val="auto"/>
                <w:w w:val="94"/>
              </w:rPr>
              <w:t>/s/ BRIAN FORD</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2"/>
              </w:rPr>
              <w:t>Brian Ford</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408"/>
        </w:trPr>
        <w:tc>
          <w:tcPr>
            <w:tcW w:w="3560" w:type="dxa"/>
            <w:vAlign w:val="bottom"/>
          </w:tcPr>
          <w:p>
            <w:pPr>
              <w:jc w:val="center"/>
              <w:spacing w:after="0"/>
              <w:rPr>
                <w:sz w:val="20"/>
                <w:szCs w:val="20"/>
                <w:color w:val="auto"/>
              </w:rPr>
            </w:pPr>
            <w:r>
              <w:rPr>
                <w:rFonts w:ascii="Arial" w:cs="Arial" w:eastAsia="Arial" w:hAnsi="Arial"/>
                <w:sz w:val="13"/>
                <w:szCs w:val="13"/>
                <w:color w:val="auto"/>
                <w:w w:val="96"/>
              </w:rPr>
              <w:t>/s/ MAURICIO GUTIERREZ</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4"/>
              </w:rPr>
              <w:t>Mauricio Gutierrez</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408"/>
        </w:trPr>
        <w:tc>
          <w:tcPr>
            <w:tcW w:w="3560" w:type="dxa"/>
            <w:vAlign w:val="bottom"/>
          </w:tcPr>
          <w:p>
            <w:pPr>
              <w:ind w:left="1060"/>
              <w:spacing w:after="0"/>
              <w:rPr>
                <w:sz w:val="20"/>
                <w:szCs w:val="20"/>
                <w:color w:val="auto"/>
              </w:rPr>
            </w:pPr>
            <w:r>
              <w:rPr>
                <w:rFonts w:ascii="Arial" w:cs="Arial" w:eastAsia="Arial" w:hAnsi="Arial"/>
                <w:sz w:val="13"/>
                <w:szCs w:val="13"/>
                <w:color w:val="auto"/>
              </w:rPr>
              <w:t>/s/ FERRELL MCCLEAN</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1"/>
              </w:rPr>
              <w:t>Ferrell McClean</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408"/>
        </w:trPr>
        <w:tc>
          <w:tcPr>
            <w:tcW w:w="3560" w:type="dxa"/>
            <w:vAlign w:val="bottom"/>
          </w:tcPr>
          <w:p>
            <w:pPr>
              <w:jc w:val="center"/>
              <w:spacing w:after="0"/>
              <w:rPr>
                <w:sz w:val="20"/>
                <w:szCs w:val="20"/>
                <w:color w:val="auto"/>
              </w:rPr>
            </w:pPr>
            <w:r>
              <w:rPr>
                <w:rFonts w:ascii="Arial" w:cs="Arial" w:eastAsia="Arial" w:hAnsi="Arial"/>
                <w:sz w:val="13"/>
                <w:szCs w:val="13"/>
                <w:color w:val="auto"/>
                <w:w w:val="90"/>
              </w:rPr>
              <w:t>/s/ CHRISTOPHER S. SOTOS</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5"/>
              </w:rPr>
              <w:t>Director of NRG Yield, Inc.</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560" w:type="dxa"/>
            <w:vAlign w:val="bottom"/>
          </w:tcPr>
          <w:p>
            <w:pPr>
              <w:jc w:val="center"/>
              <w:spacing w:after="0"/>
              <w:rPr>
                <w:sz w:val="20"/>
                <w:szCs w:val="20"/>
                <w:color w:val="auto"/>
              </w:rPr>
            </w:pPr>
            <w:r>
              <w:rPr>
                <w:rFonts w:ascii="Arial" w:cs="Arial" w:eastAsia="Arial" w:hAnsi="Arial"/>
                <w:sz w:val="13"/>
                <w:szCs w:val="13"/>
                <w:color w:val="auto"/>
                <w:w w:val="90"/>
              </w:rPr>
              <w:t>Christopher S. Sotos</w:t>
            </w:r>
          </w:p>
        </w:tc>
        <w:tc>
          <w:tcPr>
            <w:tcW w:w="12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color w:val="auto"/>
                <w:w w:val="93"/>
              </w:rPr>
              <w:t>Sole Managing Member of NRG Yield LLC</w:t>
            </w:r>
          </w:p>
        </w:tc>
        <w:tc>
          <w:tcPr>
            <w:tcW w:w="0" w:type="dxa"/>
            <w:vAlign w:val="bottom"/>
          </w:tcPr>
          <w:p>
            <w:pPr>
              <w:spacing w:after="0"/>
              <w:rPr>
                <w:sz w:val="1"/>
                <w:szCs w:val="1"/>
                <w:color w:val="auto"/>
              </w:rPr>
            </w:pPr>
          </w:p>
        </w:tc>
      </w:tr>
      <w:tr>
        <w:trPr>
          <w:trHeight w:val="505"/>
        </w:trPr>
        <w:tc>
          <w:tcPr>
            <w:tcW w:w="3560" w:type="dxa"/>
            <w:vAlign w:val="bottom"/>
          </w:tcPr>
          <w:p>
            <w:pPr>
              <w:spacing w:after="0"/>
              <w:rPr>
                <w:sz w:val="24"/>
                <w:szCs w:val="24"/>
                <w:color w:val="auto"/>
              </w:rPr>
            </w:pPr>
          </w:p>
        </w:tc>
        <w:tc>
          <w:tcPr>
            <w:tcW w:w="5520" w:type="dxa"/>
            <w:vAlign w:val="bottom"/>
            <w:gridSpan w:val="2"/>
          </w:tcPr>
          <w:p>
            <w:pPr>
              <w:jc w:val="right"/>
              <w:ind w:right="3175"/>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178435</wp:posOffset>
            </wp:positionV>
            <wp:extent cx="145605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3">
                      <a:extLst>
                        <a:ext uri="{28A0092B-C50C-407E-A947-70E740481C1C}"/>
                      </a:extLst>
                    </a:blip>
                    <a:srcRect/>
                    <a:stretch>
                      <a:fillRect/>
                    </a:stretch>
                  </pic:blipFill>
                  <pic:spPr bwMode="auto">
                    <a:xfrm>
                      <a:off x="0" y="0"/>
                      <a:ext cx="1456055" cy="635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24130</wp:posOffset>
            </wp:positionV>
            <wp:extent cx="145605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4">
                      <a:extLst>
                        <a:ext uri="{28A0092B-C50C-407E-A947-70E740481C1C}"/>
                      </a:extLst>
                    </a:blip>
                    <a:srcRect/>
                    <a:stretch>
                      <a:fillRect/>
                    </a:stretch>
                  </pic:blipFill>
                  <pic:spPr bwMode="auto">
                    <a:xfrm>
                      <a:off x="0" y="0"/>
                      <a:ext cx="1456055" cy="635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ectPr>
          <w:pgSz w:w="11900" w:h="16838" w:orient="portrait"/>
          <w:cols w:equalWidth="0" w:num="2">
            <w:col w:w="9220" w:space="720"/>
            <w:col w:w="760"/>
          </w:cols>
          <w:pgMar w:left="220" w:top="1292" w:right="97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3"/>
          <w:szCs w:val="13"/>
          <w:b w:val="1"/>
          <w:bCs w:val="1"/>
          <w:color w:val="auto"/>
        </w:rPr>
        <w:t>Supplemental Information to be Furnished with Reports Filed Pursuant to</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15(d) of the Act by Registrants Which Have Not Registered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Securities Pursuant to Section 12 of the Act</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0880"/>
          </w:cols>
          <w:pgMar w:left="480" w:top="768" w:right="539" w:bottom="1440" w:gutter="0" w:footer="0" w:header="0"/>
        </w:sectPr>
      </w:pPr>
    </w:p>
    <w:bookmarkStart w:id="127" w:name="page128"/>
    <w:bookmarkEnd w:id="127"/>
    <w:tbl>
      <w:tblPr>
        <w:tblLayout w:type="fixed"/>
        <w:tblInd w:w="2"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4020" w:type="dxa"/>
            <w:vAlign w:val="bottom"/>
            <w:gridSpan w:val="4"/>
            <w:vMerge w:val="restart"/>
          </w:tcPr>
          <w:p>
            <w:pPr>
              <w:ind w:left="840"/>
              <w:spacing w:after="0"/>
              <w:rPr>
                <w:sz w:val="20"/>
                <w:szCs w:val="20"/>
                <w:color w:val="auto"/>
              </w:rPr>
            </w:pPr>
            <w:r>
              <w:rPr>
                <w:rFonts w:ascii="Arial" w:cs="Arial" w:eastAsia="Arial" w:hAnsi="Arial"/>
                <w:sz w:val="13"/>
                <w:szCs w:val="13"/>
                <w:b w:val="1"/>
                <w:bCs w:val="1"/>
                <w:color w:val="auto"/>
              </w:rPr>
              <w:t>NRG YIELD OPERATING LLC AND SUBSIDIARIES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EXHIBIT 12.1</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40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4840" w:type="dxa"/>
            <w:vAlign w:val="bottom"/>
            <w:gridSpan w:val="6"/>
          </w:tcPr>
          <w:p>
            <w:pPr>
              <w:jc w:val="right"/>
              <w:ind w:right="436"/>
              <w:spacing w:after="0"/>
              <w:rPr>
                <w:sz w:val="20"/>
                <w:szCs w:val="20"/>
                <w:color w:val="auto"/>
              </w:rPr>
            </w:pPr>
            <w:r>
              <w:rPr>
                <w:rFonts w:ascii="Arial" w:cs="Arial" w:eastAsia="Arial" w:hAnsi="Arial"/>
                <w:sz w:val="13"/>
                <w:szCs w:val="13"/>
                <w:b w:val="1"/>
                <w:bCs w:val="1"/>
                <w:color w:val="auto"/>
              </w:rPr>
              <w:t>COMPUTATION OF RATIO OF EARNINGS TO FIXED CHARGES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3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80"/>
              <w:spacing w:after="0"/>
              <w:rPr>
                <w:sz w:val="20"/>
                <w:szCs w:val="20"/>
                <w:color w:val="auto"/>
              </w:rPr>
            </w:pPr>
            <w:r>
              <w:rPr>
                <w:rFonts w:ascii="Arial" w:cs="Arial" w:eastAsia="Arial" w:hAnsi="Arial"/>
                <w:sz w:val="10"/>
                <w:szCs w:val="10"/>
                <w:b w:val="1"/>
                <w:bCs w:val="1"/>
                <w:color w:val="auto"/>
              </w:rPr>
              <w:t>For the Year Ended December 31,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6"/>
                <w:szCs w:val="6"/>
                <w:b w:val="1"/>
                <w:bCs w:val="1"/>
                <w:color w:val="auto"/>
              </w:rPr>
              <w:t>(b)</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(b)</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 xml:space="preserve">2014 </w:t>
            </w:r>
            <w:r>
              <w:rPr>
                <w:rFonts w:ascii="Arial" w:cs="Arial" w:eastAsia="Arial" w:hAnsi="Arial"/>
                <w:sz w:val="6"/>
                <w:szCs w:val="6"/>
                <w:b w:val="1"/>
                <w:bCs w:val="1"/>
                <w:color w:val="auto"/>
              </w:rPr>
              <w:t>(b)</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2013</w:t>
            </w:r>
            <w:r>
              <w:rPr>
                <w:rFonts w:ascii="Arial" w:cs="Arial" w:eastAsia="Arial" w:hAnsi="Arial"/>
                <w:sz w:val="6"/>
                <w:szCs w:val="6"/>
                <w:b w:val="1"/>
                <w:bCs w:val="1"/>
                <w:color w:val="auto"/>
              </w:rPr>
              <w:t>(a)(b)</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ind w:left="420"/>
              <w:spacing w:after="0"/>
              <w:rPr>
                <w:sz w:val="20"/>
                <w:szCs w:val="20"/>
                <w:color w:val="auto"/>
              </w:rPr>
            </w:pPr>
            <w:r>
              <w:rPr>
                <w:rFonts w:ascii="Arial" w:cs="Arial" w:eastAsia="Arial" w:hAnsi="Arial"/>
                <w:sz w:val="10"/>
                <w:szCs w:val="10"/>
                <w:b w:val="1"/>
                <w:bCs w:val="1"/>
                <w:color w:val="auto"/>
              </w:rPr>
              <w:t>(in millions, except ratio)</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20"/>
              <w:spacing w:after="0"/>
              <w:rPr>
                <w:sz w:val="20"/>
                <w:szCs w:val="20"/>
                <w:color w:val="auto"/>
              </w:rPr>
            </w:pPr>
            <w:r>
              <w:rPr>
                <w:rFonts w:ascii="Arial" w:cs="Arial" w:eastAsia="Arial" w:hAnsi="Arial"/>
                <w:sz w:val="13"/>
                <w:szCs w:val="13"/>
                <w:color w:val="auto"/>
              </w:rPr>
              <w:t>Income from continuing operations before income tax</w:t>
            </w:r>
          </w:p>
        </w:tc>
        <w:tc>
          <w:tcPr>
            <w:tcW w:w="33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17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Less:</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Capitalized interest</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4"/>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Add:</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Fixed charges</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277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4"/>
        </w:trPr>
        <w:tc>
          <w:tcPr>
            <w:tcW w:w="3340" w:type="dxa"/>
            <w:vAlign w:val="bottom"/>
          </w:tcPr>
          <w:p>
            <w:pPr>
              <w:ind w:left="120"/>
              <w:spacing w:after="0"/>
              <w:rPr>
                <w:sz w:val="20"/>
                <w:szCs w:val="20"/>
                <w:color w:val="auto"/>
              </w:rPr>
            </w:pPr>
            <w:r>
              <w:rPr>
                <w:rFonts w:ascii="Arial" w:cs="Arial" w:eastAsia="Arial" w:hAnsi="Arial"/>
                <w:sz w:val="13"/>
                <w:szCs w:val="13"/>
                <w:color w:val="auto"/>
              </w:rPr>
              <w:t>Distributions from unconsolidated affiliates</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Amortization of capitalized interest</w:t>
            </w:r>
          </w:p>
        </w:tc>
        <w:tc>
          <w:tcPr>
            <w:tcW w:w="3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3340" w:type="dxa"/>
            <w:vAlign w:val="bottom"/>
          </w:tcPr>
          <w:p>
            <w:pPr>
              <w:spacing w:after="0"/>
              <w:rPr>
                <w:sz w:val="20"/>
                <w:szCs w:val="20"/>
                <w:color w:val="auto"/>
              </w:rPr>
            </w:pPr>
            <w:r>
              <w:rPr>
                <w:rFonts w:ascii="Arial" w:cs="Arial" w:eastAsia="Arial" w:hAnsi="Arial"/>
                <w:sz w:val="13"/>
                <w:szCs w:val="13"/>
                <w:b w:val="1"/>
                <w:bCs w:val="1"/>
                <w:color w:val="auto"/>
              </w:rPr>
              <w:t>Total Earnings:</w:t>
            </w:r>
          </w:p>
        </w:tc>
        <w:tc>
          <w:tcPr>
            <w:tcW w:w="3200" w:type="dxa"/>
            <w:vAlign w:val="bottom"/>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365</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4"/>
                <w:szCs w:val="14"/>
                <w:color w:val="auto"/>
              </w:rPr>
            </w:pPr>
          </w:p>
        </w:tc>
        <w:tc>
          <w:tcPr>
            <w:tcW w:w="2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Fixed Charges:</w:t>
            </w: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264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4"/>
        </w:trPr>
        <w:tc>
          <w:tcPr>
            <w:tcW w:w="3340" w:type="dxa"/>
            <w:vAlign w:val="bottom"/>
          </w:tcPr>
          <w:p>
            <w:pPr>
              <w:ind w:left="120"/>
              <w:spacing w:after="0"/>
              <w:rPr>
                <w:sz w:val="20"/>
                <w:szCs w:val="20"/>
                <w:color w:val="auto"/>
              </w:rPr>
            </w:pPr>
            <w:r>
              <w:rPr>
                <w:rFonts w:ascii="Arial" w:cs="Arial" w:eastAsia="Arial" w:hAnsi="Arial"/>
                <w:sz w:val="13"/>
                <w:szCs w:val="13"/>
                <w:color w:val="auto"/>
              </w:rPr>
              <w:t>Capitalized interest</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Amortization of debt issuance costs</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4"/>
        </w:trPr>
        <w:tc>
          <w:tcPr>
            <w:tcW w:w="3340" w:type="dxa"/>
            <w:vAlign w:val="bottom"/>
          </w:tcPr>
          <w:p>
            <w:pPr>
              <w:ind w:left="120"/>
              <w:spacing w:after="0"/>
              <w:rPr>
                <w:sz w:val="20"/>
                <w:szCs w:val="20"/>
                <w:color w:val="auto"/>
              </w:rPr>
            </w:pPr>
            <w:r>
              <w:rPr>
                <w:rFonts w:ascii="Arial" w:cs="Arial" w:eastAsia="Arial" w:hAnsi="Arial"/>
                <w:sz w:val="13"/>
                <w:szCs w:val="13"/>
                <w:color w:val="auto"/>
              </w:rPr>
              <w:t>Approximation of interest in rental expense</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Fixed Charges:</w:t>
            </w:r>
          </w:p>
        </w:tc>
        <w:tc>
          <w:tcPr>
            <w:tcW w:w="33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277</w:t>
            </w:r>
          </w:p>
        </w:tc>
        <w:tc>
          <w:tcPr>
            <w:tcW w:w="28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93"/>
        </w:trPr>
        <w:tc>
          <w:tcPr>
            <w:tcW w:w="3340" w:type="dxa"/>
            <w:vAlign w:val="bottom"/>
          </w:tcPr>
          <w:p>
            <w:pPr>
              <w:spacing w:after="0"/>
              <w:rPr>
                <w:sz w:val="20"/>
                <w:szCs w:val="20"/>
                <w:color w:val="auto"/>
              </w:rPr>
            </w:pPr>
            <w:r>
              <w:rPr>
                <w:rFonts w:ascii="Arial" w:cs="Arial" w:eastAsia="Arial" w:hAnsi="Arial"/>
                <w:sz w:val="13"/>
                <w:szCs w:val="13"/>
                <w:b w:val="1"/>
                <w:bCs w:val="1"/>
                <w:color w:val="auto"/>
              </w:rPr>
              <w:t>Ratio of Earnings to Combined Fixed Charges</w:t>
            </w:r>
          </w:p>
        </w:tc>
        <w:tc>
          <w:tcPr>
            <w:tcW w:w="3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5">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49" w:lineRule="exact"/>
        <w:rPr>
          <w:sz w:val="20"/>
          <w:szCs w:val="20"/>
          <w:color w:val="auto"/>
        </w:rPr>
      </w:pPr>
    </w:p>
    <w:p>
      <w:pPr>
        <w:jc w:val="both"/>
        <w:ind w:left="242" w:right="20" w:hanging="242"/>
        <w:spacing w:after="0" w:line="208" w:lineRule="auto"/>
        <w:tabs>
          <w:tab w:leader="none" w:pos="242" w:val="left"/>
        </w:tabs>
        <w:numPr>
          <w:ilvl w:val="0"/>
          <w:numId w:val="75"/>
        </w:numPr>
        <w:rPr>
          <w:rFonts w:ascii="Arial" w:cs="Arial" w:eastAsia="Arial" w:hAnsi="Arial"/>
          <w:sz w:val="6"/>
          <w:szCs w:val="6"/>
          <w:color w:val="auto"/>
        </w:rPr>
      </w:pPr>
      <w:r>
        <w:rPr>
          <w:rFonts w:ascii="Arial" w:cs="Arial" w:eastAsia="Arial" w:hAnsi="Arial"/>
          <w:sz w:val="10"/>
          <w:szCs w:val="10"/>
          <w:color w:val="auto"/>
        </w:rPr>
        <w:t>For all periods prior to the Yield, Inc.'s initial public offering on July 22, 2013, the accompanying combined financial statements represent the combination of the assets that the Company acquired and were prepared using NRG's historical basis in the assets and liabilities. For the purposes of the combined financial statements, the term "NRG Yield Operating LLC and Subsidiaries" represents the accounting predecessor, or the combination of the acquired businesses. For all periods subsequent to the Yield Inc. initial public offering, the accompanying audited consolidated financial statements represent the consolidated results of the Company.</w:t>
      </w:r>
    </w:p>
    <w:p>
      <w:pPr>
        <w:ind w:left="242" w:hanging="242"/>
        <w:spacing w:after="0"/>
        <w:tabs>
          <w:tab w:leader="none" w:pos="242" w:val="left"/>
        </w:tabs>
        <w:numPr>
          <w:ilvl w:val="0"/>
          <w:numId w:val="75"/>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Item 15 —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 to the Consolidated Financial Statements.</w:t>
      </w:r>
    </w:p>
    <w:p>
      <w:pPr>
        <w:sectPr>
          <w:pgSz w:w="11900" w:h="16838" w:orient="portrait"/>
          <w:cols w:equalWidth="0" w:num="1">
            <w:col w:w="11482"/>
          </w:cols>
          <w:pgMar w:left="218" w:top="457" w:right="1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21.1</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6960" w:type="dxa"/>
            <w:vAlign w:val="bottom"/>
            <w:gridSpan w:val="2"/>
          </w:tcPr>
          <w:p>
            <w:pPr>
              <w:ind w:left="700"/>
              <w:spacing w:after="0"/>
              <w:rPr>
                <w:sz w:val="20"/>
                <w:szCs w:val="20"/>
                <w:color w:val="auto"/>
              </w:rPr>
            </w:pPr>
            <w:r>
              <w:rPr>
                <w:rFonts w:ascii="Arial" w:cs="Arial" w:eastAsia="Arial" w:hAnsi="Arial"/>
                <w:sz w:val="13"/>
                <w:szCs w:val="13"/>
                <w:b w:val="1"/>
                <w:bCs w:val="1"/>
                <w:color w:val="auto"/>
              </w:rPr>
              <w:t>SUBSIDIARIES OF NRG YIELD LLC</w:t>
            </w:r>
          </w:p>
        </w:tc>
      </w:tr>
      <w:tr>
        <w:trPr>
          <w:trHeight w:val="611"/>
        </w:trPr>
        <w:tc>
          <w:tcPr>
            <w:tcW w:w="3380" w:type="dxa"/>
            <w:vAlign w:val="bottom"/>
            <w:tcBorders>
              <w:bottom w:val="single" w:sz="8" w:color="969696"/>
            </w:tcBorders>
          </w:tcPr>
          <w:p>
            <w:pPr>
              <w:spacing w:after="0"/>
              <w:rPr>
                <w:sz w:val="24"/>
                <w:szCs w:val="24"/>
                <w:color w:val="auto"/>
              </w:rPr>
            </w:pPr>
          </w:p>
        </w:tc>
        <w:tc>
          <w:tcPr>
            <w:tcW w:w="3780" w:type="dxa"/>
            <w:vAlign w:val="bottom"/>
            <w:tcBorders>
              <w:bottom w:val="single" w:sz="8" w:color="969696"/>
            </w:tcBorders>
          </w:tcPr>
          <w:p>
            <w:pPr>
              <w:spacing w:after="0"/>
              <w:rPr>
                <w:sz w:val="24"/>
                <w:szCs w:val="24"/>
                <w:color w:val="auto"/>
              </w:rPr>
            </w:pPr>
          </w:p>
        </w:tc>
        <w:tc>
          <w:tcPr>
            <w:tcW w:w="3180" w:type="dxa"/>
            <w:vAlign w:val="bottom"/>
            <w:tcBorders>
              <w:bottom w:val="single" w:sz="8" w:color="969696"/>
            </w:tcBorders>
          </w:tcPr>
          <w:p>
            <w:pPr>
              <w:spacing w:after="0"/>
              <w:rPr>
                <w:sz w:val="24"/>
                <w:szCs w:val="24"/>
                <w:color w:val="auto"/>
              </w:rPr>
            </w:pP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Entity Name</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Jurisdiction</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AC Solar Holdings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Adams Community Solar Garden 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Adams Community Solar Garden II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Adams Community Solar Garden III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Adams Community Solar Gardens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Agua Caliente Borrower 2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Agua Caliente Solar Holdings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Agua Caliente Solar,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Interconnection Management II,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Interconnection Management III,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Interconnection Management,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Realty Holdings,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Realty Investments,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1-5 Holding Company,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Asset Management Holdings,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Asset Management,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Holdings,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I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II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II,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III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III,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IV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IV,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V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V,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X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X,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XI Holding Company,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Alta Wind XI,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Alta Wind X-XI TE Holdco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Arapahoe Community Solar Garden I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Avenal Park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Avenal Solar Holdings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Bashaw Solar 1,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Big Lake Holdco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Black Cat Road Solar,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Brook Street Solar 1, LLC</w:t>
            </w:r>
          </w:p>
        </w:tc>
        <w:tc>
          <w:tcPr>
            <w:tcW w:w="3780" w:type="dxa"/>
            <w:vAlign w:val="bottom"/>
            <w:tcBorders>
              <w:bottom w:val="single" w:sz="8" w:color="969696"/>
              <w:right w:val="single" w:sz="8" w:color="969696"/>
            </w:tcBorders>
            <w:shd w:val="clear" w:color="auto" w:fill="CCEEFF"/>
          </w:tcPr>
          <w:p>
            <w:pPr>
              <w:spacing w:after="0"/>
              <w:rPr>
                <w:sz w:val="17"/>
                <w:szCs w:val="17"/>
                <w:color w:val="auto"/>
              </w:rPr>
            </w:pP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3380" w:type="dxa"/>
            <w:vAlign w:val="bottom"/>
            <w:tcBorders>
              <w:left w:val="single" w:sz="8" w:color="969696"/>
              <w:bottom w:val="single" w:sz="8" w:color="969696"/>
            </w:tcBorders>
          </w:tcPr>
          <w:p>
            <w:pPr>
              <w:ind w:left="40"/>
              <w:spacing w:after="0"/>
              <w:rPr>
                <w:sz w:val="20"/>
                <w:szCs w:val="20"/>
                <w:color w:val="auto"/>
              </w:rPr>
            </w:pPr>
            <w:r>
              <w:rPr>
                <w:rFonts w:ascii="Arial" w:cs="Arial" w:eastAsia="Arial" w:hAnsi="Arial"/>
                <w:sz w:val="14"/>
                <w:szCs w:val="14"/>
                <w:color w:val="auto"/>
              </w:rPr>
              <w:t>Buffalo Bear, LLC</w:t>
            </w:r>
          </w:p>
        </w:tc>
        <w:tc>
          <w:tcPr>
            <w:tcW w:w="3780" w:type="dxa"/>
            <w:vAlign w:val="bottom"/>
            <w:tcBorders>
              <w:bottom w:val="single" w:sz="8" w:color="969696"/>
              <w:right w:val="single" w:sz="8" w:color="969696"/>
            </w:tcBorders>
          </w:tcPr>
          <w:p>
            <w:pPr>
              <w:spacing w:after="0"/>
              <w:rPr>
                <w:sz w:val="17"/>
                <w:szCs w:val="17"/>
                <w:color w:val="auto"/>
              </w:rPr>
            </w:pP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Oklahoma</w:t>
            </w:r>
          </w:p>
        </w:tc>
      </w:tr>
    </w:tbl>
    <w:p>
      <w:pPr>
        <w:sectPr>
          <w:pgSz w:w="11900" w:h="16838" w:orient="portrait"/>
          <w:cols w:equalWidth="0" w:num="1">
            <w:col w:w="10920"/>
          </w:cols>
          <w:pgMar w:left="780" w:top="457" w:right="19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Bullock Road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BWC Swan Pond River,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Center St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Clear View Acres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Colorado Shared Solar 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Colorado Springs Solar Garden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Continental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Crosswind Transmission,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CVSR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Cy-Hawk Wind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Denver Community Solar Garden 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Denver Community Solar Garden 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Desert Sunlight 250,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Desert Sunlight 300,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Desert Sunlight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Desert Sunlight Investment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Dodge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Eagle View Acres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El Mirage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El Segundo Energy Center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Elbow Creek Wind Project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Elk Lake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Elkhorn Ridge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Enterprise Solar,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Escalante Solar 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Escalante Solar 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Escalante Solar III,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Farmington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Federal Road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Forest Lake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Forward WindPower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Four Brothers Capital,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Four Brothers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Four Brothers Portfolio,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Four Brothers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FUSD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GCE Holding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Connecticut</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GenConn Devon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Connecticut</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GenConn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Connecticut</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GenConn Middletown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Connecticut</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Goat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Granite Mountain Capital,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Granite Mountain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Granite Mountain Renewables,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Granite Mountain Solar East,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Granite Mountain Solar West,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340"/>
          </w:cols>
          <w:pgMar w:left="780" w:top="567" w:right="77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Green Prairie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Greene Wind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Hardin Hilltop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Hardin Wind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High Plains Ranch II,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Highland Township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HLE Solar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HSD Solar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California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Hwy 14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Iron Springs Capital,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Iron Springs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Iron Springs Renewables,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Iron Springs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Laredo Ridge Wind,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Lenape II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Lindberg Field Solar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Lindberg Field Solar 2,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Longhorn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Lookout WindPower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MC1 Solar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North Carolina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Mission Iowa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Mission Minnesota Wind 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Mission Wind Laredo,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Mission Wind New Mexico,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Mission Wind Oklahoma,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Mission Wind PA One,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Mission Wind PA Three,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Mission Wind PA Two,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Mission Wind Pennsylvania,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Mission Wind Utah,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Monster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Natural Gas Repowering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Northfield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&amp; EFS Distributed Solar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&amp; EFS Distributed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2011 Finance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Alta Vista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Apple 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CA Fund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Chestnut Borrower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Chestnut Class B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Chestnut Fund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Chestnut Fund Sub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Berkeley Rec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Berkeley Village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Central East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340"/>
          </w:cols>
          <w:pgMar w:left="780" w:top="567" w:right="779" w:bottom="1440" w:gutter="0" w:footer="0" w:header="0"/>
        </w:sectPr>
      </w:pPr>
    </w:p>
    <w:bookmarkStart w:id="131" w:name="page132"/>
    <w:bookmarkEnd w:id="1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Central West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Contra Costa Operations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Contra Costa Waste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Crystal Spring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Dighton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Foxborough Elm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Foxborough Landfill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Grantland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Haverhill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Imperial Admin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Imperial Building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Lakeland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Lathrop Louise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Lincoln Middle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Marathon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Rosedale Elementary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Rosedale Middle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San Joaquin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Tufts Knoll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Tufts Science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 Washington Middle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 Webster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3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4 Borrower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4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Fund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Fund 2 HoldCo 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Fund 2 HoldCo B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Fund 2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Fund 4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Fund 4 Sub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HoldCo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DGPV HoldCo 2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DGPV HoldCo 3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Electricity Sales Princeton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Elkhorn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Dover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Harrisburg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HCEC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Minneapolis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Omaha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Omaha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Paxton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Phoenix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340"/>
          </w:cols>
          <w:pgMar w:left="780" w:top="567" w:right="779" w:bottom="1440" w:gutter="0" w:footer="0" w:header="0"/>
        </w:sectPr>
      </w:pPr>
    </w:p>
    <w:bookmarkStart w:id="132" w:name="page133"/>
    <w:bookmarkEnd w:id="1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Pittsburgh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Princeton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San Diego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San Francisco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Energy Center Smyrna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Energy Center Tucson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Golden Puma Fund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Golden Puma Revolve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Harrisburg Cooling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Huntington Beach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Marsh Landing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Marsh Landing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PC Dinuba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Puma Class B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Renew Canal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Renew Spark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RPV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RPV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RPV Fund 11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RPV Fund 12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RPV Fund 13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RPV HoldCo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Alpine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Apple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AV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Avra Valley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Blythe II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Blythe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Borrego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Borrego 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Community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Community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CVSR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Iguana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Kansas South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Kansas South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Las Vegas MB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Las Vegas MB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Mayfair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Mule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Oasis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Roadrunner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Roadrunner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Star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Tabernacle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Warren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340"/>
          </w:cols>
          <w:pgMar w:left="780" w:top="567" w:right="77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Solar Wauwinet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Solar West Shaft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South Trent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Thermal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Walnut Creek II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Walnut Creek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West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Wind TE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Yield AC Solar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Yield CVSR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Yield DGPV Holding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Yield Operating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NRG Yield RPV Holding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NRG Yield Utah Solar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NS Smith,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NYLD Fuel Cell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OC Solar 2010,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Odin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Old Westminster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Old Westminster Solar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OWF Eight,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OWF Five,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OWF Four,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OWF One,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OWF Seven,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OWF Six,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OWF Three,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OWF Two,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Minnesota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Palo Alto County Wind Farm,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PESD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Pikes Peak Solar Garden 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Pine Island Holdco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Pinnacle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PM Solar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California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Pond Road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Portfolio Solar 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Poverty Ridge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Redbrook Solar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San Juan Mesa Investments,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San Juan Mesa Wind Project,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Sand Drag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SCDA Solar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SCWFD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Silver Lake Acres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SJA Solar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Sleeping Bear,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340"/>
          </w:cols>
          <w:pgMar w:left="780" w:top="567" w:right="77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Solar Flagstaff One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South Trent Wind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Spanish Fork Wind Park 2,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Utah</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SPP Asset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SPP Fund II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SPP Fund 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SPP Fund II-B,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SPP Fund III,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SPP Lease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SPP P-IV Master Lessee,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Spring Canyon Energy II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Spring Canyon Energy III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Spring Canyon Expansion Class B Holdings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Spring Canyon Expansion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Spring Canyon Expansion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Spring Canyon Interconnection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Spring Street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Stafford St Solar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Stafford St Solar 2,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Stafford St Solar 3,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Statoil Energy Power/Pennsylvania, Inc.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Pennsylvania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Steel Bridge Solar,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Sun City Project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Sunrise View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Sunset View Wind Farm,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Sutton Wind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TA - High Desert,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Taloga Wind,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Oklahoma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Tapestry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Topeka Solar 1,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TOS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TOS Solar 2,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TOS Solar 4,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TOS Solar 5,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Tully Farms Solar 1,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UB Fuel Cell,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Connecticut</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Vail Energy,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Viento Funding II,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Viento Funding,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Virgin Lake Wind Farm,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Wabasha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Walnut Creek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Waterford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WCEP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Webster Holdco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Wildcat Energy,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Arizona</w:t>
            </w:r>
          </w:p>
        </w:tc>
      </w:tr>
    </w:tbl>
    <w:p>
      <w:pPr>
        <w:sectPr>
          <w:pgSz w:w="11900" w:h="16838" w:orient="portrait"/>
          <w:cols w:equalWidth="0" w:num="1">
            <w:col w:w="10340"/>
          </w:cols>
          <w:pgMar w:left="780" w:top="567" w:right="77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Wildorado Interconnect,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Wildorado Wind,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Texas</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Wind Family Turbine,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203"/>
        </w:trPr>
        <w:tc>
          <w:tcPr>
            <w:tcW w:w="7160" w:type="dxa"/>
            <w:vAlign w:val="bottom"/>
            <w:tcBorders>
              <w:left w:val="single" w:sz="8" w:color="969696"/>
              <w:bottom w:val="single" w:sz="8" w:color="969696"/>
              <w:right w:val="single" w:sz="8" w:color="969696"/>
            </w:tcBorders>
          </w:tcPr>
          <w:p>
            <w:pPr>
              <w:ind w:left="40"/>
              <w:spacing w:after="0"/>
              <w:rPr>
                <w:sz w:val="20"/>
                <w:szCs w:val="20"/>
                <w:color w:val="auto"/>
              </w:rPr>
            </w:pPr>
            <w:r>
              <w:rPr>
                <w:rFonts w:ascii="Arial" w:cs="Arial" w:eastAsia="Arial" w:hAnsi="Arial"/>
                <w:sz w:val="14"/>
                <w:szCs w:val="14"/>
                <w:color w:val="auto"/>
              </w:rPr>
              <w:t>WSD Solar Holdings, LLC</w:t>
            </w:r>
          </w:p>
        </w:tc>
        <w:tc>
          <w:tcPr>
            <w:tcW w:w="3180" w:type="dxa"/>
            <w:vAlign w:val="bottom"/>
            <w:tcBorders>
              <w:bottom w:val="single" w:sz="8" w:color="969696"/>
              <w:right w:val="single" w:sz="8" w:color="969696"/>
            </w:tcBorders>
          </w:tcPr>
          <w:p>
            <w:pPr>
              <w:ind w:left="20"/>
              <w:spacing w:after="0"/>
              <w:rPr>
                <w:sz w:val="20"/>
                <w:szCs w:val="20"/>
                <w:color w:val="auto"/>
              </w:rPr>
            </w:pPr>
            <w:r>
              <w:rPr>
                <w:rFonts w:ascii="Arial" w:cs="Arial" w:eastAsia="Arial" w:hAnsi="Arial"/>
                <w:sz w:val="14"/>
                <w:szCs w:val="14"/>
                <w:color w:val="auto"/>
              </w:rPr>
              <w:t>Delaware</w:t>
            </w:r>
          </w:p>
        </w:tc>
      </w:tr>
      <w:tr>
        <w:trPr>
          <w:trHeight w:val="203"/>
        </w:trPr>
        <w:tc>
          <w:tcPr>
            <w:tcW w:w="7160" w:type="dxa"/>
            <w:vAlign w:val="bottom"/>
            <w:tcBorders>
              <w:left w:val="single" w:sz="8" w:color="969696"/>
              <w:bottom w:val="single" w:sz="8" w:color="969696"/>
              <w:right w:val="single" w:sz="8" w:color="969696"/>
            </w:tcBorders>
            <w:shd w:val="clear" w:color="auto" w:fill="CCEEFF"/>
          </w:tcPr>
          <w:p>
            <w:pPr>
              <w:ind w:left="40"/>
              <w:spacing w:after="0"/>
              <w:rPr>
                <w:sz w:val="20"/>
                <w:szCs w:val="20"/>
                <w:color w:val="auto"/>
              </w:rPr>
            </w:pPr>
            <w:r>
              <w:rPr>
                <w:rFonts w:ascii="Arial" w:cs="Arial" w:eastAsia="Arial" w:hAnsi="Arial"/>
                <w:sz w:val="14"/>
                <w:szCs w:val="14"/>
                <w:color w:val="auto"/>
              </w:rPr>
              <w:t>Zontos Wind, LLC</w:t>
            </w:r>
          </w:p>
        </w:tc>
        <w:tc>
          <w:tcPr>
            <w:tcW w:w="3180" w:type="dxa"/>
            <w:vAlign w:val="bottom"/>
            <w:tcBorders>
              <w:bottom w:val="single" w:sz="8" w:color="969696"/>
              <w:right w:val="single" w:sz="8" w:color="96969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bl>
    <w:p>
      <w:pPr>
        <w:sectPr>
          <w:pgSz w:w="11900" w:h="16838" w:orient="portrait"/>
          <w:cols w:equalWidth="0" w:num="1">
            <w:col w:w="10340"/>
          </w:cols>
          <w:pgMar w:left="780" w:top="567" w:right="7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31.1</w:t>
      </w:r>
    </w:p>
    <w:p>
      <w:pPr>
        <w:spacing w:after="0" w:line="12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color w:val="auto"/>
        </w:rPr>
        <w:t>I, Christopher S. Sotos, certify that:</w:t>
      </w:r>
    </w:p>
    <w:p>
      <w:pPr>
        <w:spacing w:after="0" w:line="220" w:lineRule="exact"/>
        <w:rPr>
          <w:sz w:val="20"/>
          <w:szCs w:val="20"/>
          <w:color w:val="auto"/>
        </w:rPr>
      </w:pPr>
    </w:p>
    <w:p>
      <w:pPr>
        <w:ind w:left="462" w:hanging="462"/>
        <w:spacing w:after="0"/>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5702"/>
        <w:spacing w:after="0"/>
        <w:rPr>
          <w:sz w:val="20"/>
          <w:szCs w:val="20"/>
          <w:color w:val="auto"/>
        </w:rPr>
      </w:pPr>
      <w:r>
        <w:rPr>
          <w:rFonts w:ascii="Arial" w:cs="Arial" w:eastAsia="Arial" w:hAnsi="Arial"/>
          <w:sz w:val="13"/>
          <w:szCs w:val="13"/>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21590</wp:posOffset>
            </wp:positionV>
            <wp:extent cx="28378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6">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35" w:lineRule="exact"/>
        <w:rPr>
          <w:sz w:val="20"/>
          <w:szCs w:val="20"/>
          <w:color w:val="auto"/>
        </w:rPr>
      </w:pPr>
    </w:p>
    <w:p>
      <w:pPr>
        <w:ind w:left="5702"/>
        <w:spacing w:after="0"/>
        <w:rPr>
          <w:sz w:val="20"/>
          <w:szCs w:val="20"/>
          <w:color w:val="auto"/>
        </w:rPr>
      </w:pPr>
      <w:r>
        <w:rPr>
          <w:rFonts w:ascii="Arial" w:cs="Arial" w:eastAsia="Arial" w:hAnsi="Arial"/>
          <w:sz w:val="13"/>
          <w:szCs w:val="13"/>
          <w:color w:val="auto"/>
        </w:rPr>
        <w:t>Christopher S. Sotos</w:t>
      </w:r>
    </w:p>
    <w:p>
      <w:pPr>
        <w:spacing w:after="0" w:line="14" w:lineRule="exact"/>
        <w:rPr>
          <w:sz w:val="20"/>
          <w:szCs w:val="20"/>
          <w:color w:val="auto"/>
        </w:rPr>
      </w:pPr>
    </w:p>
    <w:p>
      <w:pPr>
        <w:ind w:left="5702"/>
        <w:spacing w:after="0"/>
        <w:rPr>
          <w:sz w:val="20"/>
          <w:szCs w:val="20"/>
          <w:color w:val="auto"/>
        </w:rPr>
      </w:pPr>
      <w:r>
        <w:rPr>
          <w:rFonts w:ascii="Arial" w:cs="Arial" w:eastAsia="Arial" w:hAnsi="Arial"/>
          <w:sz w:val="13"/>
          <w:szCs w:val="13"/>
          <w:i w:val="1"/>
          <w:iCs w:val="1"/>
          <w:color w:val="auto"/>
        </w:rPr>
        <w:t>Chief Executive Officer</w:t>
      </w:r>
    </w:p>
    <w:p>
      <w:pPr>
        <w:spacing w:after="0" w:line="6" w:lineRule="exact"/>
        <w:rPr>
          <w:sz w:val="20"/>
          <w:szCs w:val="20"/>
          <w:color w:val="auto"/>
        </w:rPr>
      </w:pPr>
    </w:p>
    <w:p>
      <w:pPr>
        <w:ind w:left="5702"/>
        <w:spacing w:after="0"/>
        <w:rPr>
          <w:sz w:val="20"/>
          <w:szCs w:val="20"/>
          <w:color w:val="auto"/>
        </w:rPr>
      </w:pPr>
      <w:r>
        <w:rPr>
          <w:rFonts w:ascii="Arial" w:cs="Arial" w:eastAsia="Arial" w:hAnsi="Arial"/>
          <w:sz w:val="13"/>
          <w:szCs w:val="13"/>
          <w:i w:val="1"/>
          <w:iCs w:val="1"/>
          <w:color w:val="auto"/>
        </w:rPr>
        <w:t>(Principal Executive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March 1, 2018</w:t>
      </w:r>
    </w:p>
    <w:p>
      <w:pPr>
        <w:sectPr>
          <w:pgSz w:w="11900" w:h="16838" w:orient="portrait"/>
          <w:cols w:equalWidth="0" w:num="1">
            <w:col w:w="11482"/>
          </w:cols>
          <w:pgMar w:left="218" w:top="515" w:right="1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31.2</w:t>
      </w:r>
    </w:p>
    <w:p>
      <w:pPr>
        <w:spacing w:after="0" w:line="12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color w:val="auto"/>
        </w:rPr>
        <w:t>I, Chad Plotkin, certify that:</w:t>
      </w:r>
    </w:p>
    <w:p>
      <w:pPr>
        <w:spacing w:after="0" w:line="220" w:lineRule="exact"/>
        <w:rPr>
          <w:sz w:val="20"/>
          <w:szCs w:val="20"/>
          <w:color w:val="auto"/>
        </w:rPr>
      </w:pPr>
    </w:p>
    <w:p>
      <w:pPr>
        <w:ind w:left="462" w:hanging="462"/>
        <w:spacing w:after="0"/>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8882"/>
        <w:spacing w:after="0"/>
        <w:rPr>
          <w:sz w:val="20"/>
          <w:szCs w:val="20"/>
          <w:color w:val="auto"/>
        </w:rPr>
      </w:pPr>
      <w:r>
        <w:rPr>
          <w:rFonts w:ascii="Arial" w:cs="Arial" w:eastAsia="Arial" w:hAnsi="Arial"/>
          <w:sz w:val="13"/>
          <w:szCs w:val="13"/>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5631815</wp:posOffset>
            </wp:positionH>
            <wp:positionV relativeFrom="paragraph">
              <wp:posOffset>21590</wp:posOffset>
            </wp:positionV>
            <wp:extent cx="116586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7">
                      <a:extLst>
                        <a:ext uri="{28A0092B-C50C-407E-A947-70E740481C1C}"/>
                      </a:extLst>
                    </a:blip>
                    <a:srcRect/>
                    <a:stretch>
                      <a:fillRect/>
                    </a:stretch>
                  </pic:blipFill>
                  <pic:spPr bwMode="auto">
                    <a:xfrm>
                      <a:off x="0" y="0"/>
                      <a:ext cx="1165860" cy="6350"/>
                    </a:xfrm>
                    <a:prstGeom prst="rect">
                      <a:avLst/>
                    </a:prstGeom>
                    <a:noFill/>
                  </pic:spPr>
                </pic:pic>
              </a:graphicData>
            </a:graphic>
          </wp:anchor>
        </w:drawing>
      </w:r>
    </w:p>
    <w:p>
      <w:pPr>
        <w:spacing w:after="0" w:line="35" w:lineRule="exact"/>
        <w:rPr>
          <w:sz w:val="20"/>
          <w:szCs w:val="20"/>
          <w:color w:val="auto"/>
        </w:rPr>
      </w:pPr>
    </w:p>
    <w:p>
      <w:pPr>
        <w:ind w:left="8882"/>
        <w:spacing w:after="0"/>
        <w:rPr>
          <w:sz w:val="20"/>
          <w:szCs w:val="20"/>
          <w:color w:val="auto"/>
        </w:rPr>
      </w:pPr>
      <w:r>
        <w:rPr>
          <w:rFonts w:ascii="Arial" w:cs="Arial" w:eastAsia="Arial" w:hAnsi="Arial"/>
          <w:sz w:val="13"/>
          <w:szCs w:val="13"/>
          <w:color w:val="auto"/>
        </w:rPr>
        <w:t>Chad Plotkin</w:t>
      </w:r>
    </w:p>
    <w:p>
      <w:pPr>
        <w:spacing w:after="0" w:line="14" w:lineRule="exact"/>
        <w:rPr>
          <w:sz w:val="20"/>
          <w:szCs w:val="20"/>
          <w:color w:val="auto"/>
        </w:rPr>
      </w:pPr>
    </w:p>
    <w:p>
      <w:pPr>
        <w:ind w:left="8882"/>
        <w:spacing w:after="0"/>
        <w:rPr>
          <w:sz w:val="20"/>
          <w:szCs w:val="20"/>
          <w:color w:val="auto"/>
        </w:rPr>
      </w:pPr>
      <w:r>
        <w:rPr>
          <w:rFonts w:ascii="Arial" w:cs="Arial" w:eastAsia="Arial" w:hAnsi="Arial"/>
          <w:sz w:val="13"/>
          <w:szCs w:val="13"/>
          <w:i w:val="1"/>
          <w:iCs w:val="1"/>
          <w:color w:val="auto"/>
        </w:rPr>
        <w:t>Chief Financial Officer</w:t>
      </w:r>
    </w:p>
    <w:p>
      <w:pPr>
        <w:spacing w:after="0" w:line="6" w:lineRule="exact"/>
        <w:rPr>
          <w:sz w:val="20"/>
          <w:szCs w:val="20"/>
          <w:color w:val="auto"/>
        </w:rPr>
      </w:pPr>
    </w:p>
    <w:p>
      <w:pPr>
        <w:ind w:left="8882"/>
        <w:spacing w:after="0"/>
        <w:rPr>
          <w:sz w:val="20"/>
          <w:szCs w:val="20"/>
          <w:color w:val="auto"/>
        </w:rPr>
      </w:pPr>
      <w:r>
        <w:rPr>
          <w:rFonts w:ascii="Arial" w:cs="Arial" w:eastAsia="Arial" w:hAnsi="Arial"/>
          <w:sz w:val="13"/>
          <w:szCs w:val="13"/>
          <w:i w:val="1"/>
          <w:iCs w:val="1"/>
          <w:color w:val="auto"/>
        </w:rPr>
        <w:t>(Principal Financial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March 1, 2018</w:t>
      </w:r>
    </w:p>
    <w:p>
      <w:pPr>
        <w:sectPr>
          <w:pgSz w:w="11900" w:h="16838" w:orient="portrait"/>
          <w:cols w:equalWidth="0" w:num="1">
            <w:col w:w="11482"/>
          </w:cols>
          <w:pgMar w:left="218" w:top="515" w:right="1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31.3</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56" w:lineRule="exact"/>
        <w:rPr>
          <w:sz w:val="20"/>
          <w:szCs w:val="20"/>
          <w:color w:val="auto"/>
        </w:rPr>
      </w:pPr>
    </w:p>
    <w:p>
      <w:pPr>
        <w:ind w:left="2"/>
        <w:spacing w:after="0"/>
        <w:rPr>
          <w:sz w:val="20"/>
          <w:szCs w:val="20"/>
          <w:color w:val="auto"/>
        </w:rPr>
      </w:pPr>
      <w:r>
        <w:rPr>
          <w:rFonts w:ascii="Arial" w:cs="Arial" w:eastAsia="Arial" w:hAnsi="Arial"/>
          <w:sz w:val="13"/>
          <w:szCs w:val="13"/>
          <w:color w:val="auto"/>
        </w:rPr>
        <w:t>I, David Callen, certify that:</w:t>
      </w:r>
    </w:p>
    <w:p>
      <w:pPr>
        <w:spacing w:after="0" w:line="220" w:lineRule="exact"/>
        <w:rPr>
          <w:sz w:val="20"/>
          <w:szCs w:val="20"/>
          <w:color w:val="auto"/>
        </w:rPr>
      </w:pPr>
    </w:p>
    <w:p>
      <w:pPr>
        <w:ind w:left="462" w:hanging="462"/>
        <w:spacing w:after="0"/>
        <w:tabs>
          <w:tab w:leader="none" w:pos="462"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7442"/>
        <w:spacing w:after="0"/>
        <w:rPr>
          <w:sz w:val="20"/>
          <w:szCs w:val="20"/>
          <w:color w:val="auto"/>
        </w:rPr>
      </w:pPr>
      <w:r>
        <w:rPr>
          <w:rFonts w:ascii="Arial" w:cs="Arial" w:eastAsia="Arial" w:hAnsi="Arial"/>
          <w:sz w:val="13"/>
          <w:szCs w:val="13"/>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21590</wp:posOffset>
            </wp:positionV>
            <wp:extent cx="18567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8">
                      <a:extLst>
                        <a:ext uri="{28A0092B-C50C-407E-A947-70E740481C1C}"/>
                      </a:extLst>
                    </a:blip>
                    <a:srcRect/>
                    <a:stretch>
                      <a:fillRect/>
                    </a:stretch>
                  </pic:blipFill>
                  <pic:spPr bwMode="auto">
                    <a:xfrm>
                      <a:off x="0" y="0"/>
                      <a:ext cx="1856740" cy="6350"/>
                    </a:xfrm>
                    <a:prstGeom prst="rect">
                      <a:avLst/>
                    </a:prstGeom>
                    <a:noFill/>
                  </pic:spPr>
                </pic:pic>
              </a:graphicData>
            </a:graphic>
          </wp:anchor>
        </w:drawing>
      </w:r>
    </w:p>
    <w:p>
      <w:pPr>
        <w:spacing w:after="0" w:line="35" w:lineRule="exact"/>
        <w:rPr>
          <w:sz w:val="20"/>
          <w:szCs w:val="20"/>
          <w:color w:val="auto"/>
        </w:rPr>
      </w:pPr>
    </w:p>
    <w:p>
      <w:pPr>
        <w:ind w:left="7442"/>
        <w:spacing w:after="0"/>
        <w:rPr>
          <w:sz w:val="20"/>
          <w:szCs w:val="20"/>
          <w:color w:val="auto"/>
        </w:rPr>
      </w:pPr>
      <w:r>
        <w:rPr>
          <w:rFonts w:ascii="Arial" w:cs="Arial" w:eastAsia="Arial" w:hAnsi="Arial"/>
          <w:sz w:val="13"/>
          <w:szCs w:val="13"/>
          <w:color w:val="auto"/>
        </w:rPr>
        <w:t>David Callen</w:t>
      </w:r>
    </w:p>
    <w:p>
      <w:pPr>
        <w:spacing w:after="0" w:line="14" w:lineRule="exact"/>
        <w:rPr>
          <w:sz w:val="20"/>
          <w:szCs w:val="20"/>
          <w:color w:val="auto"/>
        </w:rPr>
      </w:pPr>
    </w:p>
    <w:p>
      <w:pPr>
        <w:ind w:left="7442"/>
        <w:spacing w:after="0"/>
        <w:rPr>
          <w:sz w:val="20"/>
          <w:szCs w:val="20"/>
          <w:color w:val="auto"/>
        </w:rPr>
      </w:pPr>
      <w:r>
        <w:rPr>
          <w:rFonts w:ascii="Arial" w:cs="Arial" w:eastAsia="Arial" w:hAnsi="Arial"/>
          <w:sz w:val="13"/>
          <w:szCs w:val="13"/>
          <w:i w:val="1"/>
          <w:iCs w:val="1"/>
          <w:color w:val="auto"/>
        </w:rPr>
        <w:t>Chief Accounting Officer</w:t>
      </w:r>
    </w:p>
    <w:p>
      <w:pPr>
        <w:spacing w:after="0" w:line="6" w:lineRule="exact"/>
        <w:rPr>
          <w:sz w:val="20"/>
          <w:szCs w:val="20"/>
          <w:color w:val="auto"/>
        </w:rPr>
      </w:pPr>
    </w:p>
    <w:p>
      <w:pPr>
        <w:ind w:left="7442"/>
        <w:spacing w:after="0"/>
        <w:rPr>
          <w:sz w:val="20"/>
          <w:szCs w:val="20"/>
          <w:color w:val="auto"/>
        </w:rPr>
      </w:pPr>
      <w:r>
        <w:rPr>
          <w:rFonts w:ascii="Arial" w:cs="Arial" w:eastAsia="Arial" w:hAnsi="Arial"/>
          <w:sz w:val="13"/>
          <w:szCs w:val="13"/>
          <w:i w:val="1"/>
          <w:iCs w:val="1"/>
          <w:color w:val="auto"/>
        </w:rPr>
        <w:t>(Principal Accounting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March 1, 2018</w:t>
      </w:r>
    </w:p>
    <w:p>
      <w:pPr>
        <w:sectPr>
          <w:pgSz w:w="11900" w:h="16838" w:orient="portrait"/>
          <w:cols w:equalWidth="0" w:num="1">
            <w:col w:w="11482"/>
          </w:cols>
          <w:pgMar w:left="218" w:top="457" w:right="1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53" w:lineRule="exact"/>
        <w:rPr>
          <w:sz w:val="20"/>
          <w:szCs w:val="20"/>
          <w:color w:val="auto"/>
        </w:rPr>
      </w:pPr>
    </w:p>
    <w:p>
      <w:pPr>
        <w:ind w:right="20" w:firstLine="233"/>
        <w:spacing w:after="0" w:line="304" w:lineRule="auto"/>
        <w:rPr>
          <w:sz w:val="20"/>
          <w:szCs w:val="20"/>
          <w:color w:val="auto"/>
        </w:rPr>
      </w:pPr>
      <w:r>
        <w:rPr>
          <w:rFonts w:ascii="Arial" w:cs="Arial" w:eastAsia="Arial" w:hAnsi="Arial"/>
          <w:sz w:val="12"/>
          <w:szCs w:val="12"/>
          <w:color w:val="auto"/>
        </w:rPr>
        <w:t>In connection with the Annual Report of NRG Yield LLC on Form 10-K for the year ended December 31, 2017,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ind w:left="460" w:hanging="229"/>
        <w:spacing w:after="0"/>
        <w:tabs>
          <w:tab w:leader="none" w:pos="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Form 10-K fully complies with the requirements of Section 13(a) or 15(d) of the Securities Exchange Act of 1934;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information contained in the Form 10-K fairly presents, in all material respects, the financial condition and results of operations of the Company as of the dates and for the periods expressed in the Form 10-K.</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Date: March 1, 2018</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Christopher S. Sotos</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Executive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0">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Chad Plotkin</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Financial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Financial Officer)</w:t>
      </w:r>
    </w:p>
    <w:p>
      <w:pPr>
        <w:spacing w:after="0" w:line="200" w:lineRule="exact"/>
        <w:rPr>
          <w:sz w:val="20"/>
          <w:szCs w:val="20"/>
          <w:color w:val="auto"/>
        </w:rPr>
      </w:pP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1">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David Callen</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Accounting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Accounting Officer</w:t>
      </w:r>
      <w:r>
        <w:rPr>
          <w:rFonts w:ascii="Arial" w:cs="Arial" w:eastAsia="Arial" w:hAnsi="Arial"/>
          <w:sz w:val="13"/>
          <w:szCs w:val="13"/>
          <w:color w:val="auto"/>
        </w:rPr>
        <w: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foregoing certification is being furnished solely pursuant to 18 U.S.C. Section 1350 and is not being filed as part of this Form 10-K or as a separate disclosure document.</w:t>
      </w:r>
    </w:p>
    <w:p>
      <w:pPr>
        <w:spacing w:after="0" w:line="45" w:lineRule="exact"/>
        <w:rPr>
          <w:sz w:val="20"/>
          <w:szCs w:val="20"/>
          <w:color w:val="auto"/>
        </w:rPr>
      </w:pPr>
    </w:p>
    <w:p>
      <w:pPr>
        <w:ind w:right="20" w:firstLine="233"/>
        <w:spacing w:after="0" w:line="314"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80"/>
      </w:cols>
      <w:pgMar w:left="220" w:top="4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x"/>
      <w:numFmt w:val="bullet"/>
      <w:start w:val="1"/>
    </w:lvl>
  </w:abstractNum>
  <w:abstractNum w:abstractNumId="1">
    <w:nsid w:val="580BD78F"/>
    <w:multiLevelType w:val="hybridMultilevel"/>
    <w:lvl w:ilvl="0">
      <w:lvlJc w:val="left"/>
      <w:lvlText w:val="o"/>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lvl w:ilvl="1">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lowerLetter"/>
      <w:start w:val="1"/>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lowerLetter"/>
      <w:start w:val="2"/>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1)"/>
      <w:numFmt w:val="lowerLetter"/>
      <w:start w:val="5"/>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Roman"/>
      <w:start w:val="2"/>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
    </w:lvl>
    <w:lvl w:ilvl="1">
      <w:lvlJc w:val="left"/>
      <w:lvlText w:val="(%2)"/>
      <w:numFmt w:val="lowerLetter"/>
      <w:start w:val="1"/>
    </w:lvl>
  </w:abstractNum>
  <w:abstractNum w:abstractNumId="39">
    <w:nsid w:val="15B5AF5C"/>
    <w:multiLevelType w:val="hybridMultilevel"/>
    <w:lvl w:ilvl="0">
      <w:lvlJc w:val="left"/>
      <w:lvlText w:val="(%1)"/>
      <w:numFmt w:val="lowerLetter"/>
      <w:start w:val="2"/>
    </w:lvl>
    <w:lvl w:ilvl="1">
      <w:lvlJc w:val="left"/>
      <w:lvlText w:val="%2"/>
      <w:numFmt w:val="lowerLetter"/>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lvl w:ilvl="1">
      <w:lvlJc w:val="left"/>
      <w:lvlText w:val="(%2)"/>
      <w:numFmt w:val="lowerLetter"/>
      <w:start w:val="1"/>
    </w:lvl>
  </w:abstractNum>
  <w:abstractNum w:abstractNumId="49">
    <w:nsid w:val="5FF87E05"/>
    <w:multiLevelType w:val="hybridMultilevel"/>
    <w:lvl w:ilvl="0">
      <w:lvlJc w:val="left"/>
      <w:lvlText w:val="(%1)"/>
      <w:numFmt w:val="lowerLetter"/>
      <w:start w:val="2"/>
    </w:lvl>
    <w:lvl w:ilvl="1">
      <w:lvlJc w:val="left"/>
      <w:lvlText w:val="%2"/>
      <w:numFmt w:val="lowerLetter"/>
      <w:start w:val="1"/>
    </w:lvl>
  </w:abstractNum>
  <w:abstractNum w:abstractNumId="50">
    <w:nsid w:val="2F305DEF"/>
    <w:multiLevelType w:val="hybridMultilevel"/>
    <w:lvl w:ilvl="0">
      <w:lvlJc w:val="left"/>
      <w:lvlText w:val="%1"/>
      <w:numFmt w:val="lowerLetter"/>
      <w:start w:val="1"/>
    </w:lvl>
    <w:lvl w:ilvl="1">
      <w:lvlJc w:val="left"/>
      <w:lvlText w:val="(%2)"/>
      <w:numFmt w:val="lowerLetter"/>
      <w:start w:val="1"/>
    </w:lvl>
  </w:abstractNum>
  <w:abstractNum w:abstractNumId="51">
    <w:nsid w:val="25A70BF7"/>
    <w:multiLevelType w:val="hybridMultilevel"/>
    <w:lvl w:ilvl="0">
      <w:lvlJc w:val="left"/>
      <w:lvlText w:val="(%1)"/>
      <w:numFmt w:val="lowerLetter"/>
      <w:start w:val="2"/>
    </w:lvl>
    <w:lvl w:ilvl="1">
      <w:lvlJc w:val="left"/>
      <w:lvlText w:val="%2"/>
      <w:numFmt w:val="lowerLetter"/>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1"/>
    </w:lvl>
    <w:lvl w:ilvl="1">
      <w:lvlJc w:val="left"/>
      <w:lvlText w:val="(%2)"/>
      <w:numFmt w:val="lowerLetter"/>
      <w:start w:val="1"/>
    </w:lvl>
  </w:abstractNum>
  <w:abstractNum w:abstractNumId="56">
    <w:nsid w:val="5DB70AE5"/>
    <w:multiLevelType w:val="hybridMultilevel"/>
    <w:lvl w:ilvl="0">
      <w:lvlJc w:val="left"/>
      <w:lvlText w:val="(%1)"/>
      <w:numFmt w:val="lowerLetter"/>
      <w:start w:val="2"/>
    </w:lvl>
    <w:lvl w:ilvl="1">
      <w:lvlJc w:val="left"/>
      <w:lvlText w:val="%2"/>
      <w:numFmt w:val="lowerLetter"/>
      <w:start w:val="1"/>
    </w:lvl>
  </w:abstractNum>
  <w:abstractNum w:abstractNumId="57">
    <w:nsid w:val="100F8FCA"/>
    <w:multiLevelType w:val="hybridMultilevel"/>
    <w:lvl w:ilvl="0">
      <w:lvlJc w:val="left"/>
      <w:lvlText w:val="%1"/>
      <w:numFmt w:val="lowerLetter"/>
      <w:start w:val="1"/>
    </w:lvl>
    <w:lvl w:ilvl="1">
      <w:lvlJc w:val="left"/>
      <w:lvlText w:val="(%2)"/>
      <w:numFmt w:val="lowerLetter"/>
      <w:start w:val="1"/>
    </w:lvl>
  </w:abstractNum>
  <w:abstractNum w:abstractNumId="58">
    <w:nsid w:val="6590700B"/>
    <w:multiLevelType w:val="hybridMultilevel"/>
    <w:lvl w:ilvl="0">
      <w:lvlJc w:val="left"/>
      <w:lvlText w:val="(%1)"/>
      <w:numFmt w:val="lowerLetter"/>
      <w:start w:val="2"/>
    </w:lvl>
    <w:lvl w:ilvl="1">
      <w:lvlJc w:val="left"/>
      <w:lvlText w:val="%2"/>
      <w:numFmt w:val="lowerLetter"/>
      <w:start w:val="1"/>
    </w:lvl>
  </w:abstractNum>
  <w:abstractNum w:abstractNumId="59">
    <w:nsid w:val="15014ACB"/>
    <w:multiLevelType w:val="hybridMultilevel"/>
    <w:lvl w:ilvl="0">
      <w:lvlJc w:val="left"/>
      <w:lvlText w:val="%1"/>
      <w:numFmt w:val="lowerLetter"/>
      <w:start w:val="1"/>
    </w:lvl>
    <w:lvl w:ilvl="1">
      <w:lvlJc w:val="left"/>
      <w:lvlText w:val="(%2)"/>
      <w:numFmt w:val="lowerLetter"/>
      <w:start w:val="1"/>
    </w:lvl>
  </w:abstractNum>
  <w:abstractNum w:abstractNumId="60">
    <w:nsid w:val="5F5E7FD0"/>
    <w:multiLevelType w:val="hybridMultilevel"/>
    <w:lvl w:ilvl="0">
      <w:lvlJc w:val="left"/>
      <w:lvlText w:val="(%1)"/>
      <w:numFmt w:val="lowerLetter"/>
      <w:start w:val="2"/>
    </w:lvl>
    <w:lvl w:ilvl="1">
      <w:lvlJc w:val="left"/>
      <w:lvlText w:val="%2"/>
      <w:numFmt w:val="lowerLetter"/>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1"/>
    </w:lvl>
    <w:lvl w:ilvl="1">
      <w:lvlJc w:val="left"/>
      <w:lvlText w:val="(%2)"/>
      <w:numFmt w:val="lowerLetter"/>
      <w:start w:val="1"/>
    </w:lvl>
  </w:abstractNum>
  <w:abstractNum w:abstractNumId="63">
    <w:nsid w:val="6B94764"/>
    <w:multiLevelType w:val="hybridMultilevel"/>
    <w:lvl w:ilvl="0">
      <w:lvlJc w:val="left"/>
      <w:lvlText w:val="(%1)"/>
      <w:numFmt w:val="lowerLetter"/>
      <w:start w:val="2"/>
    </w:lvl>
    <w:lvl w:ilvl="1">
      <w:lvlJc w:val="left"/>
      <w:lvlText w:val="%2"/>
      <w:numFmt w:val="lowerLetter"/>
      <w:start w:val="1"/>
    </w:lvl>
  </w:abstractNum>
  <w:abstractNum w:abstractNumId="64">
    <w:nsid w:val="42C296BD"/>
    <w:multiLevelType w:val="hybridMultilevel"/>
    <w:lvl w:ilvl="0">
      <w:lvlJc w:val="left"/>
      <w:lvlText w:val="%1"/>
      <w:numFmt w:val="lowerLetter"/>
      <w:start w:val="1"/>
    </w:lvl>
    <w:lvl w:ilvl="1">
      <w:lvlJc w:val="left"/>
      <w:lvlText w:val="(%2)"/>
      <w:numFmt w:val="lowerLetter"/>
      <w:start w:val="1"/>
    </w:lvl>
  </w:abstractNum>
  <w:abstractNum w:abstractNumId="65">
    <w:nsid w:val="168E121F"/>
    <w:multiLevelType w:val="hybridMultilevel"/>
    <w:lvl w:ilvl="0">
      <w:lvlJc w:val="left"/>
      <w:lvlText w:val="(%1)"/>
      <w:numFmt w:val="lowerLetter"/>
      <w:start w:val="2"/>
    </w:lvl>
    <w:lvl w:ilvl="1">
      <w:lvlJc w:val="left"/>
      <w:lvlText w:val="%2"/>
      <w:numFmt w:val="lowerLetter"/>
      <w:start w:val="1"/>
    </w:lvl>
  </w:abstractNum>
  <w:abstractNum w:abstractNumId="66">
    <w:nsid w:val="1EBA5D23"/>
    <w:multiLevelType w:val="hybridMultilevel"/>
    <w:lvl w:ilvl="0">
      <w:lvlJc w:val="left"/>
      <w:lvlText w:val="%1"/>
      <w:numFmt w:val="lowerLetter"/>
      <w:start w:val="1"/>
    </w:lvl>
    <w:lvl w:ilvl="1">
      <w:lvlJc w:val="left"/>
      <w:lvlText w:val="(%2)"/>
      <w:numFmt w:val="lowerLetter"/>
      <w:start w:val="1"/>
    </w:lvl>
  </w:abstractNum>
  <w:abstractNum w:abstractNumId="67">
    <w:nsid w:val="661E3F1E"/>
    <w:multiLevelType w:val="hybridMultilevel"/>
    <w:lvl w:ilvl="0">
      <w:lvlJc w:val="left"/>
      <w:lvlText w:val="(%1)"/>
      <w:numFmt w:val="lowerLetter"/>
      <w:start w:val="2"/>
    </w:lvl>
    <w:lvl w:ilvl="1">
      <w:lvlJc w:val="left"/>
      <w:lvlText w:val="%2"/>
      <w:numFmt w:val="lowerLetter"/>
      <w:start w:val="1"/>
    </w:lvl>
  </w:abstractNum>
  <w:abstractNum w:abstractNumId="68">
    <w:nsid w:val="5DC79EA8"/>
    <w:multiLevelType w:val="hybridMultilevel"/>
    <w:lvl w:ilvl="0">
      <w:lvlJc w:val="left"/>
      <w:lvlText w:val="%1"/>
      <w:numFmt w:val="lowerLetter"/>
      <w:start w:val="1"/>
    </w:lvl>
    <w:lvl w:ilvl="1">
      <w:lvlJc w:val="left"/>
      <w:lvlText w:val="(%2)"/>
      <w:numFmt w:val="lowerLetter"/>
      <w:start w:val="1"/>
    </w:lvl>
  </w:abstractNum>
  <w:abstractNum w:abstractNumId="69">
    <w:nsid w:val="540A471C"/>
    <w:multiLevelType w:val="hybridMultilevel"/>
    <w:lvl w:ilvl="0">
      <w:lvlJc w:val="left"/>
      <w:lvlText w:val="(%1)"/>
      <w:numFmt w:val="lowerLetter"/>
      <w:start w:val="2"/>
    </w:lvl>
    <w:lvl w:ilvl="1">
      <w:lvlJc w:val="left"/>
      <w:lvlText w:val="%2"/>
      <w:numFmt w:val="lowerLetter"/>
      <w:start w:val="1"/>
    </w:lvl>
  </w:abstractNum>
  <w:abstractNum w:abstractNumId="70">
    <w:nsid w:val="7BD3EE7B"/>
    <w:multiLevelType w:val="hybridMultilevel"/>
    <w:lvl w:ilvl="0">
      <w:lvlJc w:val="left"/>
      <w:lvlText w:val="%1"/>
      <w:numFmt w:val="decimal"/>
      <w:start w:val="32"/>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32" Type="http://schemas.openxmlformats.org/officeDocument/2006/relationships/image" Target="media/image63.png"/><Relationship Id="rId133" Type="http://schemas.openxmlformats.org/officeDocument/2006/relationships/image" Target="media/image64.png"/><Relationship Id="rId134" Type="http://schemas.openxmlformats.org/officeDocument/2006/relationships/image" Target="media/image65.png"/><Relationship Id="rId135" Type="http://schemas.openxmlformats.org/officeDocument/2006/relationships/image" Target="media/image66.png"/><Relationship Id="rId136" Type="http://schemas.openxmlformats.org/officeDocument/2006/relationships/image" Target="media/image67.png"/><Relationship Id="rId137" Type="http://schemas.openxmlformats.org/officeDocument/2006/relationships/image" Target="media/image68.png"/><Relationship Id="rId138" Type="http://schemas.openxmlformats.org/officeDocument/2006/relationships/image" Target="media/image69.png"/><Relationship Id="rId139" Type="http://schemas.openxmlformats.org/officeDocument/2006/relationships/image" Target="media/image70.png"/><Relationship Id="rId140" Type="http://schemas.openxmlformats.org/officeDocument/2006/relationships/image" Target="media/image71.png"/><Relationship Id="rId141" Type="http://schemas.openxmlformats.org/officeDocument/2006/relationships/image" Target="media/image72.png"/><Relationship Id="rId70" Type="http://schemas.openxmlformats.org/officeDocument/2006/relationships/hyperlink" Target="http://www.sec.gov/Archives/edgar/data/1567683/000110465914037090/a14-12466_1ex2d1.htm" TargetMode="External"/><Relationship Id="rId71" Type="http://schemas.openxmlformats.org/officeDocument/2006/relationships/hyperlink" Target="http://www.sec.gov/Archives/edgar/data/1567683/000110465914037090/a14-12466_1ex2d2.htm" TargetMode="External"/><Relationship Id="rId72" Type="http://schemas.openxmlformats.org/officeDocument/2006/relationships/hyperlink" Target="http://www.sec.gov/Archives/edgar/data/1567683/000110465914037090/a14-12466_1ex2d3.htm" TargetMode="External"/><Relationship Id="rId73" Type="http://schemas.openxmlformats.org/officeDocument/2006/relationships/hyperlink" Target="http://www.sec.gov/Archives/edgar/data/1567683/000110465914044820/a14-14976_1ex10d1.htm" TargetMode="External"/><Relationship Id="rId74" Type="http://schemas.openxmlformats.org/officeDocument/2006/relationships/hyperlink" Target="http://www.sec.gov/Archives/edgar/data/1567683/000156768314000020/exhibit21.htm" TargetMode="External"/><Relationship Id="rId75" Type="http://schemas.openxmlformats.org/officeDocument/2006/relationships/hyperlink" Target="http://www.sec.gov/Archives/edgar/data/1567683/000156768314000020/exhibit22.htm" TargetMode="External"/><Relationship Id="rId76" Type="http://schemas.openxmlformats.org/officeDocument/2006/relationships/hyperlink" Target="http://www.sec.gov/Archives/edgar/data/1567683/000156768315000022/yieldincex212015q2dspsaexh.htm" TargetMode="External"/><Relationship Id="rId77" Type="http://schemas.openxmlformats.org/officeDocument/2006/relationships/hyperlink" Target="http://www.sec.gov/Archives/edgar/data/1567683/000110465915066291/a15-19906_1ex2d1.htm" TargetMode="External"/><Relationship Id="rId78" Type="http://schemas.openxmlformats.org/officeDocument/2006/relationships/hyperlink" Target="http://www.sec.gov/Archives/edgar/data/1567683/000110465916138087/a16-16348_1ex2d1.htm" TargetMode="External"/><Relationship Id="rId79" Type="http://schemas.openxmlformats.org/officeDocument/2006/relationships/hyperlink" Target="http://www.sec.gov/Archives/edgar/data/1567683/000156768318000008/yieldincex210201710-k.htm" TargetMode="External"/><Relationship Id="rId80" Type="http://schemas.openxmlformats.org/officeDocument/2006/relationships/hyperlink" Target="http://www.sec.gov/Archives/edgar/data/1637708/000104746915003411/a2224163zex-3_01a.htm" TargetMode="External"/><Relationship Id="rId81" Type="http://schemas.openxmlformats.org/officeDocument/2006/relationships/hyperlink" Target="http://www.sec.gov/Archives/edgar/data/1637708/000104746915003411/a2224163zex-3_01b.htm" TargetMode="External"/><Relationship Id="rId82" Type="http://schemas.openxmlformats.org/officeDocument/2006/relationships/hyperlink" Target="http://www.sec.gov/Archives/edgar/data/1637708/000104746915003411/a2224163zex-3_02.htm" TargetMode="External"/><Relationship Id="rId83" Type="http://schemas.openxmlformats.org/officeDocument/2006/relationships/hyperlink" Target="http://www.sec.gov/Archives/edgar/data/1637708/000104746915003411/a2224163zex-3_03a.htm" TargetMode="External"/><Relationship Id="rId84" Type="http://schemas.openxmlformats.org/officeDocument/2006/relationships/hyperlink" Target="http://www.sec.gov/Archives/edgar/data/1637708/000104746915003411/a2224163zex-3_03b.htm" TargetMode="External"/><Relationship Id="rId85" Type="http://schemas.openxmlformats.org/officeDocument/2006/relationships/hyperlink" Target="http://www.sec.gov/Archives/edgar/data/1567683/000110465915038447/a15-11446_1ex10d4.htm" TargetMode="External"/><Relationship Id="rId86" Type="http://schemas.openxmlformats.org/officeDocument/2006/relationships/hyperlink" Target="http://www.sec.gov/Archives/edgar/data/1567683/000110465914056777/a14-18411_1ex4d1.htm" TargetMode="External"/><Relationship Id="rId87" Type="http://schemas.openxmlformats.org/officeDocument/2006/relationships/hyperlink" Target="http://www.sec.gov/Archives/edgar/data/1567683/000110465914056777/a14-18411_1ex4d3.htm" TargetMode="External"/><Relationship Id="rId88" Type="http://schemas.openxmlformats.org/officeDocument/2006/relationships/hyperlink" Target="http://www.sec.gov/Archives/edgar/data/1567683/000110465914080390/a14-24401_1ex4d1.htm" TargetMode="External"/><Relationship Id="rId89" Type="http://schemas.openxmlformats.org/officeDocument/2006/relationships/hyperlink" Target="http://www.sec.gov/Archives/edgar/data/1567683/000110465915015282/a15-5420_1ex4d1.htm" TargetMode="External"/><Relationship Id="rId90" Type="http://schemas.openxmlformats.org/officeDocument/2006/relationships/hyperlink" Target="http://www.sec.gov/Archives/edgar/data/1637708/000104746915003411/a2224163zex-4_07.htm" TargetMode="External"/><Relationship Id="rId91" Type="http://schemas.openxmlformats.org/officeDocument/2006/relationships/hyperlink" Target="http://www.sec.gov/Archives/edgar/data/1567683/000110465915036232/a15-11016_2ex4d1.htm" TargetMode="External"/><Relationship Id="rId92" Type="http://schemas.openxmlformats.org/officeDocument/2006/relationships/hyperlink" Target="http://www.sec.gov/Archives/edgar/data/1567683/000110465915048473/a15-14936_1ex4d1.htm" TargetMode="External"/><Relationship Id="rId93" Type="http://schemas.openxmlformats.org/officeDocument/2006/relationships/hyperlink" Target="http://www.sec.gov/Archives/edgar/data/1637757/000110465916140474/a16-16967_2ex4d1.htm" TargetMode="External"/><Relationship Id="rId94" Type="http://schemas.openxmlformats.org/officeDocument/2006/relationships/hyperlink" Target="http://www.sec.gov/Archives/edgar/data/1637757/000110465916140474/a16-16967_2ex4d3.htm" TargetMode="External"/><Relationship Id="rId95" Type="http://schemas.openxmlformats.org/officeDocument/2006/relationships/hyperlink" Target="http://www.sec.gov/Archives/edgar/data/1637757/000110465918005466/a18-5088_1ex4d1.htm#Exhibit4_1_091658" TargetMode="External"/><Relationship Id="rId96" Type="http://schemas.openxmlformats.org/officeDocument/2006/relationships/hyperlink" Target="http://www.sec.gov/Archives/edgar/data/1637757/000110465918005466/a18-5088_1ex4d2.htm#Exhibit4_2_091723" TargetMode="External"/><Relationship Id="rId97" Type="http://schemas.openxmlformats.org/officeDocument/2006/relationships/hyperlink" Target="http://www.sec.gov/Archives/edgar/data/1567683/000110465915038447/a15-11446_1ex10d2.htm" TargetMode="External"/><Relationship Id="rId98" Type="http://schemas.openxmlformats.org/officeDocument/2006/relationships/hyperlink" Target="http://www.sec.gov/Archives/edgar/data/1567683/000110465915038447/a15-11446_1ex10d1.htm" TargetMode="External"/><Relationship Id="rId99" Type="http://schemas.openxmlformats.org/officeDocument/2006/relationships/hyperlink" Target="http://www.sec.gov/Archives/edgar/data/1567683/000110465913057067/a13-17318_1ex10d4.htm" TargetMode="External"/><Relationship Id="rId100" Type="http://schemas.openxmlformats.org/officeDocument/2006/relationships/hyperlink" Target="http://www.sec.gov/Archives/edgar/data/1567683/000110465913057067/a13-17318_1ex10d5.htm" TargetMode="External"/><Relationship Id="rId101" Type="http://schemas.openxmlformats.org/officeDocument/2006/relationships/hyperlink" Target="http://www.sec.gov/Archives/edgar/data/1567683/000091205713000038/filename3.htm" TargetMode="External"/><Relationship Id="rId102" Type="http://schemas.openxmlformats.org/officeDocument/2006/relationships/hyperlink" Target="http://www.sec.gov/Archives/edgar/data/1567683/000091205713000038/filename6.htm" TargetMode="External"/><Relationship Id="rId103" Type="http://schemas.openxmlformats.org/officeDocument/2006/relationships/hyperlink" Target="http://www.sec.gov/Archives/edgar/data/1567683/000091205713000038/filename7.htm" TargetMode="External"/><Relationship Id="rId104" Type="http://schemas.openxmlformats.org/officeDocument/2006/relationships/hyperlink" Target="http://www.sec.gov/Archives/edgar/data/1567683/000091205713000038/filename8.htm" TargetMode="External"/><Relationship Id="rId105" Type="http://schemas.openxmlformats.org/officeDocument/2006/relationships/hyperlink" Target="http://www.sec.gov/Archives/edgar/data/1567683/000091205713000038/filename9.htm" TargetMode="External"/><Relationship Id="rId106" Type="http://schemas.openxmlformats.org/officeDocument/2006/relationships/hyperlink" Target="http://www.sec.gov/Archives/edgar/data/1567683/000091205713000038/filename10.htm" TargetMode="External"/><Relationship Id="rId107" Type="http://schemas.openxmlformats.org/officeDocument/2006/relationships/hyperlink" Target="http://www.sec.gov/Archives/edgar/data/1567683/000091205713000038/filename11.htm" TargetMode="External"/><Relationship Id="rId108" Type="http://schemas.openxmlformats.org/officeDocument/2006/relationships/hyperlink" Target="http://www.sec.gov/Archives/edgar/data/1567683/000104746913006811/a2214173zex-10_15.htm" TargetMode="External"/><Relationship Id="rId109" Type="http://schemas.openxmlformats.org/officeDocument/2006/relationships/hyperlink" Target="http://www.sec.gov/Archives/edgar/data/1567683/000104746913006811/a2214173zex-10_16.htm" TargetMode="External"/><Relationship Id="rId110" Type="http://schemas.openxmlformats.org/officeDocument/2006/relationships/hyperlink" Target="http://www.sec.gov/Archives/edgar/data/1567683/000104746913006811/a2214173zex-10_17.htm" TargetMode="External"/><Relationship Id="rId111" Type="http://schemas.openxmlformats.org/officeDocument/2006/relationships/hyperlink" Target="http://www.sec.gov/Archives/edgar/data/1567683/000104746913007134/a2215737zex-10_20.htm" TargetMode="External"/><Relationship Id="rId112" Type="http://schemas.openxmlformats.org/officeDocument/2006/relationships/hyperlink" Target="http://www.sec.gov/Archives/edgar/data/1567683/000110465914031308/a14-11252_1ex10d1.htm" TargetMode="External"/><Relationship Id="rId113" Type="http://schemas.openxmlformats.org/officeDocument/2006/relationships/hyperlink" Target="http://www.sec.gov/Archives/edgar/data/1567683/000156768315000022/yieldincex1092015q2opllcam.htm" TargetMode="External"/><Relationship Id="rId114" Type="http://schemas.openxmlformats.org/officeDocument/2006/relationships/hyperlink" Target="http://www.sec.gov/Archives/edgar/data/1637757/000110465918008197/a18-5571_1ex10d1.htm#Exhibit10_1_093100" TargetMode="External"/><Relationship Id="rId115" Type="http://schemas.openxmlformats.org/officeDocument/2006/relationships/hyperlink" Target="http://www.sec.gov/Archives/edgar/data/1567683/000156768314000015/yieldcoex102q214.htm" TargetMode="External"/><Relationship Id="rId116" Type="http://schemas.openxmlformats.org/officeDocument/2006/relationships/hyperlink" Target="http://www.sec.gov/Archives/edgar/data/1567683/000156768314000015/yieldcoex103q214.htm" TargetMode="External"/><Relationship Id="rId117" Type="http://schemas.openxmlformats.org/officeDocument/2006/relationships/hyperlink" Target="http://www.sec.gov/Archives/edgar/data/1567683/000156768314000015/yieldcoex104q214.htm" TargetMode="External"/><Relationship Id="rId118" Type="http://schemas.openxmlformats.org/officeDocument/2006/relationships/hyperlink" Target="http://www.sec.gov/Archives/edgar/data/1567683/000156768315000022/yieldincex1062015q2esecame.htm" TargetMode="External"/><Relationship Id="rId119" Type="http://schemas.openxmlformats.org/officeDocument/2006/relationships/hyperlink" Target="http://www.sec.gov/Archives/edgar/data/1567683/000156768315000022/yieldincex1072015q2esecame.htm" TargetMode="External"/><Relationship Id="rId120" Type="http://schemas.openxmlformats.org/officeDocument/2006/relationships/hyperlink" Target="http://www.sec.gov/Archives/edgar/data/1567683/000156768315000022/yieldincex1082015q2esecame.htm" TargetMode="External"/><Relationship Id="rId121" Type="http://schemas.openxmlformats.org/officeDocument/2006/relationships/hyperlink" Target="http://www.sec.gov/Archives/edgar/data/1567683/000156768314000015/yieldcoex105q22014.htm" TargetMode="External"/><Relationship Id="rId122" Type="http://schemas.openxmlformats.org/officeDocument/2006/relationships/hyperlink" Target="http://www.sec.gov/Archives/edgar/data/1567683/000156768314000015/yieldcoex106q22014.htm" TargetMode="External"/><Relationship Id="rId123" Type="http://schemas.openxmlformats.org/officeDocument/2006/relationships/hyperlink" Target="http://www.sec.gov/Archives/edgar/data/1567683/000156768315000022/yieldincex1012015q2rpv.htm" TargetMode="External"/><Relationship Id="rId124" Type="http://schemas.openxmlformats.org/officeDocument/2006/relationships/hyperlink" Target="http://www.sec.gov/Archives/edgar/data/1567683/000156768315000022/yieldincex1022015q2dgpv.htm" TargetMode="External"/><Relationship Id="rId125" Type="http://schemas.openxmlformats.org/officeDocument/2006/relationships/hyperlink" Target="http://www.sec.gov/Archives/edgar/data/1567683/000156768316000043/yieldincex1012016q1.htm" TargetMode="External"/><Relationship Id="rId126" Type="http://schemas.openxmlformats.org/officeDocument/2006/relationships/hyperlink" Target="http://www.sec.gov/Archives/edgar/data/1567683/000156768316000043/yieldincex1022016q1.htm" TargetMode="External"/><Relationship Id="rId127" Type="http://schemas.openxmlformats.org/officeDocument/2006/relationships/hyperlink" Target="http://www.sec.gov/Archives/edgar/data/1567683/000156768316000043/yieldincex1032016q1.htm" TargetMode="External"/><Relationship Id="rId128" Type="http://schemas.openxmlformats.org/officeDocument/2006/relationships/hyperlink" Target="http://www.sec.gov/Archives/edgar/data/1567683/000156768316000055/yieldincex1012016q2-rpvame.htm" TargetMode="External"/><Relationship Id="rId129" Type="http://schemas.openxmlformats.org/officeDocument/2006/relationships/hyperlink" Target="http://www.sec.gov/Archives/edgar/data/1567683/000110465916138081/a16-16348_2ex10d1.htm" TargetMode="External"/><Relationship Id="rId130" Type="http://schemas.openxmlformats.org/officeDocument/2006/relationships/hyperlink" Target="http://www.sec.gov/Archives/edgar/data/1567683/000156768318000008/yieldincex1028201710-k.htm" TargetMode="External"/><Relationship Id="rId131" Type="http://schemas.openxmlformats.org/officeDocument/2006/relationships/hyperlink" Target="http://www.sec.gov/Archives/edgar/data/1567683/000156768318000008/yieldincex103420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2019-12-28T23:53:40Z</dcterms:created>
  <dcterms:modified xsi:type="dcterms:W3CDTF">2019-12-28T23:53:40Z</dcterms:modified>
</cp:coreProperties>
</file>