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272</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35,586</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1,661 dividend equivalent rights that may only be settled in Class C Common Stock. There has been a de minimus adjustment of 2 shares to the number of dividend equivalent rights as a result of rounding fractional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2019-12-04T16:11:26Z</dcterms:created>
  <dcterms:modified xsi:type="dcterms:W3CDTF">2019-12-04T16:11:26Z</dcterms:modified>
</cp:coreProperties>
</file>