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6,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733"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733"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Title of each class</w:t>
            </w:r>
          </w:p>
        </w:tc>
        <w:tc>
          <w:tcPr>
            <w:tcW w:w="28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2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8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9"/>
              </w:rPr>
              <w:t>CWEN.A</w:t>
            </w:r>
          </w:p>
        </w:tc>
        <w:tc>
          <w:tcPr>
            <w:tcW w:w="4320" w:type="dxa"/>
            <w:vAlign w:val="bottom"/>
          </w:tcPr>
          <w:p>
            <w:pPr>
              <w:jc w:val="center"/>
              <w:ind w:left="25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240" w:type="dxa"/>
            <w:vAlign w:val="bottom"/>
          </w:tcPr>
          <w:p>
            <w:pPr>
              <w:jc w:val="center"/>
              <w:ind w:right="130"/>
              <w:spacing w:after="0"/>
              <w:rPr>
                <w:sz w:val="20"/>
                <w:szCs w:val="20"/>
                <w:color w:val="auto"/>
              </w:rPr>
            </w:pPr>
            <w:r>
              <w:rPr>
                <w:rFonts w:ascii="Arial" w:cs="Arial" w:eastAsia="Arial" w:hAnsi="Arial"/>
                <w:sz w:val="18"/>
                <w:szCs w:val="18"/>
                <w:color w:val="auto"/>
                <w:w w:val="90"/>
              </w:rPr>
              <w:t>Class C Common Stock, par value $0.01</w:t>
            </w:r>
          </w:p>
        </w:tc>
        <w:tc>
          <w:tcPr>
            <w:tcW w:w="2860" w:type="dxa"/>
            <w:vAlign w:val="bottom"/>
          </w:tcPr>
          <w:p>
            <w:pPr>
              <w:jc w:val="center"/>
              <w:ind w:left="10"/>
              <w:spacing w:after="0"/>
              <w:rPr>
                <w:sz w:val="20"/>
                <w:szCs w:val="20"/>
                <w:color w:val="auto"/>
              </w:rPr>
            </w:pPr>
            <w:r>
              <w:rPr>
                <w:rFonts w:ascii="Arial" w:cs="Arial" w:eastAsia="Arial" w:hAnsi="Arial"/>
                <w:sz w:val="18"/>
                <w:szCs w:val="18"/>
                <w:color w:val="auto"/>
                <w:w w:val="94"/>
              </w:rPr>
              <w:t>CWEN</w:t>
            </w:r>
          </w:p>
        </w:tc>
        <w:tc>
          <w:tcPr>
            <w:tcW w:w="4320" w:type="dxa"/>
            <w:vAlign w:val="bottom"/>
          </w:tcPr>
          <w:p>
            <w:pPr>
              <w:jc w:val="center"/>
              <w:ind w:left="25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780"/>
        <w:spacing w:after="0" w:line="207" w:lineRule="exact"/>
        <w:tabs>
          <w:tab w:leader="none" w:pos="9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 Supplemental Indenture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January 6, 2020, Clearway Energy Operating LLC (“Clearway Operating LLC”), a subsidiary of Clearway Energy LLC (“Clearway LLC”), the guarantors currently party to the 2026 Notes Indenture (defined below), CBAD Holdings II, LLC (the “Guaranteeing Subsidiary”) and Delaware Trust Company (as successor in interest to Law Debenture Trust Company of New York), as trustee (the “Trustee”), entered into the ninth supplemental indenture (the “Ninth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Ninth Supplemental Indenture, the Guaranteeing Subsidiary became a guarantor of Clearway Operating LLC’s obligations under the 2026 Notes. Each of Clearway Operating LLC, Clearway LLC and the Guaranteeing Subsidiary are subsidiaries of Clearway Energy, Inc.</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Ninth Supplemental Indenture does not purport to be complete and is qualified in its entirety by reference to the Ninth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2020, Clearway Operating LLC, the guarantors currently party to the 2025 Notes Indenture (defined below), the Guaranteeing Subsidiary and the Trustee also entered into the fifth supplemental indenture (the “Fifth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Fifth Supplemental Indenture, the Guaranteeing Subsidiary became a guarantor of Clearway Operating LLC’s obligations under the 2025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Fifth Supplemental Indenture does not purport to be complete and is qualified in its entirety by reference to the Fifth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2020, Clearway Operating LLC, the guarantors currently party to the 2028 Notes Indenture (defined below), the Guaranteeing Subsidiary and the Trustee also entered into the first supplemental indenture (the “First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$600,000,000 in aggregate principal amount of its 4.750% Senior Notes due 2028 (the “2028 Notes”). Pursuant to the First Supplemental Indenture, the Guaranteeing Subsidiary became a guarantor of Clearway Operating LLC’s obligations under the 2028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23" w:lineRule="exact"/>
        <w:rPr>
          <w:sz w:val="20"/>
          <w:szCs w:val="20"/>
          <w:color w:val="auto"/>
        </w:rPr>
      </w:pPr>
    </w:p>
    <w:p>
      <w:pPr>
        <w:ind w:left="1160" w:right="20" w:hanging="800"/>
        <w:spacing w:after="0" w:line="258" w:lineRule="auto"/>
        <w:tabs>
          <w:tab w:leader="none" w:pos="114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Ninth Supplemental Indenture, dated as of January 6, 2020, among Clearway Energy Operating LLC, the guarantors named therein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Delaware Trust Company (as successor in interest to Law Debenture Trust Company of New York).</w:t>
        </w:r>
      </w:hyperlink>
    </w:p>
    <w:p>
      <w:pPr>
        <w:spacing w:after="0" w:line="1" w:lineRule="exact"/>
        <w:rPr>
          <w:rFonts w:ascii="Arial" w:cs="Arial" w:eastAsia="Arial" w:hAnsi="Arial"/>
          <w:sz w:val="18"/>
          <w:szCs w:val="18"/>
          <w:u w:val="single" w:color="auto"/>
          <w:color w:val="0000EE"/>
        </w:rPr>
      </w:pPr>
    </w:p>
    <w:p>
      <w:pPr>
        <w:ind w:left="1160" w:hanging="800"/>
        <w:spacing w:after="0" w:line="250" w:lineRule="auto"/>
        <w:tabs>
          <w:tab w:leader="none" w:pos="1140" w:val="left"/>
        </w:tabs>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9">
        <w:r>
          <w:rPr>
            <w:rFonts w:ascii="Arial" w:cs="Arial" w:eastAsia="Arial" w:hAnsi="Arial"/>
            <w:sz w:val="18"/>
            <w:szCs w:val="18"/>
            <w:u w:val="single" w:color="auto"/>
            <w:color w:val="0000EE"/>
          </w:rPr>
          <w:t>Fifth Supplemental Indenture, dated as of January 6, 2020, among Clearway Energy Operating LLC, the guarantors named therein and</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Delaware Trust Company.</w:t>
        </w:r>
      </w:hyperlink>
    </w:p>
    <w:p>
      <w:pPr>
        <w:spacing w:after="0" w:line="1" w:lineRule="exact"/>
        <w:rPr>
          <w:rFonts w:ascii="Arial" w:cs="Arial" w:eastAsia="Arial" w:hAnsi="Arial"/>
          <w:sz w:val="18"/>
          <w:szCs w:val="18"/>
          <w:u w:val="single" w:color="auto"/>
          <w:color w:val="0000EE"/>
        </w:rPr>
      </w:pPr>
    </w:p>
    <w:p>
      <w:pPr>
        <w:ind w:left="1160" w:hanging="800"/>
        <w:spacing w:after="0" w:line="250" w:lineRule="auto"/>
        <w:tabs>
          <w:tab w:leader="none" w:pos="1140" w:val="left"/>
        </w:tabs>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4">
        <w:r>
          <w:rPr>
            <w:rFonts w:ascii="Arial" w:cs="Arial" w:eastAsia="Arial" w:hAnsi="Arial"/>
            <w:sz w:val="18"/>
            <w:szCs w:val="18"/>
            <w:u w:val="single" w:color="auto"/>
            <w:color w:val="0000EE"/>
          </w:rPr>
          <w:t>First Supplemental Indenture, dated as of January 6, 2020, among Clearway Energy Operating LLC, the guarantors named therein and</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Delaware Trust Company.</w:t>
        </w:r>
      </w:hyperlink>
    </w:p>
    <w:p>
      <w:pPr>
        <w:spacing w:after="0" w:line="1" w:lineRule="exact"/>
        <w:rPr>
          <w:rFonts w:ascii="Arial" w:cs="Arial" w:eastAsia="Arial" w:hAnsi="Arial"/>
          <w:sz w:val="18"/>
          <w:szCs w:val="18"/>
          <w:u w:val="single" w:color="auto"/>
          <w:color w:val="0000EE"/>
        </w:rPr>
      </w:pPr>
    </w:p>
    <w:p>
      <w:pPr>
        <w:ind w:left="5660" w:right="4480" w:hanging="5328"/>
        <w:spacing w:after="0" w:line="762" w:lineRule="auto"/>
        <w:tabs>
          <w:tab w:leader="none" w:pos="1147"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Kevin P. Malcarney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8,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NINTH SUPPLEMENTAL INDENTURE</w:t>
      </w:r>
    </w:p>
    <w:p>
      <w:pPr>
        <w:spacing w:after="0" w:line="21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NINTH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6, 2020, among CBAD Holdings II,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280" w:hanging="624"/>
        <w:spacing w:after="0"/>
        <w:tabs>
          <w:tab w:leader="none" w:pos="128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8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8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firstLine="656"/>
        <w:spacing w:after="0" w:line="264" w:lineRule="auto"/>
        <w:tabs>
          <w:tab w:leader="none" w:pos="141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right="20" w:firstLine="656"/>
        <w:spacing w:after="0" w:line="277" w:lineRule="auto"/>
        <w:tabs>
          <w:tab w:leader="none" w:pos="133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280" w:hanging="624"/>
        <w:spacing w:after="0"/>
        <w:tabs>
          <w:tab w:leader="none" w:pos="128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4" w:lineRule="auto"/>
        <w:tabs>
          <w:tab w:leader="none" w:pos="1454"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44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CBAD HOLDINGS II, LLC</w:t>
      </w:r>
    </w:p>
    <w:p>
      <w:pPr>
        <w:spacing w:after="0" w:line="279"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2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DGPV HOLDING LLC</w:t>
      </w:r>
    </w:p>
    <w:p>
      <w:pPr>
        <w:spacing w:after="0" w:line="279"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2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436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CANADA INFRASTRUCTURE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HAWAII DEVELOPMENT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INFRASTRUCTURE DEVELOPMENT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 FUEL CELL, LLC</w:t>
      </w:r>
    </w:p>
    <w:p>
      <w:pPr>
        <w:spacing w:after="0" w:line="27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28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22225</wp:posOffset>
            </wp:positionV>
            <wp:extent cx="3439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8"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88" w:lineRule="exact"/>
        <w:rPr>
          <w:sz w:val="20"/>
          <w:szCs w:val="20"/>
          <w:color w:val="auto"/>
        </w:rPr>
      </w:pPr>
    </w:p>
    <w:p>
      <w:pPr>
        <w:jc w:val="right"/>
        <w:ind w:right="23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Ninth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6, 2020, among CBAD Holdings II, LLC (the “</w:t>
      </w:r>
      <w:r>
        <w:rPr>
          <w:rFonts w:ascii="Arial" w:cs="Arial" w:eastAsia="Arial" w:hAnsi="Arial"/>
          <w:sz w:val="18"/>
          <w:szCs w:val="18"/>
          <w:i w:val="1"/>
          <w:iCs w:val="1"/>
          <w:color w:val="auto"/>
        </w:rPr>
        <w:t>Guaranteeing</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Subsidiary</w:t>
      </w:r>
      <w:r>
        <w:rPr>
          <w:rFonts w:ascii="Arial" w:cs="Arial" w:eastAsia="Arial" w:hAnsi="Arial"/>
          <w:sz w:val="18"/>
          <w:szCs w:val="18"/>
          <w:color w:val="auto"/>
        </w:rPr>
        <w:t>”), a subsidiary of Clearway Energy Operating LLC (formerly known as NRG Yield Operating LLC) (or its permitted successor), a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640" w:hanging="984"/>
        <w:spacing w:after="0"/>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692"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ind w:firstLine="656"/>
        <w:spacing w:after="0" w:line="26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firstLine="656"/>
        <w:spacing w:after="0" w:line="277" w:lineRule="auto"/>
        <w:tabs>
          <w:tab w:leader="none" w:pos="167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640" w:hanging="984"/>
        <w:spacing w:after="0"/>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56"/>
        <w:spacing w:after="0" w:line="264" w:lineRule="auto"/>
        <w:tabs>
          <w:tab w:leader="none" w:pos="171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CBAD HOLDINGS II, LLC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0"/>
          </w:cols>
          <w:pgMar w:left="1440" w:top="719" w:right="6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Hancock</w:t>
            </w:r>
          </w:p>
        </w:tc>
      </w:tr>
      <w:tr>
        <w:trPr>
          <w:trHeight w:val="224"/>
        </w:trPr>
        <w:tc>
          <w:tcPr>
            <w:tcW w:w="5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14"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6, 2020, among CBAD Holdings II,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600" w:hanging="944"/>
        <w:spacing w:after="0"/>
        <w:tabs>
          <w:tab w:leader="none" w:pos="1600" w:val="left"/>
        </w:tabs>
        <w:numPr>
          <w:ilvl w:val="0"/>
          <w:numId w:val="8"/>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742"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674"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both"/>
        <w:ind w:firstLine="656"/>
        <w:spacing w:after="0" w:line="264" w:lineRule="auto"/>
        <w:tabs>
          <w:tab w:leader="none" w:pos="162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right="20" w:firstLine="656"/>
        <w:spacing w:after="0" w:line="277" w:lineRule="auto"/>
        <w:tabs>
          <w:tab w:leader="none" w:pos="166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4" w:lineRule="auto"/>
        <w:tabs>
          <w:tab w:leader="none" w:pos="168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593" w:val="left"/>
        </w:tabs>
        <w:numPr>
          <w:ilvl w:val="0"/>
          <w:numId w:val="9"/>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CBAD HOLDINGS II, LLC</w:t>
      </w:r>
    </w:p>
    <w:p>
      <w:pPr>
        <w:spacing w:after="0" w:line="252"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23495</wp:posOffset>
            </wp:positionV>
            <wp:extent cx="3249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Name:Chad Plotkin</w:t>
      </w:r>
    </w:p>
    <w:p>
      <w:pPr>
        <w:spacing w:after="0" w:line="3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Vice President &amp; Treasurer</w:t>
      </w:r>
    </w:p>
    <w:p>
      <w:pPr>
        <w:spacing w:after="0" w:line="27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DGPV HOLDING LLC</w:t>
      </w:r>
    </w:p>
    <w:p>
      <w:pPr>
        <w:spacing w:after="0" w:line="279"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23495</wp:posOffset>
            </wp:positionV>
            <wp:extent cx="3249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Name:Chad Plotkin</w:t>
      </w:r>
    </w:p>
    <w:p>
      <w:pPr>
        <w:spacing w:after="0" w:line="3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THERMAL CANADA INFRASTRUCTURE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THERMAL INFRASTRUCTURE DEVELOPMENT HOLDINGS LLC</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266"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23495</wp:posOffset>
            </wp:positionV>
            <wp:extent cx="3319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Name:Chad Plotkin</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&amp; Treasurer</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0"/>
          </w:cols>
          <w:pgMar w:left="1440" w:top="962" w:right="7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52"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48"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-130175</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9" w:lineRule="exact"/>
        <w:rPr>
          <w:sz w:val="20"/>
          <w:szCs w:val="20"/>
          <w:color w:val="auto"/>
        </w:rPr>
      </w:pPr>
    </w:p>
    <w:p>
      <w:pPr>
        <w:jc w:val="right"/>
        <w:ind w:right="23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First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2020-01-08T15:07:54Z</dcterms:created>
  <dcterms:modified xsi:type="dcterms:W3CDTF">2020-01-08T15:07:54Z</dcterms:modified>
</cp:coreProperties>
</file>