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9422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2765"/>
                    </a:xfrm>
                    <a:prstGeom prst="rect">
                      <a:avLst/>
                    </a:prstGeom>
                    <a:noFill/>
                  </pic:spPr>
                </pic:pic>
              </a:graphicData>
            </a:graphic>
          </wp:anchor>
        </w:drawing>
      </w:r>
    </w:p>
    <w:p>
      <w:pPr>
        <w:spacing w:after="0" w:line="91" w:lineRule="exact"/>
        <w:rPr>
          <w:sz w:val="24"/>
          <w:szCs w:val="24"/>
          <w:color w:val="auto"/>
        </w:rPr>
      </w:pPr>
    </w:p>
    <w:p>
      <w:pPr>
        <w:sectPr>
          <w:pgSz w:w="11900" w:h="16878"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TotalEnergies SE</w:t>
        </w:r>
      </w:hyperlink>
    </w:p>
    <w:p>
      <w:pPr>
        <w:spacing w:after="0" w:line="289"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6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 PLACE JEAN MILLIER</w:t>
            </w:r>
          </w:p>
        </w:tc>
        <w:tc>
          <w:tcPr>
            <w:tcW w:w="1520" w:type="dxa"/>
            <w:vAlign w:val="bottom"/>
          </w:tcPr>
          <w:p>
            <w:pPr>
              <w:spacing w:after="0"/>
              <w:rPr>
                <w:sz w:val="22"/>
                <w:szCs w:val="22"/>
                <w:color w:val="auto"/>
              </w:rPr>
            </w:pPr>
          </w:p>
        </w:tc>
      </w:tr>
      <w:tr>
        <w:trPr>
          <w:trHeight w:val="252"/>
        </w:trPr>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LA DEFENSE 6</w:t>
            </w:r>
          </w:p>
        </w:tc>
        <w:tc>
          <w:tcPr>
            <w:tcW w:w="9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44"/>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54"/>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COURBEVOIE</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I0</w:t>
            </w:r>
          </w:p>
        </w:tc>
        <w:tc>
          <w:tcPr>
            <w:tcW w:w="15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92400</w:t>
            </w:r>
          </w:p>
        </w:tc>
      </w:tr>
      <w:tr>
        <w:trPr>
          <w:trHeight w:val="144"/>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6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3820" w:type="dxa"/>
            <w:vAlign w:val="bottom"/>
            <w:gridSpan w:val="4"/>
          </w:tcPr>
          <w:p>
            <w:pPr>
              <w:ind w:left="60"/>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Clearway Energy,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20" w:type="dxa"/>
            <w:vAlign w:val="bottom"/>
            <w:tcBorders>
              <w:top w:val="single" w:sz="8" w:color="0000EE"/>
              <w:bottom w:val="single" w:sz="8" w:color="2C2C2C"/>
            </w:tcBorders>
          </w:tcPr>
          <w:p>
            <w:pPr>
              <w:spacing w:after="0"/>
              <w:rPr>
                <w:sz w:val="9"/>
                <w:szCs w:val="9"/>
                <w:color w:val="auto"/>
              </w:rPr>
            </w:pPr>
          </w:p>
        </w:tc>
        <w:tc>
          <w:tcPr>
            <w:tcW w:w="1680" w:type="dxa"/>
            <w:vAlign w:val="bottom"/>
            <w:tcBorders>
              <w:top w:val="single" w:sz="8" w:color="0000EE"/>
              <w:bottom w:val="single" w:sz="8" w:color="2C2C2C"/>
            </w:tcBorders>
          </w:tcPr>
          <w:p>
            <w:pPr>
              <w:spacing w:after="0"/>
              <w:rPr>
                <w:sz w:val="9"/>
                <w:szCs w:val="9"/>
                <w:color w:val="auto"/>
              </w:rPr>
            </w:pPr>
          </w:p>
        </w:tc>
        <w:tc>
          <w:tcPr>
            <w:tcW w:w="19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ind w:left="400"/>
              <w:spacing w:after="0" w:line="86" w:lineRule="exact"/>
              <w:rPr>
                <w:sz w:val="20"/>
                <w:szCs w:val="20"/>
                <w:color w:val="auto"/>
              </w:rPr>
            </w:pPr>
            <w:r>
              <w:rPr>
                <w:rFonts w:ascii="Arial" w:cs="Arial" w:eastAsia="Arial" w:hAnsi="Arial"/>
                <w:sz w:val="9"/>
                <w:szCs w:val="9"/>
                <w:color w:val="auto"/>
              </w:rPr>
              <w:t>Director</w:t>
            </w:r>
          </w:p>
        </w:tc>
        <w:tc>
          <w:tcPr>
            <w:tcW w:w="1460" w:type="dxa"/>
            <w:vAlign w:val="bottom"/>
          </w:tcPr>
          <w:p>
            <w:pPr>
              <w:ind w:left="340"/>
              <w:spacing w:after="0" w:line="86" w:lineRule="exact"/>
              <w:rPr>
                <w:sz w:val="20"/>
                <w:szCs w:val="20"/>
                <w:color w:val="auto"/>
              </w:rPr>
            </w:pPr>
            <w:r>
              <w:rPr>
                <w:rFonts w:ascii="Arial" w:cs="Arial" w:eastAsia="Arial" w:hAnsi="Arial"/>
                <w:sz w:val="9"/>
                <w:szCs w:val="9"/>
                <w:color w:val="auto"/>
              </w:rPr>
              <w:t>10% Owner</w:t>
            </w: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r>
      <w:tr>
        <w:trPr>
          <w:trHeight w:val="214"/>
        </w:trPr>
        <w:tc>
          <w:tcPr>
            <w:tcW w:w="18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06/26/2024</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1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60"/>
        <w:spacing w:after="0" w:line="28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78" w:orient="portrait"/>
          <w:cols w:equalWidth="0" w:num="2">
            <w:col w:w="3760" w:space="8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gridSpan w:val="2"/>
          </w:tcPr>
          <w:p>
            <w:pPr>
              <w:ind w:left="2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2"/>
          </w:tcPr>
          <w:p>
            <w:pPr>
              <w:ind w:left="2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jc w:val="center"/>
              <w:ind w:right="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gridSpan w:val="4"/>
            <w:vMerge w:val="restart"/>
          </w:tcPr>
          <w:p>
            <w:pPr>
              <w:ind w:left="760"/>
              <w:spacing w:after="0"/>
              <w:rPr>
                <w:sz w:val="20"/>
                <w:szCs w:val="20"/>
                <w:color w:val="auto"/>
              </w:rPr>
            </w:pPr>
            <w:r>
              <w:rPr>
                <w:rFonts w:ascii="Times New Roman" w:cs="Times New Roman" w:eastAsia="Times New Roman" w:hAnsi="Times New Roman"/>
                <w:sz w:val="16"/>
                <w:szCs w:val="16"/>
                <w:color w:val="0000FF"/>
              </w:rPr>
              <w:t>06/26/2024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375,000</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jc w:val="right"/>
              <w:ind w:right="178"/>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20"/>
                <w:szCs w:val="20"/>
                <w:color w:val="auto"/>
              </w:rPr>
            </w:pPr>
          </w:p>
        </w:tc>
        <w:tc>
          <w:tcPr>
            <w:tcW w:w="118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6"/>
                <w:szCs w:val="16"/>
                <w:color w:val="0000FF"/>
              </w:rPr>
              <w:t>435,152</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6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tcBorders>
              <w:top w:val="single" w:sz="8" w:color="2C2C2C"/>
            </w:tcBorders>
            <w:gridSpan w:val="4"/>
            <w:vMerge w:val="restart"/>
          </w:tcPr>
          <w:p>
            <w:pPr>
              <w:ind w:left="760"/>
              <w:spacing w:after="0"/>
              <w:rPr>
                <w:sz w:val="20"/>
                <w:szCs w:val="20"/>
                <w:color w:val="auto"/>
              </w:rPr>
            </w:pPr>
            <w:r>
              <w:rPr>
                <w:rFonts w:ascii="Times New Roman" w:cs="Times New Roman" w:eastAsia="Times New Roman" w:hAnsi="Times New Roman"/>
                <w:sz w:val="16"/>
                <w:szCs w:val="16"/>
                <w:color w:val="0000FF"/>
              </w:rPr>
              <w:t>06/28/2024</w:t>
            </w: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(4)</w:t>
            </w:r>
          </w:p>
        </w:tc>
        <w:tc>
          <w:tcPr>
            <w:tcW w:w="72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6"/>
                <w:szCs w:val="16"/>
                <w:color w:val="0000FF"/>
              </w:rPr>
              <w:t>375,000</w:t>
            </w:r>
          </w:p>
        </w:tc>
        <w:tc>
          <w:tcPr>
            <w:tcW w:w="600" w:type="dxa"/>
            <w:vAlign w:val="bottom"/>
            <w:tcBorders>
              <w:top w:val="single" w:sz="8" w:color="2C2C2C"/>
            </w:tcBorders>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24.69</w:t>
            </w:r>
          </w:p>
        </w:tc>
        <w:tc>
          <w:tcPr>
            <w:tcW w:w="20" w:type="dxa"/>
            <w:vAlign w:val="bottom"/>
            <w:tcBorders>
              <w:top w:val="single" w:sz="8" w:color="2C2C2C"/>
            </w:tcBorders>
          </w:tcPr>
          <w:p>
            <w:pPr>
              <w:spacing w:after="0"/>
              <w:rPr>
                <w:sz w:val="20"/>
                <w:szCs w:val="20"/>
                <w:color w:val="auto"/>
              </w:rPr>
            </w:pPr>
          </w:p>
        </w:tc>
        <w:tc>
          <w:tcPr>
            <w:tcW w:w="1180" w:type="dxa"/>
            <w:vAlign w:val="bottom"/>
            <w:tcBorders>
              <w:top w:val="single" w:sz="8" w:color="2C2C2C"/>
            </w:tcBorders>
            <w:gridSpan w:val="2"/>
            <w:vMerge w:val="restart"/>
          </w:tcPr>
          <w:p>
            <w:pPr>
              <w:jc w:val="right"/>
              <w:ind w:right="343"/>
              <w:spacing w:after="0"/>
              <w:rPr>
                <w:sz w:val="20"/>
                <w:szCs w:val="20"/>
                <w:color w:val="auto"/>
              </w:rPr>
            </w:pPr>
            <w:r>
              <w:rPr>
                <w:rFonts w:ascii="Times New Roman" w:cs="Times New Roman" w:eastAsia="Times New Roman" w:hAnsi="Times New Roman"/>
                <w:sz w:val="16"/>
                <w:szCs w:val="16"/>
                <w:color w:val="0000FF"/>
              </w:rPr>
              <w:t>60,152</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20" w:type="dxa"/>
            <w:vAlign w:val="bottom"/>
            <w:gridSpan w:val="14"/>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20" w:type="dxa"/>
            <w:vAlign w:val="bottom"/>
            <w:gridSpan w:val="11"/>
          </w:tcPr>
          <w:p>
            <w:pPr>
              <w:ind w:left="3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D</w:t>
            </w: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 of</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right"/>
              <w:ind w:right="278"/>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ind w:right="40"/>
              <w:spacing w:after="0" w:line="139" w:lineRule="exact"/>
              <w:rPr>
                <w:sz w:val="20"/>
                <w:szCs w:val="20"/>
                <w:color w:val="auto"/>
              </w:rPr>
            </w:pPr>
            <w:r>
              <w:rPr>
                <w:rFonts w:ascii="Times New Roman" w:cs="Times New Roman" w:eastAsia="Times New Roman" w:hAnsi="Times New Roman"/>
                <w:sz w:val="13"/>
                <w:szCs w:val="13"/>
                <w:color w:val="0000FF"/>
                <w:w w:val="94"/>
              </w:rPr>
              <w:t>Class C</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375,000</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Clearway</w:t>
            </w:r>
          </w:p>
        </w:tc>
        <w:tc>
          <w:tcPr>
            <w:tcW w:w="840" w:type="dxa"/>
            <w:vAlign w:val="bottom"/>
            <w:vMerge w:val="continue"/>
          </w:tcPr>
          <w:p>
            <w:pPr>
              <w:spacing w:after="0"/>
              <w:rPr>
                <w:sz w:val="3"/>
                <w:szCs w:val="3"/>
                <w:color w:val="auto"/>
              </w:rPr>
            </w:pP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06/26/2024</w:t>
            </w: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375,000</w:t>
            </w:r>
          </w:p>
        </w:tc>
        <w:tc>
          <w:tcPr>
            <w:tcW w:w="7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41,961,750</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3"/>
                <w:szCs w:val="3"/>
                <w:color w:val="auto"/>
              </w:rPr>
            </w:pPr>
          </w:p>
        </w:tc>
        <w:tc>
          <w:tcPr>
            <w:tcW w:w="8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right w:val="single" w:sz="8" w:color="2C2C2C"/>
            </w:tcBorders>
            <w:gridSpan w:val="3"/>
            <w:vMerge w:val="restart"/>
          </w:tcPr>
          <w:p>
            <w:pPr>
              <w:spacing w:after="0" w:line="156" w:lineRule="exact"/>
              <w:rPr>
                <w:sz w:val="20"/>
                <w:szCs w:val="20"/>
                <w:color w:val="auto"/>
              </w:rPr>
            </w:pPr>
            <w:r>
              <w:rPr>
                <w:rFonts w:ascii="Times New Roman" w:cs="Times New Roman" w:eastAsia="Times New Roman" w:hAnsi="Times New Roman"/>
                <w:sz w:val="12"/>
                <w:szCs w:val="12"/>
                <w:color w:val="0000FF"/>
              </w:rPr>
              <w:t>footnotes</w:t>
            </w:r>
            <w:r>
              <w:rPr>
                <w:rFonts w:ascii="Times New Roman" w:cs="Times New Roman" w:eastAsia="Times New Roman" w:hAnsi="Times New Roman"/>
                <w:sz w:val="18"/>
                <w:szCs w:val="18"/>
                <w:color w:val="008000"/>
                <w:vertAlign w:val="superscript"/>
              </w:rPr>
              <w:t>(2)(3)</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tcPr>
          <w:p>
            <w:pPr>
              <w:ind w:left="60"/>
              <w:spacing w:after="0" w:line="76" w:lineRule="exact"/>
              <w:rPr>
                <w:sz w:val="20"/>
                <w:szCs w:val="20"/>
                <w:color w:val="auto"/>
              </w:rPr>
            </w:pPr>
            <w:r>
              <w:rPr>
                <w:rFonts w:ascii="Times New Roman" w:cs="Times New Roman" w:eastAsia="Times New Roman" w:hAnsi="Times New Roman"/>
                <w:sz w:val="8"/>
                <w:szCs w:val="8"/>
                <w:color w:val="0000FF"/>
              </w:rPr>
              <w:t>Energy</w:t>
            </w:r>
          </w:p>
        </w:tc>
        <w:tc>
          <w:tcPr>
            <w:tcW w:w="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5"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20"/>
              <w:spacing w:after="0" w:line="214" w:lineRule="exact"/>
              <w:rPr>
                <w:rFonts w:ascii="Times New Roman" w:cs="Times New Roman" w:eastAsia="Times New Roman" w:hAnsi="Times New Roman"/>
                <w:sz w:val="20"/>
                <w:szCs w:val="20"/>
                <w:color w:val="0000EE"/>
                <w:w w:val="98"/>
              </w:rPr>
            </w:pPr>
            <w:hyperlink r:id="rId12">
              <w:r>
                <w:rPr>
                  <w:rFonts w:ascii="Times New Roman" w:cs="Times New Roman" w:eastAsia="Times New Roman" w:hAnsi="Times New Roman"/>
                  <w:sz w:val="20"/>
                  <w:szCs w:val="20"/>
                  <w:color w:val="0000EE"/>
                  <w:w w:val="98"/>
                </w:rPr>
                <w:t>TotalEnergies SE</w:t>
              </w:r>
            </w:hyperlink>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(First)</w:t>
            </w:r>
          </w:p>
        </w:tc>
        <w:tc>
          <w:tcPr>
            <w:tcW w:w="36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 PLACE JEAN MILLIER</w:t>
            </w: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LA DEFENSE 6</w:t>
            </w: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COURBEVOIE</w:t>
            </w:r>
          </w:p>
        </w:tc>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I0</w:t>
            </w:r>
          </w:p>
        </w:tc>
        <w:tc>
          <w:tcPr>
            <w:tcW w:w="10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92400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(State)</w:t>
            </w:r>
          </w:p>
        </w:tc>
        <w:tc>
          <w:tcPr>
            <w:tcW w:w="36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7"/>
          </w:tcPr>
          <w:p>
            <w:pPr>
              <w:ind w:left="20"/>
              <w:spacing w:after="0" w:line="21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TotalEnergies Gestion USA SARL</w:t>
              </w:r>
            </w:hyperlink>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(First)</w:t>
            </w:r>
          </w:p>
        </w:tc>
        <w:tc>
          <w:tcPr>
            <w:tcW w:w="36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 PLACE JEAN MILLIER</w:t>
            </w: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LA DEFENSE 6</w:t>
            </w: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COURBEVOIE</w:t>
            </w:r>
          </w:p>
        </w:tc>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I0</w:t>
            </w:r>
          </w:p>
        </w:tc>
        <w:tc>
          <w:tcPr>
            <w:tcW w:w="10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92400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(State)</w:t>
            </w:r>
          </w:p>
        </w:tc>
        <w:tc>
          <w:tcPr>
            <w:tcW w:w="36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7"/>
          </w:tcPr>
          <w:p>
            <w:pPr>
              <w:ind w:left="20"/>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TotalEnergies Holdings USA, Inc.</w:t>
              </w:r>
            </w:hyperlink>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(First)</w:t>
            </w:r>
          </w:p>
        </w:tc>
        <w:tc>
          <w:tcPr>
            <w:tcW w:w="36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-5889625</wp:posOffset>
            </wp:positionV>
            <wp:extent cx="28575" cy="190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1904365"/>
                    </a:xfrm>
                    <a:prstGeom prst="rect">
                      <a:avLst/>
                    </a:prstGeom>
                    <a:noFill/>
                  </pic:spPr>
                </pic:pic>
              </a:graphicData>
            </a:graphic>
          </wp:anchor>
        </w:drawing>
      </w:r>
    </w:p>
    <w:p>
      <w:pPr>
        <w:sectPr>
          <w:pgSz w:w="11900" w:h="16878" w:orient="portrait"/>
          <w:cols w:equalWidth="0" w:num="1">
            <w:col w:w="11080"/>
          </w:cols>
          <w:pgMar w:left="460" w:top="215" w:right="359" w:bottom="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1201 LOUISIANA ST. SUITE 1800,</w:t>
      </w:r>
    </w:p>
    <w:p>
      <w:pPr>
        <w:sectPr>
          <w:pgSz w:w="11900" w:h="1687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4"/>
        </w:trPr>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TX</w:t>
            </w:r>
          </w:p>
        </w:tc>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77002</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gridSpan w:val="2"/>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620" w:type="dxa"/>
            <w:vAlign w:val="bottom"/>
            <w:gridSpan w:val="4"/>
          </w:tcPr>
          <w:p>
            <w:pPr>
              <w:ind w:left="20"/>
              <w:spacing w:after="0" w:line="214"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TotalEnergies Delaware, Inc.</w:t>
              </w:r>
            </w:hyperlink>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32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1201 LOUISIANA ST. SUITE 1800,</w:t>
            </w: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TX</w:t>
            </w:r>
          </w:p>
        </w:tc>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77002</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07335" cy="3922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7335" cy="3922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TotalEnergies Renewables USA, LLC</w:t>
        </w:r>
      </w:hyperlink>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520" w:type="dxa"/>
            <w:vAlign w:val="bottom"/>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1201 LOUISIANA ST. SUITE 1800,</w:t>
            </w:r>
          </w:p>
        </w:tc>
        <w:tc>
          <w:tcPr>
            <w:tcW w:w="1560" w:type="dxa"/>
            <w:vAlign w:val="bottom"/>
          </w:tcPr>
          <w:p>
            <w:pPr>
              <w:spacing w:after="0"/>
              <w:rPr>
                <w:sz w:val="22"/>
                <w:szCs w:val="22"/>
                <w:color w:val="auto"/>
              </w:rPr>
            </w:pPr>
          </w:p>
        </w:tc>
      </w:tr>
      <w:tr>
        <w:trPr>
          <w:trHeight w:val="194"/>
        </w:trPr>
        <w:tc>
          <w:tcPr>
            <w:tcW w:w="20" w:type="dxa"/>
            <w:vAlign w:val="bottom"/>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r>
      <w:tr>
        <w:trPr>
          <w:trHeight w:val="254"/>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5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TX</w:t>
            </w:r>
          </w:p>
        </w:tc>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77002</w:t>
            </w:r>
          </w:p>
        </w:tc>
      </w:tr>
      <w:tr>
        <w:trPr>
          <w:trHeight w:val="144"/>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520" w:type="dxa"/>
            <w:vAlign w:val="bottom"/>
          </w:tcPr>
          <w:p>
            <w:pPr>
              <w:ind w:left="320"/>
              <w:spacing w:after="0"/>
              <w:rPr>
                <w:sz w:val="20"/>
                <w:szCs w:val="20"/>
                <w:color w:val="auto"/>
              </w:rPr>
            </w:pPr>
            <w:r>
              <w:rPr>
                <w:rFonts w:ascii="Arial" w:cs="Arial" w:eastAsia="Arial" w:hAnsi="Arial"/>
                <w:sz w:val="13"/>
                <w:szCs w:val="13"/>
                <w:color w:val="auto"/>
              </w:rPr>
              <w:t>(State)</w:t>
            </w:r>
          </w:p>
        </w:tc>
        <w:tc>
          <w:tcPr>
            <w:tcW w:w="156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63"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an Amended and Restated Exchange Agreement, dated as of May 14, 2015, among the Issuer, Clearway Energy LLC, and other parties thereto (the "Exchange Agreement"), the Class D Units of Clearway Energy LLC are exchangeable at any time for shares of Class C Common Stock on a one-for-one basis, subject to equitable adjustments for stock splits, stock dividends and reclassifications. As the holder exchanges the Class D Units for shares of Class C Common Stock pursuant to the Exchange Agreement, an equivalent number of shares of Class D Common Stock issued to the holder will automatically be canceled.</w:t>
      </w:r>
    </w:p>
    <w:p>
      <w:pPr>
        <w:spacing w:after="0" w:line="12" w:lineRule="exact"/>
        <w:rPr>
          <w:rFonts w:ascii="Times New Roman" w:cs="Times New Roman" w:eastAsia="Times New Roman" w:hAnsi="Times New Roman"/>
          <w:sz w:val="12"/>
          <w:szCs w:val="12"/>
          <w:color w:val="008000"/>
        </w:rPr>
      </w:pPr>
    </w:p>
    <w:p>
      <w:pPr>
        <w:ind w:left="20" w:right="10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LLC ("Clearway Energy Group"). GIP III Zephyr Acquisition Partners, L.P. ("Zephyr") is the sole member of Clearway Energy Group. Zephyr Holdings GP, LLC ("Zephyr GP") is the general partner of Zephyr.</w:t>
      </w:r>
    </w:p>
    <w:p>
      <w:pPr>
        <w:spacing w:after="0" w:line="22" w:lineRule="exact"/>
        <w:rPr>
          <w:rFonts w:ascii="Times New Roman" w:cs="Times New Roman" w:eastAsia="Times New Roman" w:hAnsi="Times New Roman"/>
          <w:sz w:val="13"/>
          <w:szCs w:val="13"/>
          <w:color w:val="008000"/>
        </w:rPr>
      </w:pPr>
    </w:p>
    <w:p>
      <w:pPr>
        <w:ind w:left="20" w:right="200" w:hanging="2"/>
        <w:spacing w:after="0" w:line="256"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pacing w:after="0" w:line="15" w:lineRule="exact"/>
        <w:rPr>
          <w:rFonts w:ascii="Times New Roman" w:cs="Times New Roman" w:eastAsia="Times New Roman" w:hAnsi="Times New Roman"/>
          <w:sz w:val="12"/>
          <w:szCs w:val="12"/>
          <w:color w:val="008000"/>
        </w:rPr>
      </w:pPr>
    </w:p>
    <w:p>
      <w:pPr>
        <w:ind w:left="20" w:right="8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shares of restricted stock of the Issuer granted by Clearway Energy Group under its Long Term Equity Incentive Program to one or more of its employees. The Reporting Persons have agreed to voluntarily disgorge any profits deemed realized from such transactions to the Issuer.</w:t>
      </w:r>
    </w:p>
    <w:p>
      <w:pPr>
        <w:sectPr>
          <w:pgSz w:w="11900" w:h="16838" w:orient="portrait"/>
          <w:cols w:equalWidth="0" w:num="1">
            <w:col w:w="10880"/>
          </w:cols>
          <w:pgMar w:left="480" w:top="442" w:right="539" w:bottom="1440" w:gutter="0" w:footer="0" w:header="0"/>
        </w:sectPr>
      </w:pPr>
    </w:p>
    <w:p>
      <w:pPr>
        <w:spacing w:after="0" w:line="4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280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Marine Delaitre Name: Marine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89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Delaitre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075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403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40386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TOTALENERGIES GESTION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3030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USA SARL By: /s/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846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Name: Eric Bozec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3695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695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8324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HOLDINGS USA,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220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Richard Frazier Name: 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07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Frazier 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671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6715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8324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20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Richard Frazier Name: 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07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Frazier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601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8324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RENEWABLES USA,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455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076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0763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Richard Frazier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150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70" w:lineRule="exact"/>
        <w:rPr>
          <w:sz w:val="20"/>
          <w:szCs w:val="20"/>
          <w:color w:val="auto"/>
        </w:rPr>
      </w:pPr>
    </w:p>
    <w:p>
      <w:pPr>
        <w:sectPr>
          <w:pgSz w:w="11900" w:h="16838" w:orient="portrait"/>
          <w:cols w:equalWidth="0" w:num="2">
            <w:col w:w="8740" w:space="40"/>
            <w:col w:w="2100"/>
          </w:cols>
          <w:pgMar w:left="480" w:top="442" w:right="53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0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442"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5" Type="http://schemas.openxmlformats.org/officeDocument/2006/relationships/hyperlink" Target="http://www.sec.gov/cgi-bin/browse-edgar?action=getcompany&amp;CIK=0001942439" TargetMode="External"/><Relationship Id="rId17"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2024-06-28T19:59:16Z</dcterms:created>
  <dcterms:modified xsi:type="dcterms:W3CDTF">2024-06-28T19:59:16Z</dcterms:modified>
</cp:coreProperties>
</file>