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200" w:val="left"/>
        </w:tabs>
        <w:rPr>
          <w:sz w:val="20"/>
          <w:szCs w:val="20"/>
          <w:color w:val="auto"/>
        </w:rPr>
      </w:pPr>
      <w:r>
        <w:rPr>
          <w:rFonts w:ascii="Arial" w:cs="Arial" w:eastAsia="Arial" w:hAnsi="Arial"/>
          <w:sz w:val="22"/>
          <w:szCs w:val="22"/>
          <w:b w:val="1"/>
          <w:bCs w:val="1"/>
          <w:color w:val="auto"/>
        </w:rPr>
        <w:t>(Amendment No.</w:t>
        <w:tab/>
        <w:t>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CLEARWAY ENERGY INC-C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49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-177800</wp:posOffset>
            </wp:positionV>
            <wp:extent cx="7132320" cy="254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825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520" w:space="440"/>
            <w:col w:w="10280"/>
          </w:cols>
          <w:pgMar w:left="320" w:top="517" w:right="339" w:bottom="1440" w:gutter="0" w:footer="0" w:header="0"/>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22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14705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0.04%</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 w:name="page3"/>
    <w:bookmarkEnd w:id="2"/>
    <w:p>
      <w:pPr>
        <w:spacing w:after="0" w:line="308" w:lineRule="auto"/>
        <w:rPr>
          <w:sz w:val="20"/>
          <w:szCs w:val="20"/>
          <w:color w:val="auto"/>
        </w:rPr>
      </w:pPr>
      <w:r>
        <w:rPr>
          <w:rFonts w:ascii="Arial" w:cs="Arial" w:eastAsia="Arial" w:hAnsi="Arial"/>
          <w:sz w:val="17"/>
          <w:szCs w:val="17"/>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-177800</wp:posOffset>
            </wp:positionV>
            <wp:extent cx="7132320" cy="254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825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520" w:space="440"/>
            <w:col w:w="10280"/>
          </w:cols>
          <w:pgMar w:left="320" w:top="517" w:right="339" w:bottom="1440" w:gutter="0" w:footer="0" w:header="0"/>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22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14705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0.04%</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CLEARWAY ENERGY INC</w:t>
      </w:r>
    </w:p>
    <w:p>
      <w:pPr>
        <w:spacing w:after="0" w:line="237" w:lineRule="exact"/>
        <w:rPr>
          <w:rFonts w:ascii="Arial" w:cs="Arial" w:eastAsia="Arial" w:hAnsi="Arial"/>
          <w:sz w:val="18"/>
          <w:szCs w:val="18"/>
          <w:color w:val="auto"/>
        </w:rPr>
      </w:pPr>
    </w:p>
    <w:p>
      <w:pPr>
        <w:ind w:left="1300" w:right="6480" w:hanging="644"/>
        <w:spacing w:after="0" w:line="26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300 CARNEGIE CENTER, SUITE 300 PRINCETON NJ 08540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spacing w:after="0"/>
        <w:rPr>
          <w:rFonts w:ascii="Arial" w:cs="Arial" w:eastAsia="Arial" w:hAnsi="Arial"/>
          <w:sz w:val="16"/>
          <w:szCs w:val="16"/>
          <w:color w:val="auto"/>
        </w:rPr>
      </w:pPr>
      <w:r>
        <w:rPr>
          <w:rFonts w:ascii="Arial" w:cs="Arial" w:eastAsia="Arial" w:hAnsi="Arial"/>
          <w:sz w:val="18"/>
          <w:szCs w:val="18"/>
          <w:color w:val="auto"/>
        </w:rPr>
        <w:t>Neuberger Berman Investment Advisers LLC</w:t>
      </w:r>
    </w:p>
    <w:p>
      <w:pPr>
        <w:spacing w:after="0" w:line="237"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18539C204</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14,705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0.04%</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14,705</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14,705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200"/>
          </w:cols>
          <w:pgMar w:left="320" w:top="756" w:right="3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11, 2021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4920" w:space="720"/>
            <w:col w:w="5560"/>
          </w:cols>
          <w:pgMar w:left="320" w:top="75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200"/>
          </w:cols>
          <w:pgMar w:left="320" w:top="756" w:right="37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11, 2021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4920" w:space="720"/>
            <w:col w:w="260" w:space="80"/>
            <w:col w:w="5220"/>
          </w:cols>
          <w:pgMar w:left="320" w:top="756" w:right="37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right="40"/>
        <w:spacing w:after="0" w:line="270" w:lineRule="auto"/>
        <w:rPr>
          <w:sz w:val="20"/>
          <w:szCs w:val="20"/>
          <w:color w:val="auto"/>
        </w:rPr>
      </w:pPr>
      <w:r>
        <w:rPr>
          <w:rFonts w:ascii="Arial" w:cs="Arial" w:eastAsia="Arial" w:hAnsi="Arial"/>
          <w:sz w:val="17"/>
          <w:szCs w:val="17"/>
          <w:color w:val="auto"/>
        </w:rPr>
        <w:t>Neuberger Berman Trust Co N.A., Neuberger Berman Trust Co of Delaware N.A., Neuberger Berman Asia Ltd., Neuberger Berman Breton Hill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Breton Hill ULC, Neuberger Berman Trust Co of Delaware N.A. and Neuberger Berman Investment Advisers LLC and certain affiliated persons.</w:t>
      </w:r>
    </w:p>
    <w:p>
      <w:pPr>
        <w:spacing w:after="0" w:line="178" w:lineRule="exact"/>
        <w:rPr>
          <w:sz w:val="20"/>
          <w:szCs w:val="20"/>
          <w:color w:val="auto"/>
        </w:rPr>
      </w:pPr>
    </w:p>
    <w:p>
      <w:pPr>
        <w:ind w:left="860" w:right="6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Investment Advisers Holdings LLC, Neuberger Trust Holdings LLC, Neuberger Berman Trust Co N.A., Neuberger Berman Asia Ltd., Neuberger Berman Breton Hill ULC, Neuberger Berman Trust Co of Delaware N.A. and Neuberger Berman Investment Advisers LLC and certain affiliated persons disclaim beneficial ownership of the securities covered by this statement pursuant to Exchange Act Rule 13d-4.</w:t>
      </w:r>
    </w:p>
    <w:p>
      <w:pPr>
        <w:spacing w:after="0" w:line="188" w:lineRule="exact"/>
        <w:rPr>
          <w:sz w:val="20"/>
          <w:szCs w:val="20"/>
          <w:color w:val="auto"/>
        </w:rPr>
      </w:pPr>
    </w:p>
    <w:p>
      <w:pPr>
        <w:ind w:left="860"/>
        <w:spacing w:after="0" w:line="273" w:lineRule="auto"/>
        <w:rPr>
          <w:sz w:val="20"/>
          <w:szCs w:val="20"/>
          <w:color w:val="auto"/>
        </w:rPr>
      </w:pPr>
      <w:r>
        <w:rPr>
          <w:rFonts w:ascii="Arial" w:cs="Arial" w:eastAsia="Arial" w:hAnsi="Arial"/>
          <w:sz w:val="17"/>
          <w:szCs w:val="17"/>
          <w:color w:val="auto"/>
        </w:rPr>
        <w:t>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Breton Hill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sectPr>
      <w:pgSz w:w="11900" w:h="16838" w:orient="portrait"/>
      <w:cols w:equalWidth="0" w:num="1">
        <w:col w:w="11200"/>
      </w:cols>
      <w:pgMar w:left="320" w:top="75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2021-02-11T14:53:48Z</dcterms:created>
  <dcterms:modified xsi:type="dcterms:W3CDTF">2021-02-11T14:53:48Z</dcterms:modified>
</cp:coreProperties>
</file>