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9,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33"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33" w:right="339" w:bottom="1440" w:gutter="0" w:footer="0" w:header="0"/>
          <w:type w:val="continuous"/>
        </w:sectPr>
      </w:pPr>
    </w:p>
    <w:p>
      <w:pPr>
        <w:ind w:left="1200"/>
        <w:spacing w:after="0"/>
        <w:rPr>
          <w:sz w:val="20"/>
          <w:szCs w:val="20"/>
          <w:color w:val="auto"/>
        </w:rPr>
      </w:pPr>
      <w:r>
        <w:rPr>
          <w:rFonts w:ascii="Arial" w:cs="Arial" w:eastAsia="Arial" w:hAnsi="Arial"/>
          <w:sz w:val="18"/>
          <w:szCs w:val="18"/>
          <w:color w:val="auto"/>
        </w:rPr>
        <w:t>of 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33"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498" w:lineRule="auto"/>
        <w:tabs>
          <w:tab w:leader="none" w:pos="3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0" w:type="dxa"/>
            <w:vAlign w:val="bottom"/>
          </w:tcPr>
          <w:p>
            <w:pPr>
              <w:spacing w:after="0"/>
              <w:rPr>
                <w:sz w:val="18"/>
                <w:szCs w:val="18"/>
                <w:color w:val="auto"/>
              </w:rPr>
            </w:pPr>
          </w:p>
        </w:tc>
        <w:tc>
          <w:tcPr>
            <w:tcW w:w="3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c>
          <w:tcPr>
            <w:tcW w:w="0" w:type="dxa"/>
            <w:vAlign w:val="bottom"/>
          </w:tcPr>
          <w:p>
            <w:pPr>
              <w:spacing w:after="0"/>
              <w:rPr>
                <w:sz w:val="1"/>
                <w:szCs w:val="1"/>
                <w:color w:val="auto"/>
              </w:rPr>
            </w:pPr>
          </w:p>
        </w:tc>
      </w:tr>
      <w:tr>
        <w:trPr>
          <w:trHeight w:val="126"/>
        </w:trPr>
        <w:tc>
          <w:tcPr>
            <w:tcW w:w="3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3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registered</w:t>
            </w:r>
          </w:p>
        </w:tc>
        <w:tc>
          <w:tcPr>
            <w:tcW w:w="0" w:type="dxa"/>
            <w:vAlign w:val="bottom"/>
          </w:tcPr>
          <w:p>
            <w:pPr>
              <w:spacing w:after="0"/>
              <w:rPr>
                <w:sz w:val="1"/>
                <w:szCs w:val="1"/>
                <w:color w:val="auto"/>
              </w:rPr>
            </w:pPr>
          </w:p>
        </w:tc>
      </w:tr>
      <w:tr>
        <w:trPr>
          <w:trHeight w:val="108"/>
        </w:trPr>
        <w:tc>
          <w:tcPr>
            <w:tcW w:w="3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620" w:type="dxa"/>
            <w:vAlign w:val="bottom"/>
          </w:tcPr>
          <w:p>
            <w:pPr>
              <w:jc w:val="center"/>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20" w:type="dxa"/>
            <w:vAlign w:val="bottom"/>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7"/>
              </w:rPr>
              <w:t>CWEN.A</w:t>
            </w:r>
          </w:p>
        </w:tc>
        <w:tc>
          <w:tcPr>
            <w:tcW w:w="200" w:type="dxa"/>
            <w:vAlign w:val="bottom"/>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30"/>
        </w:trPr>
        <w:tc>
          <w:tcPr>
            <w:tcW w:w="3620" w:type="dxa"/>
            <w:vAlign w:val="bottom"/>
          </w:tcPr>
          <w:p>
            <w:pPr>
              <w:jc w:val="center"/>
              <w:spacing w:after="0"/>
              <w:rPr>
                <w:sz w:val="20"/>
                <w:szCs w:val="20"/>
                <w:color w:val="auto"/>
              </w:rPr>
            </w:pPr>
            <w:r>
              <w:rPr>
                <w:rFonts w:ascii="Arial" w:cs="Arial" w:eastAsia="Arial" w:hAnsi="Arial"/>
                <w:sz w:val="18"/>
                <w:szCs w:val="18"/>
                <w:color w:val="auto"/>
                <w:w w:val="90"/>
              </w:rPr>
              <w:t>Class C Common Stock, par value $0.01</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CWEN</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202" w:lineRule="exact"/>
        <w:rPr>
          <w:sz w:val="24"/>
          <w:szCs w:val="24"/>
          <w:color w:val="auto"/>
        </w:rPr>
      </w:pPr>
    </w:p>
    <w:p>
      <w:pPr>
        <w:jc w:val="both"/>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8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On March 9, 2021, Clearway Energy Operating LLC (“Clearway Operating”), a subsidiary of Clearway Energy, Inc., completed the sale of $925 million aggregate principal amount of 3.750% senior notes due 2031 (the “Senior Notes”) pursuant to the terms of the purchase agreement, dated March 2, 2021 (the “Purchase Agreement”), among Clearway Operating, the guarantors named therein and the initial purchasers named therein (the “Initial Purchasers”). The Senior Notes were issued under an Indenture, dated March 9, 2021 (the “Indenture”), among Clearway Operating, the guarantors named therein and Delaware Trust Company, as trustee (the “Trustee”). The Indenture and the form of Senior Note, which is attached as an exhibit to the Indenture, provide, among other things, that the Senior Notes will be senior unsecured obligations of Clearway Operating. Interest is payable on the Senior Notes on February 15 and August 15 of each year beginning on August 15, 2021 until their maturity date of February 15, 2031.</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At any time prior to February 15, 2024, Clearway Operating may redeem up to 40% of the Senior Notes at a redemption price of 103.750% of the principal amount of the Senior Notes redeemed, plus accrued and unpaid interest to the redemption date, in an amount equal to the net cash proceeds of one or more equity offerings, so long as the redemption occurs within 180 days of completing such equity offering and at least 50% of the aggregate principal amount of the Senior Notes remains outstanding after such redemption.</w:t>
      </w:r>
    </w:p>
    <w:p>
      <w:pPr>
        <w:spacing w:after="0" w:line="187"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In addition, at any time prior to February 15, 2026, Clearway Operating may redeem all or a portion of the Senior Notes for cash at a redemption price equal to 100% of the principal amount of the Senior Notes redeemed, plus an applicable make-whole premium and accrued and unpaid interest to the redemption date. On and after February 15, 2026, Clearway Operating may redeem all or a portion of the Senior Notes at redemption prices set forth in the Indenture, plus accrued and unpaid interest to the redemption date.</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terms of the Indenture, among other things, limit the ability of Clearway Operating and certain of its subsidiaries to create liens on assets and consolidate, merge or transfer all or substantially all of its assets and the assets of its subsidiaries.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Indenture provides for customary events of default, which include (subject in certain cases to customary grace and cure periods), among others: nonpayment of principal or interest; breach of other agreements in the indentures; defaults in failure to pay certain other indebtedness; the rendering of judgments to pay certain amounts of money against Clearway Operating and its subsidiaries; the failure of certain guarantees to be enforceable; and certain events of bankruptcy or insolvency. Generally, if an event of default occurs and is not cured within the time periods specified, the Trustee or the holders of at least 30% in principal amount of the then outstanding series of Senior Notes may declare all the Senior Notes of such series to be due and payable immediately.</w:t>
      </w:r>
    </w:p>
    <w:p>
      <w:pPr>
        <w:spacing w:after="0" w:line="19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Senior Notes were sold to the Initial Purchasers for resale to persons reasonably believed to be qualified institutional buyers under Rule 144A of the Securities Act of 1933, as amended (the “Securities Act”), and to persons outside the United States under Regulation S of the Securities Act. The Senior Notes were issued in a transaction exempt from registration under the Securities Act or any state securities laws. Therefore, Senior Notes may not be offered or sold in the United States absent registration or an applicable exemption from the registration requirements of the Securities Act and any applicable state securities laws. This Current Report on Form 8-K and the Exhibits hereto do not constitute an offer to sell any securities or a solicitation of an offer to purchase any securities.</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foregoing descriptions do not purport to be complete and are qualified by reference to the Indenture and the form of Senior Note, which are filed as exhibits 4.1 and 4.2, respectively, to this Current Report on Form 8-K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the Registrant.</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disclosures under Item 1.01 of this Current Report on Form 8-K relating to the Indenture and the form of Senior Note are also responsive to Item 2.03 of this report and are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7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720" w:type="dxa"/>
            <w:vAlign w:val="bottom"/>
          </w:tcPr>
          <w:p>
            <w:pPr>
              <w:spacing w:after="0"/>
              <w:rPr>
                <w:sz w:val="20"/>
                <w:szCs w:val="20"/>
                <w:color w:val="auto"/>
              </w:rPr>
            </w:pPr>
          </w:p>
        </w:tc>
        <w:tc>
          <w:tcPr>
            <w:tcW w:w="9160" w:type="dxa"/>
            <w:vAlign w:val="bottom"/>
            <w:gridSpan w:val="2"/>
          </w:tcPr>
          <w:p>
            <w:pPr>
              <w:ind w:left="382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1140" w:type="dxa"/>
            <w:vAlign w:val="bottom"/>
            <w:tcBorders>
              <w:top w:val="single" w:sz="8" w:color="auto"/>
            </w:tcBorders>
          </w:tcPr>
          <w:p>
            <w:pPr>
              <w:jc w:val="right"/>
              <w:ind w:right="37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4.1</w:t>
              </w:r>
            </w:hyperlink>
          </w:p>
        </w:tc>
        <w:tc>
          <w:tcPr>
            <w:tcW w:w="220" w:type="dxa"/>
            <w:vAlign w:val="bottom"/>
          </w:tcPr>
          <w:p>
            <w:pPr>
              <w:spacing w:after="0"/>
              <w:rPr>
                <w:sz w:val="24"/>
                <w:szCs w:val="24"/>
                <w:color w:val="auto"/>
              </w:rPr>
            </w:pPr>
          </w:p>
        </w:tc>
        <w:tc>
          <w:tcPr>
            <w:tcW w:w="9880" w:type="dxa"/>
            <w:vAlign w:val="bottom"/>
            <w:tcBorders>
              <w:top w:val="single" w:sz="8" w:color="auto"/>
            </w:tcBorders>
            <w:gridSpan w:val="3"/>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Indenture, dated March 9, 2021, among Clearway Energy Operating LLC, the guarantors named therein and Delaware Trust Company,</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3"/>
              </w:rPr>
            </w:pPr>
            <w:hyperlink w:anchor="page5">
              <w:r>
                <w:rPr>
                  <w:rFonts w:ascii="Arial" w:cs="Arial" w:eastAsia="Arial" w:hAnsi="Arial"/>
                  <w:sz w:val="18"/>
                  <w:szCs w:val="18"/>
                  <w:color w:val="0000EE"/>
                  <w:w w:val="83"/>
                </w:rPr>
                <w:t>as trustee.</w:t>
              </w:r>
            </w:hyperlink>
          </w:p>
        </w:tc>
        <w:tc>
          <w:tcPr>
            <w:tcW w:w="89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r>
      <w:tr>
        <w:trPr>
          <w:trHeight w:val="453"/>
        </w:trPr>
        <w:tc>
          <w:tcPr>
            <w:tcW w:w="1140" w:type="dxa"/>
            <w:vAlign w:val="bottom"/>
          </w:tcPr>
          <w:p>
            <w:pPr>
              <w:jc w:val="right"/>
              <w:ind w:right="37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4.2</w:t>
              </w:r>
            </w:hyperlink>
          </w:p>
        </w:tc>
        <w:tc>
          <w:tcPr>
            <w:tcW w:w="220" w:type="dxa"/>
            <w:vAlign w:val="bottom"/>
          </w:tcPr>
          <w:p>
            <w:pPr>
              <w:spacing w:after="0"/>
              <w:rPr>
                <w:sz w:val="24"/>
                <w:szCs w:val="24"/>
                <w:color w:val="auto"/>
              </w:rPr>
            </w:pPr>
          </w:p>
        </w:tc>
        <w:tc>
          <w:tcPr>
            <w:tcW w:w="988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Form of 3.750% Senior Notes due 2031 (incorporated by reference to Exhibit 4.1 filed herewith).</w:t>
              </w:r>
            </w:hyperlink>
          </w:p>
        </w:tc>
      </w:tr>
    </w:tbl>
    <w:p>
      <w:pPr>
        <w:spacing w:after="0" w:line="202" w:lineRule="exact"/>
        <w:rPr>
          <w:sz w:val="20"/>
          <w:szCs w:val="20"/>
          <w:color w:val="auto"/>
        </w:rPr>
      </w:pPr>
    </w:p>
    <w:p>
      <w:pPr>
        <w:ind w:left="1360" w:hanging="92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4.1</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CLEARWAY ENERGY OPERATING LLC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AND EACH OF THE GUARANTORS PARTY HERETO</w:t>
      </w:r>
    </w:p>
    <w:p>
      <w:pPr>
        <w:spacing w:after="0" w:line="23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3.750%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151765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Dated as of March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151765</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477520</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151765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314960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734695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8380" w:type="dxa"/>
            <w:vAlign w:val="bottom"/>
          </w:tcPr>
          <w:p>
            <w:pPr>
              <w:jc w:val="center"/>
              <w:ind w:left="510"/>
              <w:spacing w:after="0"/>
              <w:rPr>
                <w:sz w:val="20"/>
                <w:szCs w:val="20"/>
                <w:color w:val="auto"/>
              </w:rPr>
            </w:pPr>
            <w:r>
              <w:rPr>
                <w:rFonts w:ascii="Arial" w:cs="Arial" w:eastAsia="Arial" w:hAnsi="Arial"/>
                <w:sz w:val="18"/>
                <w:szCs w:val="18"/>
                <w:color w:val="auto"/>
                <w:w w:val="95"/>
              </w:rPr>
              <w:t>TABLE OF CONTENTS</w:t>
            </w:r>
          </w:p>
        </w:tc>
        <w:tc>
          <w:tcPr>
            <w:tcW w:w="172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Page</w:t>
            </w:r>
          </w:p>
        </w:tc>
      </w:tr>
      <w:tr>
        <w:trPr>
          <w:trHeight w:val="418"/>
        </w:trPr>
        <w:tc>
          <w:tcPr>
            <w:tcW w:w="1140" w:type="dxa"/>
            <w:vAlign w:val="bottom"/>
          </w:tcPr>
          <w:p>
            <w:pPr>
              <w:spacing w:after="0"/>
              <w:rPr>
                <w:sz w:val="24"/>
                <w:szCs w:val="24"/>
                <w:color w:val="auto"/>
              </w:rPr>
            </w:pPr>
          </w:p>
        </w:tc>
        <w:tc>
          <w:tcPr>
            <w:tcW w:w="8380" w:type="dxa"/>
            <w:vAlign w:val="bottom"/>
          </w:tcPr>
          <w:p>
            <w:pPr>
              <w:jc w:val="center"/>
              <w:ind w:left="490"/>
              <w:spacing w:after="0"/>
              <w:rPr>
                <w:sz w:val="20"/>
                <w:szCs w:val="20"/>
                <w:color w:val="auto"/>
              </w:rPr>
            </w:pPr>
            <w:r>
              <w:rPr>
                <w:rFonts w:ascii="Arial" w:cs="Arial" w:eastAsia="Arial" w:hAnsi="Arial"/>
                <w:sz w:val="18"/>
                <w:szCs w:val="18"/>
                <w:color w:val="auto"/>
                <w:w w:val="96"/>
              </w:rPr>
              <w:t>ARTICLE 1</w:t>
            </w:r>
          </w:p>
        </w:tc>
        <w:tc>
          <w:tcPr>
            <w:tcW w:w="172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8380" w:type="dxa"/>
            <w:vAlign w:val="bottom"/>
          </w:tcPr>
          <w:p>
            <w:pPr>
              <w:jc w:val="center"/>
              <w:ind w:left="490"/>
              <w:spacing w:after="0"/>
              <w:rPr>
                <w:sz w:val="20"/>
                <w:szCs w:val="20"/>
                <w:color w:val="auto"/>
              </w:rPr>
            </w:pPr>
            <w:r>
              <w:rPr>
                <w:rFonts w:ascii="Arial" w:cs="Arial" w:eastAsia="Arial" w:hAnsi="Arial"/>
                <w:sz w:val="18"/>
                <w:szCs w:val="18"/>
                <w:color w:val="auto"/>
                <w:w w:val="96"/>
              </w:rPr>
              <w:t>DEFINITIONS AND INCORPORATION</w:t>
            </w:r>
          </w:p>
        </w:tc>
        <w:tc>
          <w:tcPr>
            <w:tcW w:w="172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8380" w:type="dxa"/>
            <w:vAlign w:val="bottom"/>
          </w:tcPr>
          <w:p>
            <w:pPr>
              <w:jc w:val="center"/>
              <w:ind w:left="490"/>
              <w:spacing w:after="0"/>
              <w:rPr>
                <w:sz w:val="20"/>
                <w:szCs w:val="20"/>
                <w:color w:val="auto"/>
              </w:rPr>
            </w:pPr>
            <w:r>
              <w:rPr>
                <w:rFonts w:ascii="Arial" w:cs="Arial" w:eastAsia="Arial" w:hAnsi="Arial"/>
                <w:sz w:val="18"/>
                <w:szCs w:val="18"/>
                <w:color w:val="auto"/>
                <w:w w:val="94"/>
              </w:rPr>
              <w:t>BY REFERENCE</w:t>
            </w:r>
          </w:p>
        </w:tc>
        <w:tc>
          <w:tcPr>
            <w:tcW w:w="172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1.01</w:t>
            </w:r>
          </w:p>
        </w:tc>
        <w:tc>
          <w:tcPr>
            <w:tcW w:w="838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1.02</w:t>
            </w:r>
          </w:p>
        </w:tc>
        <w:tc>
          <w:tcPr>
            <w:tcW w:w="8380" w:type="dxa"/>
            <w:vAlign w:val="bottom"/>
          </w:tcPr>
          <w:p>
            <w:pPr>
              <w:ind w:left="220"/>
              <w:spacing w:after="0"/>
              <w:rPr>
                <w:sz w:val="20"/>
                <w:szCs w:val="20"/>
                <w:color w:val="auto"/>
              </w:rPr>
            </w:pPr>
            <w:r>
              <w:rPr>
                <w:rFonts w:ascii="Arial" w:cs="Arial" w:eastAsia="Arial" w:hAnsi="Arial"/>
                <w:sz w:val="18"/>
                <w:szCs w:val="18"/>
                <w:color w:val="auto"/>
              </w:rPr>
              <w:t>Other Definitions</w:t>
            </w:r>
          </w:p>
        </w:tc>
        <w:tc>
          <w:tcPr>
            <w:tcW w:w="1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1.03</w:t>
            </w:r>
          </w:p>
        </w:tc>
        <w:tc>
          <w:tcPr>
            <w:tcW w:w="8380" w:type="dxa"/>
            <w:vAlign w:val="bottom"/>
          </w:tcPr>
          <w:p>
            <w:pPr>
              <w:ind w:left="220"/>
              <w:spacing w:after="0"/>
              <w:rPr>
                <w:sz w:val="20"/>
                <w:szCs w:val="20"/>
                <w:color w:val="auto"/>
              </w:rPr>
            </w:pPr>
            <w:r>
              <w:rPr>
                <w:rFonts w:ascii="Arial" w:cs="Arial" w:eastAsia="Arial" w:hAnsi="Arial"/>
                <w:sz w:val="18"/>
                <w:szCs w:val="18"/>
                <w:color w:val="auto"/>
              </w:rPr>
              <w:t>[Reserved]</w:t>
            </w:r>
          </w:p>
        </w:tc>
        <w:tc>
          <w:tcPr>
            <w:tcW w:w="1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1.04</w:t>
            </w:r>
          </w:p>
        </w:tc>
        <w:tc>
          <w:tcPr>
            <w:tcW w:w="8380" w:type="dxa"/>
            <w:vAlign w:val="bottom"/>
          </w:tcPr>
          <w:p>
            <w:pPr>
              <w:ind w:left="220"/>
              <w:spacing w:after="0"/>
              <w:rPr>
                <w:sz w:val="20"/>
                <w:szCs w:val="20"/>
                <w:color w:val="auto"/>
              </w:rPr>
            </w:pPr>
            <w:r>
              <w:rPr>
                <w:rFonts w:ascii="Arial" w:cs="Arial" w:eastAsia="Arial" w:hAnsi="Arial"/>
                <w:sz w:val="18"/>
                <w:szCs w:val="18"/>
                <w:color w:val="auto"/>
              </w:rPr>
              <w:t>Rules of Construction</w:t>
            </w:r>
          </w:p>
        </w:tc>
        <w:tc>
          <w:tcPr>
            <w:tcW w:w="1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8"/>
        </w:trPr>
        <w:tc>
          <w:tcPr>
            <w:tcW w:w="1140" w:type="dxa"/>
            <w:vAlign w:val="bottom"/>
          </w:tcPr>
          <w:p>
            <w:pPr>
              <w:spacing w:after="0"/>
              <w:rPr>
                <w:sz w:val="24"/>
                <w:szCs w:val="24"/>
                <w:color w:val="auto"/>
              </w:rPr>
            </w:pPr>
          </w:p>
        </w:tc>
        <w:tc>
          <w:tcPr>
            <w:tcW w:w="8380" w:type="dxa"/>
            <w:vAlign w:val="bottom"/>
          </w:tcPr>
          <w:p>
            <w:pPr>
              <w:jc w:val="center"/>
              <w:ind w:left="730"/>
              <w:spacing w:after="0"/>
              <w:rPr>
                <w:sz w:val="20"/>
                <w:szCs w:val="20"/>
                <w:color w:val="auto"/>
              </w:rPr>
            </w:pPr>
            <w:r>
              <w:rPr>
                <w:rFonts w:ascii="Arial" w:cs="Arial" w:eastAsia="Arial" w:hAnsi="Arial"/>
                <w:sz w:val="18"/>
                <w:szCs w:val="18"/>
                <w:color w:val="auto"/>
                <w:w w:val="96"/>
              </w:rPr>
              <w:t>ARTICLE 2</w:t>
            </w:r>
          </w:p>
        </w:tc>
        <w:tc>
          <w:tcPr>
            <w:tcW w:w="172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380" w:type="dxa"/>
            <w:vAlign w:val="bottom"/>
          </w:tcPr>
          <w:p>
            <w:pPr>
              <w:jc w:val="center"/>
              <w:ind w:left="730"/>
              <w:spacing w:after="0"/>
              <w:rPr>
                <w:sz w:val="20"/>
                <w:szCs w:val="20"/>
                <w:color w:val="auto"/>
              </w:rPr>
            </w:pPr>
            <w:r>
              <w:rPr>
                <w:rFonts w:ascii="Arial" w:cs="Arial" w:eastAsia="Arial" w:hAnsi="Arial"/>
                <w:sz w:val="18"/>
                <w:szCs w:val="18"/>
                <w:color w:val="auto"/>
                <w:w w:val="96"/>
              </w:rPr>
              <w:t>THE ISSUANCE OF NOTES AND ADDITIONAL SECURITIES</w:t>
            </w:r>
          </w:p>
        </w:tc>
        <w:tc>
          <w:tcPr>
            <w:tcW w:w="172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2.01</w:t>
            </w:r>
          </w:p>
        </w:tc>
        <w:tc>
          <w:tcPr>
            <w:tcW w:w="8380" w:type="dxa"/>
            <w:vAlign w:val="bottom"/>
          </w:tcPr>
          <w:p>
            <w:pPr>
              <w:ind w:left="220"/>
              <w:spacing w:after="0"/>
              <w:rPr>
                <w:sz w:val="20"/>
                <w:szCs w:val="20"/>
                <w:color w:val="auto"/>
              </w:rPr>
            </w:pPr>
            <w:r>
              <w:rPr>
                <w:rFonts w:ascii="Arial" w:cs="Arial" w:eastAsia="Arial" w:hAnsi="Arial"/>
                <w:sz w:val="18"/>
                <w:szCs w:val="18"/>
                <w:color w:val="auto"/>
              </w:rPr>
              <w:t>Form and Dating of Notes; Creation of Additional Securities</w:t>
            </w:r>
          </w:p>
        </w:tc>
        <w:tc>
          <w:tcPr>
            <w:tcW w:w="1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2.02</w:t>
            </w:r>
          </w:p>
        </w:tc>
        <w:tc>
          <w:tcPr>
            <w:tcW w:w="8380" w:type="dxa"/>
            <w:vAlign w:val="bottom"/>
          </w:tcPr>
          <w:p>
            <w:pPr>
              <w:ind w:left="220"/>
              <w:spacing w:after="0"/>
              <w:rPr>
                <w:sz w:val="20"/>
                <w:szCs w:val="20"/>
                <w:color w:val="auto"/>
              </w:rPr>
            </w:pPr>
            <w:r>
              <w:rPr>
                <w:rFonts w:ascii="Arial" w:cs="Arial" w:eastAsia="Arial" w:hAnsi="Arial"/>
                <w:sz w:val="18"/>
                <w:szCs w:val="18"/>
                <w:color w:val="auto"/>
              </w:rPr>
              <w:t>Execution and Authentication</w:t>
            </w:r>
          </w:p>
        </w:tc>
        <w:tc>
          <w:tcPr>
            <w:tcW w:w="1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2.03</w:t>
            </w:r>
          </w:p>
        </w:tc>
        <w:tc>
          <w:tcPr>
            <w:tcW w:w="8380" w:type="dxa"/>
            <w:vAlign w:val="bottom"/>
          </w:tcPr>
          <w:p>
            <w:pPr>
              <w:ind w:left="220"/>
              <w:spacing w:after="0"/>
              <w:rPr>
                <w:sz w:val="20"/>
                <w:szCs w:val="20"/>
                <w:color w:val="auto"/>
              </w:rPr>
            </w:pPr>
            <w:r>
              <w:rPr>
                <w:rFonts w:ascii="Arial" w:cs="Arial" w:eastAsia="Arial" w:hAnsi="Arial"/>
                <w:sz w:val="18"/>
                <w:szCs w:val="18"/>
                <w:color w:val="auto"/>
              </w:rPr>
              <w:t>Registrar and Paying Agent</w:t>
            </w:r>
          </w:p>
        </w:tc>
        <w:tc>
          <w:tcPr>
            <w:tcW w:w="1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2.04</w:t>
            </w:r>
          </w:p>
        </w:tc>
        <w:tc>
          <w:tcPr>
            <w:tcW w:w="8380" w:type="dxa"/>
            <w:vAlign w:val="bottom"/>
          </w:tcPr>
          <w:p>
            <w:pPr>
              <w:ind w:left="220"/>
              <w:spacing w:after="0"/>
              <w:rPr>
                <w:sz w:val="20"/>
                <w:szCs w:val="20"/>
                <w:color w:val="auto"/>
              </w:rPr>
            </w:pPr>
            <w:r>
              <w:rPr>
                <w:rFonts w:ascii="Arial" w:cs="Arial" w:eastAsia="Arial" w:hAnsi="Arial"/>
                <w:sz w:val="18"/>
                <w:szCs w:val="18"/>
                <w:color w:val="auto"/>
              </w:rPr>
              <w:t>Paying Agent to Hold Money in Trust</w:t>
            </w:r>
          </w:p>
        </w:tc>
        <w:tc>
          <w:tcPr>
            <w:tcW w:w="1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2.05</w:t>
            </w:r>
          </w:p>
        </w:tc>
        <w:tc>
          <w:tcPr>
            <w:tcW w:w="8380" w:type="dxa"/>
            <w:vAlign w:val="bottom"/>
          </w:tcPr>
          <w:p>
            <w:pPr>
              <w:ind w:left="220"/>
              <w:spacing w:after="0"/>
              <w:rPr>
                <w:sz w:val="20"/>
                <w:szCs w:val="20"/>
                <w:color w:val="auto"/>
              </w:rPr>
            </w:pPr>
            <w:r>
              <w:rPr>
                <w:rFonts w:ascii="Arial" w:cs="Arial" w:eastAsia="Arial" w:hAnsi="Arial"/>
                <w:sz w:val="18"/>
                <w:szCs w:val="18"/>
                <w:color w:val="auto"/>
              </w:rPr>
              <w:t>Holder Lists</w:t>
            </w:r>
          </w:p>
        </w:tc>
        <w:tc>
          <w:tcPr>
            <w:tcW w:w="1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2.06</w:t>
            </w:r>
          </w:p>
        </w:tc>
        <w:tc>
          <w:tcPr>
            <w:tcW w:w="8380" w:type="dxa"/>
            <w:vAlign w:val="bottom"/>
          </w:tcPr>
          <w:p>
            <w:pPr>
              <w:ind w:left="220"/>
              <w:spacing w:after="0"/>
              <w:rPr>
                <w:sz w:val="20"/>
                <w:szCs w:val="20"/>
                <w:color w:val="auto"/>
              </w:rPr>
            </w:pPr>
            <w:r>
              <w:rPr>
                <w:rFonts w:ascii="Arial" w:cs="Arial" w:eastAsia="Arial" w:hAnsi="Arial"/>
                <w:sz w:val="18"/>
                <w:szCs w:val="18"/>
                <w:color w:val="auto"/>
              </w:rPr>
              <w:t>Transfer and Exchange</w:t>
            </w:r>
          </w:p>
        </w:tc>
        <w:tc>
          <w:tcPr>
            <w:tcW w:w="1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2.07</w:t>
            </w:r>
          </w:p>
        </w:tc>
        <w:tc>
          <w:tcPr>
            <w:tcW w:w="8380" w:type="dxa"/>
            <w:vAlign w:val="bottom"/>
          </w:tcPr>
          <w:p>
            <w:pPr>
              <w:ind w:left="220"/>
              <w:spacing w:after="0"/>
              <w:rPr>
                <w:sz w:val="20"/>
                <w:szCs w:val="20"/>
                <w:color w:val="auto"/>
              </w:rPr>
            </w:pPr>
            <w:r>
              <w:rPr>
                <w:rFonts w:ascii="Arial" w:cs="Arial" w:eastAsia="Arial" w:hAnsi="Arial"/>
                <w:sz w:val="18"/>
                <w:szCs w:val="18"/>
                <w:color w:val="auto"/>
              </w:rPr>
              <w:t>Issuance of Additional Notes</w:t>
            </w:r>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2.08</w:t>
            </w:r>
          </w:p>
        </w:tc>
        <w:tc>
          <w:tcPr>
            <w:tcW w:w="8380" w:type="dxa"/>
            <w:vAlign w:val="bottom"/>
          </w:tcPr>
          <w:p>
            <w:pPr>
              <w:ind w:left="220"/>
              <w:spacing w:after="0"/>
              <w:rPr>
                <w:sz w:val="20"/>
                <w:szCs w:val="20"/>
                <w:color w:val="auto"/>
              </w:rPr>
            </w:pPr>
            <w:r>
              <w:rPr>
                <w:rFonts w:ascii="Arial" w:cs="Arial" w:eastAsia="Arial" w:hAnsi="Arial"/>
                <w:sz w:val="18"/>
                <w:szCs w:val="18"/>
                <w:color w:val="auto"/>
              </w:rPr>
              <w:t>Replacement Securities</w:t>
            </w:r>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2.09</w:t>
            </w:r>
          </w:p>
        </w:tc>
        <w:tc>
          <w:tcPr>
            <w:tcW w:w="8380" w:type="dxa"/>
            <w:vAlign w:val="bottom"/>
          </w:tcPr>
          <w:p>
            <w:pPr>
              <w:ind w:left="220"/>
              <w:spacing w:after="0"/>
              <w:rPr>
                <w:sz w:val="20"/>
                <w:szCs w:val="20"/>
                <w:color w:val="auto"/>
              </w:rPr>
            </w:pPr>
            <w:r>
              <w:rPr>
                <w:rFonts w:ascii="Arial" w:cs="Arial" w:eastAsia="Arial" w:hAnsi="Arial"/>
                <w:sz w:val="18"/>
                <w:szCs w:val="18"/>
                <w:color w:val="auto"/>
              </w:rPr>
              <w:t>Outstanding Securities</w:t>
            </w:r>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2.10</w:t>
            </w:r>
          </w:p>
        </w:tc>
        <w:tc>
          <w:tcPr>
            <w:tcW w:w="8380" w:type="dxa"/>
            <w:vAlign w:val="bottom"/>
          </w:tcPr>
          <w:p>
            <w:pPr>
              <w:ind w:left="220"/>
              <w:spacing w:after="0"/>
              <w:rPr>
                <w:sz w:val="20"/>
                <w:szCs w:val="20"/>
                <w:color w:val="auto"/>
              </w:rPr>
            </w:pPr>
            <w:r>
              <w:rPr>
                <w:rFonts w:ascii="Arial" w:cs="Arial" w:eastAsia="Arial" w:hAnsi="Arial"/>
                <w:sz w:val="18"/>
                <w:szCs w:val="18"/>
                <w:color w:val="auto"/>
              </w:rPr>
              <w:t>Treasury Securities</w:t>
            </w:r>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2.11</w:t>
            </w:r>
          </w:p>
        </w:tc>
        <w:tc>
          <w:tcPr>
            <w:tcW w:w="8380" w:type="dxa"/>
            <w:vAlign w:val="bottom"/>
          </w:tcPr>
          <w:p>
            <w:pPr>
              <w:ind w:left="220"/>
              <w:spacing w:after="0"/>
              <w:rPr>
                <w:sz w:val="20"/>
                <w:szCs w:val="20"/>
                <w:color w:val="auto"/>
              </w:rPr>
            </w:pPr>
            <w:r>
              <w:rPr>
                <w:rFonts w:ascii="Arial" w:cs="Arial" w:eastAsia="Arial" w:hAnsi="Arial"/>
                <w:sz w:val="18"/>
                <w:szCs w:val="18"/>
                <w:color w:val="auto"/>
              </w:rPr>
              <w:t>Temporary Securities</w:t>
            </w:r>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2.12</w:t>
            </w:r>
          </w:p>
        </w:tc>
        <w:tc>
          <w:tcPr>
            <w:tcW w:w="8380" w:type="dxa"/>
            <w:vAlign w:val="bottom"/>
          </w:tcPr>
          <w:p>
            <w:pPr>
              <w:ind w:left="220"/>
              <w:spacing w:after="0"/>
              <w:rPr>
                <w:sz w:val="20"/>
                <w:szCs w:val="20"/>
                <w:color w:val="auto"/>
              </w:rPr>
            </w:pPr>
            <w:r>
              <w:rPr>
                <w:rFonts w:ascii="Arial" w:cs="Arial" w:eastAsia="Arial" w:hAnsi="Arial"/>
                <w:sz w:val="18"/>
                <w:szCs w:val="18"/>
                <w:color w:val="auto"/>
              </w:rPr>
              <w:t>Cancellation</w:t>
            </w:r>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2.13</w:t>
            </w:r>
          </w:p>
        </w:tc>
        <w:tc>
          <w:tcPr>
            <w:tcW w:w="8380" w:type="dxa"/>
            <w:vAlign w:val="bottom"/>
          </w:tcPr>
          <w:p>
            <w:pPr>
              <w:ind w:left="220"/>
              <w:spacing w:after="0"/>
              <w:rPr>
                <w:sz w:val="20"/>
                <w:szCs w:val="20"/>
                <w:color w:val="auto"/>
              </w:rPr>
            </w:pPr>
            <w:r>
              <w:rPr>
                <w:rFonts w:ascii="Arial" w:cs="Arial" w:eastAsia="Arial" w:hAnsi="Arial"/>
                <w:sz w:val="18"/>
                <w:szCs w:val="18"/>
                <w:color w:val="auto"/>
              </w:rPr>
              <w:t>Defaulted Interest</w:t>
            </w:r>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1140" w:type="dxa"/>
            <w:vAlign w:val="bottom"/>
          </w:tcPr>
          <w:p>
            <w:pPr>
              <w:spacing w:after="0"/>
              <w:rPr>
                <w:sz w:val="24"/>
                <w:szCs w:val="24"/>
                <w:color w:val="auto"/>
              </w:rPr>
            </w:pPr>
          </w:p>
        </w:tc>
        <w:tc>
          <w:tcPr>
            <w:tcW w:w="8380" w:type="dxa"/>
            <w:vAlign w:val="bottom"/>
          </w:tcPr>
          <w:p>
            <w:pPr>
              <w:jc w:val="center"/>
              <w:ind w:left="730"/>
              <w:spacing w:after="0"/>
              <w:rPr>
                <w:sz w:val="20"/>
                <w:szCs w:val="20"/>
                <w:color w:val="auto"/>
              </w:rPr>
            </w:pPr>
            <w:r>
              <w:rPr>
                <w:rFonts w:ascii="Arial" w:cs="Arial" w:eastAsia="Arial" w:hAnsi="Arial"/>
                <w:sz w:val="18"/>
                <w:szCs w:val="18"/>
                <w:color w:val="auto"/>
                <w:w w:val="96"/>
              </w:rPr>
              <w:t>ARTICLE 3</w:t>
            </w:r>
          </w:p>
        </w:tc>
        <w:tc>
          <w:tcPr>
            <w:tcW w:w="172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380" w:type="dxa"/>
            <w:vAlign w:val="bottom"/>
          </w:tcPr>
          <w:p>
            <w:pPr>
              <w:jc w:val="center"/>
              <w:ind w:left="730"/>
              <w:spacing w:after="0"/>
              <w:rPr>
                <w:sz w:val="20"/>
                <w:szCs w:val="20"/>
                <w:color w:val="auto"/>
              </w:rPr>
            </w:pPr>
            <w:r>
              <w:rPr>
                <w:rFonts w:ascii="Arial" w:cs="Arial" w:eastAsia="Arial" w:hAnsi="Arial"/>
                <w:sz w:val="18"/>
                <w:szCs w:val="18"/>
                <w:color w:val="auto"/>
                <w:w w:val="95"/>
              </w:rPr>
              <w:t>REDEMPTION AND PREPAYMENT</w:t>
            </w:r>
          </w:p>
        </w:tc>
        <w:tc>
          <w:tcPr>
            <w:tcW w:w="172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3.01</w:t>
            </w:r>
          </w:p>
        </w:tc>
        <w:tc>
          <w:tcPr>
            <w:tcW w:w="8380" w:type="dxa"/>
            <w:vAlign w:val="bottom"/>
          </w:tcPr>
          <w:p>
            <w:pPr>
              <w:ind w:left="220"/>
              <w:spacing w:after="0"/>
              <w:rPr>
                <w:sz w:val="20"/>
                <w:szCs w:val="20"/>
                <w:color w:val="auto"/>
              </w:rPr>
            </w:pPr>
            <w:r>
              <w:rPr>
                <w:rFonts w:ascii="Arial" w:cs="Arial" w:eastAsia="Arial" w:hAnsi="Arial"/>
                <w:sz w:val="18"/>
                <w:szCs w:val="18"/>
                <w:color w:val="auto"/>
              </w:rPr>
              <w:t>Notices to Trustee</w:t>
            </w:r>
          </w:p>
        </w:tc>
        <w:tc>
          <w:tcPr>
            <w:tcW w:w="1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3.02</w:t>
            </w:r>
          </w:p>
        </w:tc>
        <w:tc>
          <w:tcPr>
            <w:tcW w:w="8380" w:type="dxa"/>
            <w:vAlign w:val="bottom"/>
          </w:tcPr>
          <w:p>
            <w:pPr>
              <w:ind w:left="220"/>
              <w:spacing w:after="0"/>
              <w:rPr>
                <w:sz w:val="20"/>
                <w:szCs w:val="20"/>
                <w:color w:val="auto"/>
              </w:rPr>
            </w:pPr>
            <w:r>
              <w:rPr>
                <w:rFonts w:ascii="Arial" w:cs="Arial" w:eastAsia="Arial" w:hAnsi="Arial"/>
                <w:sz w:val="18"/>
                <w:szCs w:val="18"/>
                <w:color w:val="auto"/>
              </w:rPr>
              <w:t>Selection of Notes to Be Redeemed or Purchased</w:t>
            </w:r>
          </w:p>
        </w:tc>
        <w:tc>
          <w:tcPr>
            <w:tcW w:w="1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3.03</w:t>
            </w:r>
          </w:p>
        </w:tc>
        <w:tc>
          <w:tcPr>
            <w:tcW w:w="8380" w:type="dxa"/>
            <w:vAlign w:val="bottom"/>
          </w:tcPr>
          <w:p>
            <w:pPr>
              <w:ind w:left="220"/>
              <w:spacing w:after="0"/>
              <w:rPr>
                <w:sz w:val="20"/>
                <w:szCs w:val="20"/>
                <w:color w:val="auto"/>
              </w:rPr>
            </w:pPr>
            <w:r>
              <w:rPr>
                <w:rFonts w:ascii="Arial" w:cs="Arial" w:eastAsia="Arial" w:hAnsi="Arial"/>
                <w:sz w:val="18"/>
                <w:szCs w:val="18"/>
                <w:color w:val="auto"/>
              </w:rPr>
              <w:t>Notice of Redemption</w:t>
            </w:r>
          </w:p>
        </w:tc>
        <w:tc>
          <w:tcPr>
            <w:tcW w:w="1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3.04</w:t>
            </w:r>
          </w:p>
        </w:tc>
        <w:tc>
          <w:tcPr>
            <w:tcW w:w="8380" w:type="dxa"/>
            <w:vAlign w:val="bottom"/>
          </w:tcPr>
          <w:p>
            <w:pPr>
              <w:ind w:left="220"/>
              <w:spacing w:after="0"/>
              <w:rPr>
                <w:sz w:val="20"/>
                <w:szCs w:val="20"/>
                <w:color w:val="auto"/>
              </w:rPr>
            </w:pPr>
            <w:r>
              <w:rPr>
                <w:rFonts w:ascii="Arial" w:cs="Arial" w:eastAsia="Arial" w:hAnsi="Arial"/>
                <w:sz w:val="18"/>
                <w:szCs w:val="18"/>
                <w:color w:val="auto"/>
              </w:rPr>
              <w:t>Effect of Notice of Redemption</w:t>
            </w:r>
          </w:p>
        </w:tc>
        <w:tc>
          <w:tcPr>
            <w:tcW w:w="1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3.05</w:t>
            </w:r>
          </w:p>
        </w:tc>
        <w:tc>
          <w:tcPr>
            <w:tcW w:w="8380" w:type="dxa"/>
            <w:vAlign w:val="bottom"/>
          </w:tcPr>
          <w:p>
            <w:pPr>
              <w:ind w:left="220"/>
              <w:spacing w:after="0"/>
              <w:rPr>
                <w:sz w:val="20"/>
                <w:szCs w:val="20"/>
                <w:color w:val="auto"/>
              </w:rPr>
            </w:pPr>
            <w:r>
              <w:rPr>
                <w:rFonts w:ascii="Arial" w:cs="Arial" w:eastAsia="Arial" w:hAnsi="Arial"/>
                <w:sz w:val="18"/>
                <w:szCs w:val="18"/>
                <w:color w:val="auto"/>
              </w:rPr>
              <w:t>Deposit of Redemption or Purchase Price</w:t>
            </w:r>
          </w:p>
        </w:tc>
        <w:tc>
          <w:tcPr>
            <w:tcW w:w="1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3.06</w:t>
            </w:r>
          </w:p>
        </w:tc>
        <w:tc>
          <w:tcPr>
            <w:tcW w:w="8380" w:type="dxa"/>
            <w:vAlign w:val="bottom"/>
          </w:tcPr>
          <w:p>
            <w:pPr>
              <w:ind w:left="220"/>
              <w:spacing w:after="0"/>
              <w:rPr>
                <w:sz w:val="20"/>
                <w:szCs w:val="20"/>
                <w:color w:val="auto"/>
              </w:rPr>
            </w:pPr>
            <w:r>
              <w:rPr>
                <w:rFonts w:ascii="Arial" w:cs="Arial" w:eastAsia="Arial" w:hAnsi="Arial"/>
                <w:sz w:val="18"/>
                <w:szCs w:val="18"/>
                <w:color w:val="auto"/>
              </w:rPr>
              <w:t>Notes Redeemed or Purchased in Part</w:t>
            </w:r>
          </w:p>
        </w:tc>
        <w:tc>
          <w:tcPr>
            <w:tcW w:w="1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3.07</w:t>
            </w:r>
          </w:p>
        </w:tc>
        <w:tc>
          <w:tcPr>
            <w:tcW w:w="8380" w:type="dxa"/>
            <w:vAlign w:val="bottom"/>
          </w:tcPr>
          <w:p>
            <w:pPr>
              <w:ind w:left="220"/>
              <w:spacing w:after="0"/>
              <w:rPr>
                <w:sz w:val="20"/>
                <w:szCs w:val="20"/>
                <w:color w:val="auto"/>
              </w:rPr>
            </w:pPr>
            <w:r>
              <w:rPr>
                <w:rFonts w:ascii="Arial" w:cs="Arial" w:eastAsia="Arial" w:hAnsi="Arial"/>
                <w:sz w:val="18"/>
                <w:szCs w:val="18"/>
                <w:color w:val="auto"/>
              </w:rPr>
              <w:t>Optional Redemption</w:t>
            </w:r>
          </w:p>
        </w:tc>
        <w:tc>
          <w:tcPr>
            <w:tcW w:w="1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3.08</w:t>
            </w:r>
          </w:p>
        </w:tc>
        <w:tc>
          <w:tcPr>
            <w:tcW w:w="8380" w:type="dxa"/>
            <w:vAlign w:val="bottom"/>
          </w:tcPr>
          <w:p>
            <w:pPr>
              <w:ind w:left="220"/>
              <w:spacing w:after="0"/>
              <w:rPr>
                <w:sz w:val="20"/>
                <w:szCs w:val="20"/>
                <w:color w:val="auto"/>
              </w:rPr>
            </w:pPr>
            <w:r>
              <w:rPr>
                <w:rFonts w:ascii="Arial" w:cs="Arial" w:eastAsia="Arial" w:hAnsi="Arial"/>
                <w:sz w:val="18"/>
                <w:szCs w:val="18"/>
                <w:color w:val="auto"/>
              </w:rPr>
              <w:t>Mandatory Redemption</w:t>
            </w:r>
          </w:p>
        </w:tc>
        <w:tc>
          <w:tcPr>
            <w:tcW w:w="1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8"/>
        </w:trPr>
        <w:tc>
          <w:tcPr>
            <w:tcW w:w="1140" w:type="dxa"/>
            <w:vAlign w:val="bottom"/>
          </w:tcPr>
          <w:p>
            <w:pPr>
              <w:spacing w:after="0"/>
              <w:rPr>
                <w:sz w:val="24"/>
                <w:szCs w:val="24"/>
                <w:color w:val="auto"/>
              </w:rPr>
            </w:pPr>
          </w:p>
        </w:tc>
        <w:tc>
          <w:tcPr>
            <w:tcW w:w="8380" w:type="dxa"/>
            <w:vAlign w:val="bottom"/>
          </w:tcPr>
          <w:p>
            <w:pPr>
              <w:jc w:val="center"/>
              <w:ind w:left="730"/>
              <w:spacing w:after="0"/>
              <w:rPr>
                <w:sz w:val="20"/>
                <w:szCs w:val="20"/>
                <w:color w:val="auto"/>
              </w:rPr>
            </w:pPr>
            <w:r>
              <w:rPr>
                <w:rFonts w:ascii="Arial" w:cs="Arial" w:eastAsia="Arial" w:hAnsi="Arial"/>
                <w:sz w:val="18"/>
                <w:szCs w:val="18"/>
                <w:color w:val="auto"/>
                <w:w w:val="96"/>
              </w:rPr>
              <w:t>ARTICLE 4</w:t>
            </w:r>
          </w:p>
        </w:tc>
        <w:tc>
          <w:tcPr>
            <w:tcW w:w="172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380" w:type="dxa"/>
            <w:vAlign w:val="bottom"/>
          </w:tcPr>
          <w:p>
            <w:pPr>
              <w:jc w:val="center"/>
              <w:ind w:left="730"/>
              <w:spacing w:after="0"/>
              <w:rPr>
                <w:sz w:val="20"/>
                <w:szCs w:val="20"/>
                <w:color w:val="auto"/>
              </w:rPr>
            </w:pPr>
            <w:r>
              <w:rPr>
                <w:rFonts w:ascii="Arial" w:cs="Arial" w:eastAsia="Arial" w:hAnsi="Arial"/>
                <w:sz w:val="18"/>
                <w:szCs w:val="18"/>
                <w:color w:val="auto"/>
                <w:w w:val="96"/>
              </w:rPr>
              <w:t>COVENANTS</w:t>
            </w:r>
          </w:p>
        </w:tc>
        <w:tc>
          <w:tcPr>
            <w:tcW w:w="172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4.01</w:t>
            </w:r>
          </w:p>
        </w:tc>
        <w:tc>
          <w:tcPr>
            <w:tcW w:w="8380" w:type="dxa"/>
            <w:vAlign w:val="bottom"/>
          </w:tcPr>
          <w:p>
            <w:pPr>
              <w:ind w:left="220"/>
              <w:spacing w:after="0"/>
              <w:rPr>
                <w:sz w:val="20"/>
                <w:szCs w:val="20"/>
                <w:color w:val="auto"/>
              </w:rPr>
            </w:pPr>
            <w:r>
              <w:rPr>
                <w:rFonts w:ascii="Arial" w:cs="Arial" w:eastAsia="Arial" w:hAnsi="Arial"/>
                <w:sz w:val="18"/>
                <w:szCs w:val="18"/>
                <w:color w:val="auto"/>
              </w:rPr>
              <w:t>Payment of Notes</w:t>
            </w:r>
          </w:p>
        </w:tc>
        <w:tc>
          <w:tcPr>
            <w:tcW w:w="1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4.02</w:t>
            </w:r>
          </w:p>
        </w:tc>
        <w:tc>
          <w:tcPr>
            <w:tcW w:w="8380" w:type="dxa"/>
            <w:vAlign w:val="bottom"/>
          </w:tcPr>
          <w:p>
            <w:pPr>
              <w:ind w:left="220"/>
              <w:spacing w:after="0"/>
              <w:rPr>
                <w:sz w:val="20"/>
                <w:szCs w:val="20"/>
                <w:color w:val="auto"/>
              </w:rPr>
            </w:pPr>
            <w:r>
              <w:rPr>
                <w:rFonts w:ascii="Arial" w:cs="Arial" w:eastAsia="Arial" w:hAnsi="Arial"/>
                <w:sz w:val="18"/>
                <w:szCs w:val="18"/>
                <w:color w:val="auto"/>
              </w:rPr>
              <w:t>Maintenance of Office or Agency</w:t>
            </w:r>
          </w:p>
        </w:tc>
        <w:tc>
          <w:tcPr>
            <w:tcW w:w="1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4.03</w:t>
            </w:r>
          </w:p>
        </w:tc>
        <w:tc>
          <w:tcPr>
            <w:tcW w:w="8380" w:type="dxa"/>
            <w:vAlign w:val="bottom"/>
          </w:tcPr>
          <w:p>
            <w:pPr>
              <w:ind w:left="220"/>
              <w:spacing w:after="0"/>
              <w:rPr>
                <w:sz w:val="20"/>
                <w:szCs w:val="20"/>
                <w:color w:val="auto"/>
              </w:rPr>
            </w:pPr>
            <w:r>
              <w:rPr>
                <w:rFonts w:ascii="Arial" w:cs="Arial" w:eastAsia="Arial" w:hAnsi="Arial"/>
                <w:sz w:val="18"/>
                <w:szCs w:val="18"/>
                <w:color w:val="auto"/>
              </w:rPr>
              <w:t>Reports</w:t>
            </w:r>
          </w:p>
        </w:tc>
        <w:tc>
          <w:tcPr>
            <w:tcW w:w="1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4.04</w:t>
            </w:r>
          </w:p>
        </w:tc>
        <w:tc>
          <w:tcPr>
            <w:tcW w:w="8380" w:type="dxa"/>
            <w:vAlign w:val="bottom"/>
          </w:tcPr>
          <w:p>
            <w:pPr>
              <w:ind w:left="220"/>
              <w:spacing w:after="0"/>
              <w:rPr>
                <w:sz w:val="20"/>
                <w:szCs w:val="20"/>
                <w:color w:val="auto"/>
              </w:rPr>
            </w:pPr>
            <w:r>
              <w:rPr>
                <w:rFonts w:ascii="Arial" w:cs="Arial" w:eastAsia="Arial" w:hAnsi="Arial"/>
                <w:sz w:val="18"/>
                <w:szCs w:val="18"/>
                <w:color w:val="auto"/>
              </w:rPr>
              <w:t>Compliance Certificate</w:t>
            </w:r>
          </w:p>
        </w:tc>
        <w:tc>
          <w:tcPr>
            <w:tcW w:w="1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4.05</w:t>
            </w:r>
          </w:p>
        </w:tc>
        <w:tc>
          <w:tcPr>
            <w:tcW w:w="8380" w:type="dxa"/>
            <w:vAlign w:val="bottom"/>
          </w:tcPr>
          <w:p>
            <w:pPr>
              <w:ind w:left="220"/>
              <w:spacing w:after="0"/>
              <w:rPr>
                <w:sz w:val="20"/>
                <w:szCs w:val="20"/>
                <w:color w:val="auto"/>
              </w:rPr>
            </w:pPr>
            <w:r>
              <w:rPr>
                <w:rFonts w:ascii="Arial" w:cs="Arial" w:eastAsia="Arial" w:hAnsi="Arial"/>
                <w:sz w:val="18"/>
                <w:szCs w:val="18"/>
                <w:color w:val="auto"/>
              </w:rPr>
              <w:t>Taxes</w:t>
            </w:r>
          </w:p>
        </w:tc>
        <w:tc>
          <w:tcPr>
            <w:tcW w:w="1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4.06</w:t>
            </w:r>
          </w:p>
        </w:tc>
        <w:tc>
          <w:tcPr>
            <w:tcW w:w="8380" w:type="dxa"/>
            <w:vAlign w:val="bottom"/>
          </w:tcPr>
          <w:p>
            <w:pPr>
              <w:ind w:left="220"/>
              <w:spacing w:after="0"/>
              <w:rPr>
                <w:sz w:val="20"/>
                <w:szCs w:val="20"/>
                <w:color w:val="auto"/>
              </w:rPr>
            </w:pPr>
            <w:r>
              <w:rPr>
                <w:rFonts w:ascii="Arial" w:cs="Arial" w:eastAsia="Arial" w:hAnsi="Arial"/>
                <w:sz w:val="18"/>
                <w:szCs w:val="18"/>
                <w:color w:val="auto"/>
              </w:rPr>
              <w:t>Stay, Extension and Usury Laws</w:t>
            </w:r>
          </w:p>
        </w:tc>
        <w:tc>
          <w:tcPr>
            <w:tcW w:w="1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4.07</w:t>
            </w:r>
          </w:p>
        </w:tc>
        <w:tc>
          <w:tcPr>
            <w:tcW w:w="8380" w:type="dxa"/>
            <w:vAlign w:val="bottom"/>
          </w:tcPr>
          <w:p>
            <w:pPr>
              <w:ind w:left="220"/>
              <w:spacing w:after="0"/>
              <w:rPr>
                <w:sz w:val="20"/>
                <w:szCs w:val="20"/>
                <w:color w:val="auto"/>
              </w:rPr>
            </w:pPr>
            <w:r>
              <w:rPr>
                <w:rFonts w:ascii="Arial" w:cs="Arial" w:eastAsia="Arial" w:hAnsi="Arial"/>
                <w:sz w:val="18"/>
                <w:szCs w:val="18"/>
                <w:color w:val="auto"/>
              </w:rPr>
              <w:t>Liens</w:t>
            </w:r>
          </w:p>
        </w:tc>
        <w:tc>
          <w:tcPr>
            <w:tcW w:w="1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4.08</w:t>
            </w:r>
          </w:p>
        </w:tc>
        <w:tc>
          <w:tcPr>
            <w:tcW w:w="8380" w:type="dxa"/>
            <w:vAlign w:val="bottom"/>
          </w:tcPr>
          <w:p>
            <w:pPr>
              <w:ind w:left="220"/>
              <w:spacing w:after="0"/>
              <w:rPr>
                <w:sz w:val="20"/>
                <w:szCs w:val="20"/>
                <w:color w:val="auto"/>
              </w:rPr>
            </w:pPr>
            <w:r>
              <w:rPr>
                <w:rFonts w:ascii="Arial" w:cs="Arial" w:eastAsia="Arial" w:hAnsi="Arial"/>
                <w:sz w:val="18"/>
                <w:szCs w:val="18"/>
                <w:color w:val="auto"/>
              </w:rPr>
              <w:t>Limited Liability Company Existence</w:t>
            </w:r>
          </w:p>
        </w:tc>
        <w:tc>
          <w:tcPr>
            <w:tcW w:w="1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4.09</w:t>
            </w:r>
          </w:p>
        </w:tc>
        <w:tc>
          <w:tcPr>
            <w:tcW w:w="8380" w:type="dxa"/>
            <w:vAlign w:val="bottom"/>
          </w:tcPr>
          <w:p>
            <w:pPr>
              <w:ind w:left="220"/>
              <w:spacing w:after="0"/>
              <w:rPr>
                <w:sz w:val="20"/>
                <w:szCs w:val="20"/>
                <w:color w:val="auto"/>
              </w:rPr>
            </w:pPr>
            <w:r>
              <w:rPr>
                <w:rFonts w:ascii="Arial" w:cs="Arial" w:eastAsia="Arial" w:hAnsi="Arial"/>
                <w:sz w:val="18"/>
                <w:szCs w:val="18"/>
                <w:color w:val="auto"/>
              </w:rPr>
              <w:t>Offer to Repurchase Upon Change of Control Triggering Event</w:t>
            </w:r>
          </w:p>
        </w:tc>
        <w:tc>
          <w:tcPr>
            <w:tcW w:w="1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4.10</w:t>
            </w:r>
          </w:p>
        </w:tc>
        <w:tc>
          <w:tcPr>
            <w:tcW w:w="8380" w:type="dxa"/>
            <w:vAlign w:val="bottom"/>
          </w:tcPr>
          <w:p>
            <w:pPr>
              <w:ind w:left="220"/>
              <w:spacing w:after="0"/>
              <w:rPr>
                <w:sz w:val="20"/>
                <w:szCs w:val="20"/>
                <w:color w:val="auto"/>
              </w:rPr>
            </w:pPr>
            <w:r>
              <w:rPr>
                <w:rFonts w:ascii="Arial" w:cs="Arial" w:eastAsia="Arial" w:hAnsi="Arial"/>
                <w:sz w:val="18"/>
                <w:szCs w:val="18"/>
                <w:color w:val="auto"/>
              </w:rPr>
              <w:t>Additional Subsidiary Guarantees</w:t>
            </w:r>
          </w:p>
        </w:tc>
        <w:tc>
          <w:tcPr>
            <w:tcW w:w="1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4.11</w:t>
            </w:r>
          </w:p>
        </w:tc>
        <w:tc>
          <w:tcPr>
            <w:tcW w:w="8380" w:type="dxa"/>
            <w:vAlign w:val="bottom"/>
          </w:tcPr>
          <w:p>
            <w:pPr>
              <w:ind w:left="220"/>
              <w:spacing w:after="0"/>
              <w:rPr>
                <w:sz w:val="20"/>
                <w:szCs w:val="20"/>
                <w:color w:val="auto"/>
              </w:rPr>
            </w:pPr>
            <w:r>
              <w:rPr>
                <w:rFonts w:ascii="Arial" w:cs="Arial" w:eastAsia="Arial" w:hAnsi="Arial"/>
                <w:sz w:val="18"/>
                <w:szCs w:val="18"/>
                <w:color w:val="auto"/>
              </w:rPr>
              <w:t>Holding Company Status</w:t>
            </w:r>
          </w:p>
        </w:tc>
        <w:tc>
          <w:tcPr>
            <w:tcW w:w="1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675"/>
        </w:trPr>
        <w:tc>
          <w:tcPr>
            <w:tcW w:w="114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i w:val="1"/>
                <w:iCs w:val="1"/>
                <w:color w:val="auto"/>
              </w:rPr>
              <w:t>Page</w:t>
            </w:r>
          </w:p>
        </w:tc>
      </w:tr>
      <w:tr>
        <w:trPr>
          <w:trHeight w:val="418"/>
        </w:trPr>
        <w:tc>
          <w:tcPr>
            <w:tcW w:w="1140" w:type="dxa"/>
            <w:vAlign w:val="bottom"/>
          </w:tcPr>
          <w:p>
            <w:pPr>
              <w:spacing w:after="0"/>
              <w:rPr>
                <w:sz w:val="24"/>
                <w:szCs w:val="24"/>
                <w:color w:val="auto"/>
              </w:rPr>
            </w:pPr>
          </w:p>
        </w:tc>
        <w:tc>
          <w:tcPr>
            <w:tcW w:w="8520" w:type="dxa"/>
            <w:vAlign w:val="bottom"/>
          </w:tcPr>
          <w:p>
            <w:pPr>
              <w:jc w:val="center"/>
              <w:ind w:left="590"/>
              <w:spacing w:after="0"/>
              <w:rPr>
                <w:sz w:val="20"/>
                <w:szCs w:val="20"/>
                <w:color w:val="auto"/>
              </w:rPr>
            </w:pPr>
            <w:r>
              <w:rPr>
                <w:rFonts w:ascii="Arial" w:cs="Arial" w:eastAsia="Arial" w:hAnsi="Arial"/>
                <w:sz w:val="18"/>
                <w:szCs w:val="18"/>
                <w:color w:val="auto"/>
                <w:w w:val="96"/>
              </w:rPr>
              <w:t>ARTICLE 5</w:t>
            </w:r>
          </w:p>
        </w:tc>
        <w:tc>
          <w:tcPr>
            <w:tcW w:w="158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520" w:type="dxa"/>
            <w:vAlign w:val="bottom"/>
          </w:tcPr>
          <w:p>
            <w:pPr>
              <w:jc w:val="center"/>
              <w:ind w:left="590"/>
              <w:spacing w:after="0"/>
              <w:rPr>
                <w:sz w:val="20"/>
                <w:szCs w:val="20"/>
                <w:color w:val="auto"/>
              </w:rPr>
            </w:pPr>
            <w:r>
              <w:rPr>
                <w:rFonts w:ascii="Arial" w:cs="Arial" w:eastAsia="Arial" w:hAnsi="Arial"/>
                <w:sz w:val="18"/>
                <w:szCs w:val="18"/>
                <w:color w:val="auto"/>
                <w:w w:val="88"/>
              </w:rPr>
              <w:t>SUCCESSORS</w:t>
            </w:r>
          </w:p>
        </w:tc>
        <w:tc>
          <w:tcPr>
            <w:tcW w:w="158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5.01</w:t>
            </w:r>
          </w:p>
        </w:tc>
        <w:tc>
          <w:tcPr>
            <w:tcW w:w="8520" w:type="dxa"/>
            <w:vAlign w:val="bottom"/>
          </w:tcPr>
          <w:p>
            <w:pPr>
              <w:ind w:left="220"/>
              <w:spacing w:after="0"/>
              <w:rPr>
                <w:sz w:val="20"/>
                <w:szCs w:val="20"/>
                <w:color w:val="auto"/>
              </w:rPr>
            </w:pPr>
            <w:r>
              <w:rPr>
                <w:rFonts w:ascii="Arial" w:cs="Arial" w:eastAsia="Arial" w:hAnsi="Arial"/>
                <w:sz w:val="18"/>
                <w:szCs w:val="18"/>
                <w:color w:val="auto"/>
              </w:rPr>
              <w:t>Merger, Consolidation or Sale of Assets</w:t>
            </w: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5.02</w:t>
            </w:r>
          </w:p>
        </w:tc>
        <w:tc>
          <w:tcPr>
            <w:tcW w:w="8520" w:type="dxa"/>
            <w:vAlign w:val="bottom"/>
          </w:tcPr>
          <w:p>
            <w:pPr>
              <w:ind w:left="220"/>
              <w:spacing w:after="0"/>
              <w:rPr>
                <w:sz w:val="20"/>
                <w:szCs w:val="20"/>
                <w:color w:val="auto"/>
              </w:rPr>
            </w:pPr>
            <w:r>
              <w:rPr>
                <w:rFonts w:ascii="Arial" w:cs="Arial" w:eastAsia="Arial" w:hAnsi="Arial"/>
                <w:sz w:val="18"/>
                <w:szCs w:val="18"/>
                <w:color w:val="auto"/>
              </w:rPr>
              <w:t>Successor Entity Substituted</w:t>
            </w:r>
          </w:p>
        </w:tc>
        <w:tc>
          <w:tcPr>
            <w:tcW w:w="15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8"/>
        </w:trPr>
        <w:tc>
          <w:tcPr>
            <w:tcW w:w="1140" w:type="dxa"/>
            <w:vAlign w:val="bottom"/>
          </w:tcPr>
          <w:p>
            <w:pPr>
              <w:spacing w:after="0"/>
              <w:rPr>
                <w:sz w:val="24"/>
                <w:szCs w:val="24"/>
                <w:color w:val="auto"/>
              </w:rPr>
            </w:pPr>
          </w:p>
        </w:tc>
        <w:tc>
          <w:tcPr>
            <w:tcW w:w="8520" w:type="dxa"/>
            <w:vAlign w:val="bottom"/>
          </w:tcPr>
          <w:p>
            <w:pPr>
              <w:jc w:val="center"/>
              <w:ind w:left="590"/>
              <w:spacing w:after="0"/>
              <w:rPr>
                <w:sz w:val="20"/>
                <w:szCs w:val="20"/>
                <w:color w:val="auto"/>
              </w:rPr>
            </w:pPr>
            <w:r>
              <w:rPr>
                <w:rFonts w:ascii="Arial" w:cs="Arial" w:eastAsia="Arial" w:hAnsi="Arial"/>
                <w:sz w:val="18"/>
                <w:szCs w:val="18"/>
                <w:color w:val="auto"/>
                <w:w w:val="96"/>
              </w:rPr>
              <w:t>ARTICLE 6</w:t>
            </w:r>
          </w:p>
        </w:tc>
        <w:tc>
          <w:tcPr>
            <w:tcW w:w="158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520" w:type="dxa"/>
            <w:vAlign w:val="bottom"/>
          </w:tcPr>
          <w:p>
            <w:pPr>
              <w:jc w:val="center"/>
              <w:ind w:left="590"/>
              <w:spacing w:after="0"/>
              <w:rPr>
                <w:sz w:val="20"/>
                <w:szCs w:val="20"/>
                <w:color w:val="auto"/>
              </w:rPr>
            </w:pPr>
            <w:r>
              <w:rPr>
                <w:rFonts w:ascii="Arial" w:cs="Arial" w:eastAsia="Arial" w:hAnsi="Arial"/>
                <w:sz w:val="18"/>
                <w:szCs w:val="18"/>
                <w:color w:val="auto"/>
                <w:w w:val="96"/>
              </w:rPr>
              <w:t>DEFAULTS AND REMEDIES</w:t>
            </w:r>
          </w:p>
        </w:tc>
        <w:tc>
          <w:tcPr>
            <w:tcW w:w="158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6.01</w:t>
            </w:r>
          </w:p>
        </w:tc>
        <w:tc>
          <w:tcPr>
            <w:tcW w:w="852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15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6.02</w:t>
            </w:r>
          </w:p>
        </w:tc>
        <w:tc>
          <w:tcPr>
            <w:tcW w:w="8520" w:type="dxa"/>
            <w:vAlign w:val="bottom"/>
          </w:tcPr>
          <w:p>
            <w:pPr>
              <w:ind w:left="220"/>
              <w:spacing w:after="0"/>
              <w:rPr>
                <w:sz w:val="20"/>
                <w:szCs w:val="20"/>
                <w:color w:val="auto"/>
              </w:rPr>
            </w:pPr>
            <w:r>
              <w:rPr>
                <w:rFonts w:ascii="Arial" w:cs="Arial" w:eastAsia="Arial" w:hAnsi="Arial"/>
                <w:sz w:val="18"/>
                <w:szCs w:val="18"/>
                <w:color w:val="auto"/>
              </w:rPr>
              <w:t>Acceleration</w:t>
            </w:r>
          </w:p>
        </w:tc>
        <w:tc>
          <w:tcPr>
            <w:tcW w:w="15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6.03</w:t>
            </w:r>
          </w:p>
        </w:tc>
        <w:tc>
          <w:tcPr>
            <w:tcW w:w="8520" w:type="dxa"/>
            <w:vAlign w:val="bottom"/>
          </w:tcPr>
          <w:p>
            <w:pPr>
              <w:ind w:left="220"/>
              <w:spacing w:after="0"/>
              <w:rPr>
                <w:sz w:val="20"/>
                <w:szCs w:val="20"/>
                <w:color w:val="auto"/>
              </w:rPr>
            </w:pPr>
            <w:r>
              <w:rPr>
                <w:rFonts w:ascii="Arial" w:cs="Arial" w:eastAsia="Arial" w:hAnsi="Arial"/>
                <w:sz w:val="18"/>
                <w:szCs w:val="18"/>
                <w:color w:val="auto"/>
              </w:rPr>
              <w:t>Other Remedies</w:t>
            </w:r>
          </w:p>
        </w:tc>
        <w:tc>
          <w:tcPr>
            <w:tcW w:w="1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6.04</w:t>
            </w:r>
          </w:p>
        </w:tc>
        <w:tc>
          <w:tcPr>
            <w:tcW w:w="8520" w:type="dxa"/>
            <w:vAlign w:val="bottom"/>
          </w:tcPr>
          <w:p>
            <w:pPr>
              <w:ind w:left="220"/>
              <w:spacing w:after="0"/>
              <w:rPr>
                <w:sz w:val="20"/>
                <w:szCs w:val="20"/>
                <w:color w:val="auto"/>
              </w:rPr>
            </w:pPr>
            <w:r>
              <w:rPr>
                <w:rFonts w:ascii="Arial" w:cs="Arial" w:eastAsia="Arial" w:hAnsi="Arial"/>
                <w:sz w:val="18"/>
                <w:szCs w:val="18"/>
                <w:color w:val="auto"/>
              </w:rPr>
              <w:t>Waiver of Past Defaults</w:t>
            </w:r>
          </w:p>
        </w:tc>
        <w:tc>
          <w:tcPr>
            <w:tcW w:w="1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6.05</w:t>
            </w:r>
          </w:p>
        </w:tc>
        <w:tc>
          <w:tcPr>
            <w:tcW w:w="8520" w:type="dxa"/>
            <w:vAlign w:val="bottom"/>
          </w:tcPr>
          <w:p>
            <w:pPr>
              <w:ind w:left="220"/>
              <w:spacing w:after="0"/>
              <w:rPr>
                <w:sz w:val="20"/>
                <w:szCs w:val="20"/>
                <w:color w:val="auto"/>
              </w:rPr>
            </w:pPr>
            <w:r>
              <w:rPr>
                <w:rFonts w:ascii="Arial" w:cs="Arial" w:eastAsia="Arial" w:hAnsi="Arial"/>
                <w:sz w:val="18"/>
                <w:szCs w:val="18"/>
                <w:color w:val="auto"/>
              </w:rPr>
              <w:t>Control by Majority</w:t>
            </w:r>
          </w:p>
        </w:tc>
        <w:tc>
          <w:tcPr>
            <w:tcW w:w="1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6.06</w:t>
            </w:r>
          </w:p>
        </w:tc>
        <w:tc>
          <w:tcPr>
            <w:tcW w:w="8520" w:type="dxa"/>
            <w:vAlign w:val="bottom"/>
          </w:tcPr>
          <w:p>
            <w:pPr>
              <w:ind w:left="220"/>
              <w:spacing w:after="0"/>
              <w:rPr>
                <w:sz w:val="20"/>
                <w:szCs w:val="20"/>
                <w:color w:val="auto"/>
              </w:rPr>
            </w:pPr>
            <w:r>
              <w:rPr>
                <w:rFonts w:ascii="Arial" w:cs="Arial" w:eastAsia="Arial" w:hAnsi="Arial"/>
                <w:sz w:val="18"/>
                <w:szCs w:val="18"/>
                <w:color w:val="auto"/>
              </w:rPr>
              <w:t>Limitation on Suits</w:t>
            </w:r>
          </w:p>
        </w:tc>
        <w:tc>
          <w:tcPr>
            <w:tcW w:w="1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6.07</w:t>
            </w:r>
          </w:p>
        </w:tc>
        <w:tc>
          <w:tcPr>
            <w:tcW w:w="8520" w:type="dxa"/>
            <w:vAlign w:val="bottom"/>
          </w:tcPr>
          <w:p>
            <w:pPr>
              <w:ind w:left="220"/>
              <w:spacing w:after="0"/>
              <w:rPr>
                <w:sz w:val="20"/>
                <w:szCs w:val="20"/>
                <w:color w:val="auto"/>
              </w:rPr>
            </w:pPr>
            <w:r>
              <w:rPr>
                <w:rFonts w:ascii="Arial" w:cs="Arial" w:eastAsia="Arial" w:hAnsi="Arial"/>
                <w:sz w:val="18"/>
                <w:szCs w:val="18"/>
                <w:color w:val="auto"/>
              </w:rPr>
              <w:t>Rights of Holders of Notes to Receive Payment</w:t>
            </w:r>
          </w:p>
        </w:tc>
        <w:tc>
          <w:tcPr>
            <w:tcW w:w="1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6.08</w:t>
            </w:r>
          </w:p>
        </w:tc>
        <w:tc>
          <w:tcPr>
            <w:tcW w:w="8520" w:type="dxa"/>
            <w:vAlign w:val="bottom"/>
          </w:tcPr>
          <w:p>
            <w:pPr>
              <w:ind w:left="220"/>
              <w:spacing w:after="0"/>
              <w:rPr>
                <w:sz w:val="20"/>
                <w:szCs w:val="20"/>
                <w:color w:val="auto"/>
              </w:rPr>
            </w:pPr>
            <w:r>
              <w:rPr>
                <w:rFonts w:ascii="Arial" w:cs="Arial" w:eastAsia="Arial" w:hAnsi="Arial"/>
                <w:sz w:val="18"/>
                <w:szCs w:val="18"/>
                <w:color w:val="auto"/>
              </w:rPr>
              <w:t>Collection Suit by Trustee</w:t>
            </w:r>
          </w:p>
        </w:tc>
        <w:tc>
          <w:tcPr>
            <w:tcW w:w="1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6.09</w:t>
            </w:r>
          </w:p>
        </w:tc>
        <w:tc>
          <w:tcPr>
            <w:tcW w:w="8520" w:type="dxa"/>
            <w:vAlign w:val="bottom"/>
          </w:tcPr>
          <w:p>
            <w:pPr>
              <w:ind w:left="220"/>
              <w:spacing w:after="0"/>
              <w:rPr>
                <w:sz w:val="20"/>
                <w:szCs w:val="20"/>
                <w:color w:val="auto"/>
              </w:rPr>
            </w:pPr>
            <w:r>
              <w:rPr>
                <w:rFonts w:ascii="Arial" w:cs="Arial" w:eastAsia="Arial" w:hAnsi="Arial"/>
                <w:sz w:val="18"/>
                <w:szCs w:val="18"/>
                <w:color w:val="auto"/>
              </w:rPr>
              <w:t>Trustee May File Proofs of Claim</w:t>
            </w:r>
          </w:p>
        </w:tc>
        <w:tc>
          <w:tcPr>
            <w:tcW w:w="1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6.10</w:t>
            </w:r>
          </w:p>
        </w:tc>
        <w:tc>
          <w:tcPr>
            <w:tcW w:w="8520" w:type="dxa"/>
            <w:vAlign w:val="bottom"/>
          </w:tcPr>
          <w:p>
            <w:pPr>
              <w:ind w:left="220"/>
              <w:spacing w:after="0"/>
              <w:rPr>
                <w:sz w:val="20"/>
                <w:szCs w:val="20"/>
                <w:color w:val="auto"/>
              </w:rPr>
            </w:pPr>
            <w:r>
              <w:rPr>
                <w:rFonts w:ascii="Arial" w:cs="Arial" w:eastAsia="Arial" w:hAnsi="Arial"/>
                <w:sz w:val="18"/>
                <w:szCs w:val="18"/>
                <w:color w:val="auto"/>
              </w:rPr>
              <w:t>Priorities</w:t>
            </w:r>
          </w:p>
        </w:tc>
        <w:tc>
          <w:tcPr>
            <w:tcW w:w="1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6.11</w:t>
            </w:r>
          </w:p>
        </w:tc>
        <w:tc>
          <w:tcPr>
            <w:tcW w:w="8520" w:type="dxa"/>
            <w:vAlign w:val="bottom"/>
          </w:tcPr>
          <w:p>
            <w:pPr>
              <w:ind w:left="220"/>
              <w:spacing w:after="0"/>
              <w:rPr>
                <w:sz w:val="20"/>
                <w:szCs w:val="20"/>
                <w:color w:val="auto"/>
              </w:rPr>
            </w:pPr>
            <w:r>
              <w:rPr>
                <w:rFonts w:ascii="Arial" w:cs="Arial" w:eastAsia="Arial" w:hAnsi="Arial"/>
                <w:sz w:val="18"/>
                <w:szCs w:val="18"/>
                <w:color w:val="auto"/>
              </w:rPr>
              <w:t>Undertaking for Costs</w:t>
            </w:r>
          </w:p>
        </w:tc>
        <w:tc>
          <w:tcPr>
            <w:tcW w:w="15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8"/>
        </w:trPr>
        <w:tc>
          <w:tcPr>
            <w:tcW w:w="1140" w:type="dxa"/>
            <w:vAlign w:val="bottom"/>
          </w:tcPr>
          <w:p>
            <w:pPr>
              <w:spacing w:after="0"/>
              <w:rPr>
                <w:sz w:val="24"/>
                <w:szCs w:val="24"/>
                <w:color w:val="auto"/>
              </w:rPr>
            </w:pPr>
          </w:p>
        </w:tc>
        <w:tc>
          <w:tcPr>
            <w:tcW w:w="8520" w:type="dxa"/>
            <w:vAlign w:val="bottom"/>
          </w:tcPr>
          <w:p>
            <w:pPr>
              <w:jc w:val="center"/>
              <w:ind w:left="590"/>
              <w:spacing w:after="0"/>
              <w:rPr>
                <w:sz w:val="20"/>
                <w:szCs w:val="20"/>
                <w:color w:val="auto"/>
              </w:rPr>
            </w:pPr>
            <w:r>
              <w:rPr>
                <w:rFonts w:ascii="Arial" w:cs="Arial" w:eastAsia="Arial" w:hAnsi="Arial"/>
                <w:sz w:val="18"/>
                <w:szCs w:val="18"/>
                <w:color w:val="auto"/>
                <w:w w:val="96"/>
              </w:rPr>
              <w:t>ARTICLE 7</w:t>
            </w:r>
          </w:p>
        </w:tc>
        <w:tc>
          <w:tcPr>
            <w:tcW w:w="158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520" w:type="dxa"/>
            <w:vAlign w:val="bottom"/>
          </w:tcPr>
          <w:p>
            <w:pPr>
              <w:jc w:val="center"/>
              <w:ind w:left="590"/>
              <w:spacing w:after="0"/>
              <w:rPr>
                <w:sz w:val="20"/>
                <w:szCs w:val="20"/>
                <w:color w:val="auto"/>
              </w:rPr>
            </w:pPr>
            <w:r>
              <w:rPr>
                <w:rFonts w:ascii="Arial" w:cs="Arial" w:eastAsia="Arial" w:hAnsi="Arial"/>
                <w:sz w:val="18"/>
                <w:szCs w:val="18"/>
                <w:color w:val="auto"/>
                <w:w w:val="95"/>
              </w:rPr>
              <w:t>TRUSTEE</w:t>
            </w:r>
          </w:p>
        </w:tc>
        <w:tc>
          <w:tcPr>
            <w:tcW w:w="158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7.01</w:t>
            </w:r>
          </w:p>
        </w:tc>
        <w:tc>
          <w:tcPr>
            <w:tcW w:w="8520" w:type="dxa"/>
            <w:vAlign w:val="bottom"/>
          </w:tcPr>
          <w:p>
            <w:pPr>
              <w:ind w:left="220"/>
              <w:spacing w:after="0"/>
              <w:rPr>
                <w:sz w:val="20"/>
                <w:szCs w:val="20"/>
                <w:color w:val="auto"/>
              </w:rPr>
            </w:pPr>
            <w:r>
              <w:rPr>
                <w:rFonts w:ascii="Arial" w:cs="Arial" w:eastAsia="Arial" w:hAnsi="Arial"/>
                <w:sz w:val="18"/>
                <w:szCs w:val="18"/>
                <w:color w:val="auto"/>
              </w:rPr>
              <w:t>Duties of Trustee</w:t>
            </w:r>
          </w:p>
        </w:tc>
        <w:tc>
          <w:tcPr>
            <w:tcW w:w="15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7.02</w:t>
            </w:r>
          </w:p>
        </w:tc>
        <w:tc>
          <w:tcPr>
            <w:tcW w:w="8520" w:type="dxa"/>
            <w:vAlign w:val="bottom"/>
          </w:tcPr>
          <w:p>
            <w:pPr>
              <w:ind w:left="220"/>
              <w:spacing w:after="0"/>
              <w:rPr>
                <w:sz w:val="20"/>
                <w:szCs w:val="20"/>
                <w:color w:val="auto"/>
              </w:rPr>
            </w:pPr>
            <w:r>
              <w:rPr>
                <w:rFonts w:ascii="Arial" w:cs="Arial" w:eastAsia="Arial" w:hAnsi="Arial"/>
                <w:sz w:val="18"/>
                <w:szCs w:val="18"/>
                <w:color w:val="auto"/>
              </w:rPr>
              <w:t>Rights of Trustee</w:t>
            </w:r>
          </w:p>
        </w:tc>
        <w:tc>
          <w:tcPr>
            <w:tcW w:w="15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7.03</w:t>
            </w:r>
          </w:p>
        </w:tc>
        <w:tc>
          <w:tcPr>
            <w:tcW w:w="8520" w:type="dxa"/>
            <w:vAlign w:val="bottom"/>
          </w:tcPr>
          <w:p>
            <w:pPr>
              <w:ind w:left="220"/>
              <w:spacing w:after="0"/>
              <w:rPr>
                <w:sz w:val="20"/>
                <w:szCs w:val="20"/>
                <w:color w:val="auto"/>
              </w:rPr>
            </w:pPr>
            <w:r>
              <w:rPr>
                <w:rFonts w:ascii="Arial" w:cs="Arial" w:eastAsia="Arial" w:hAnsi="Arial"/>
                <w:sz w:val="18"/>
                <w:szCs w:val="18"/>
                <w:color w:val="auto"/>
              </w:rPr>
              <w:t>Individual Rights of Trustee</w:t>
            </w:r>
          </w:p>
        </w:tc>
        <w:tc>
          <w:tcPr>
            <w:tcW w:w="15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7.04</w:t>
            </w:r>
          </w:p>
        </w:tc>
        <w:tc>
          <w:tcPr>
            <w:tcW w:w="8520" w:type="dxa"/>
            <w:vAlign w:val="bottom"/>
          </w:tcPr>
          <w:p>
            <w:pPr>
              <w:ind w:left="220"/>
              <w:spacing w:after="0"/>
              <w:rPr>
                <w:sz w:val="20"/>
                <w:szCs w:val="20"/>
                <w:color w:val="auto"/>
              </w:rPr>
            </w:pPr>
            <w:r>
              <w:rPr>
                <w:rFonts w:ascii="Arial" w:cs="Arial" w:eastAsia="Arial" w:hAnsi="Arial"/>
                <w:sz w:val="18"/>
                <w:szCs w:val="18"/>
                <w:color w:val="auto"/>
              </w:rPr>
              <w:t>Trustee’s Disclaimer</w:t>
            </w:r>
          </w:p>
        </w:tc>
        <w:tc>
          <w:tcPr>
            <w:tcW w:w="15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7.05</w:t>
            </w:r>
          </w:p>
        </w:tc>
        <w:tc>
          <w:tcPr>
            <w:tcW w:w="8520" w:type="dxa"/>
            <w:vAlign w:val="bottom"/>
          </w:tcPr>
          <w:p>
            <w:pPr>
              <w:ind w:left="220"/>
              <w:spacing w:after="0"/>
              <w:rPr>
                <w:sz w:val="20"/>
                <w:szCs w:val="20"/>
                <w:color w:val="auto"/>
              </w:rPr>
            </w:pPr>
            <w:r>
              <w:rPr>
                <w:rFonts w:ascii="Arial" w:cs="Arial" w:eastAsia="Arial" w:hAnsi="Arial"/>
                <w:sz w:val="18"/>
                <w:szCs w:val="18"/>
                <w:color w:val="auto"/>
              </w:rPr>
              <w:t>Notice of Defaults</w:t>
            </w:r>
          </w:p>
        </w:tc>
        <w:tc>
          <w:tcPr>
            <w:tcW w:w="1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7.06</w:t>
            </w:r>
          </w:p>
        </w:tc>
        <w:tc>
          <w:tcPr>
            <w:tcW w:w="8520" w:type="dxa"/>
            <w:vAlign w:val="bottom"/>
          </w:tcPr>
          <w:p>
            <w:pPr>
              <w:ind w:left="220"/>
              <w:spacing w:after="0"/>
              <w:rPr>
                <w:sz w:val="20"/>
                <w:szCs w:val="20"/>
                <w:color w:val="auto"/>
              </w:rPr>
            </w:pPr>
            <w:r>
              <w:rPr>
                <w:rFonts w:ascii="Arial" w:cs="Arial" w:eastAsia="Arial" w:hAnsi="Arial"/>
                <w:sz w:val="18"/>
                <w:szCs w:val="18"/>
                <w:color w:val="auto"/>
              </w:rPr>
              <w:t>[Reserved]</w:t>
            </w:r>
          </w:p>
        </w:tc>
        <w:tc>
          <w:tcPr>
            <w:tcW w:w="1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7.07</w:t>
            </w:r>
          </w:p>
        </w:tc>
        <w:tc>
          <w:tcPr>
            <w:tcW w:w="8520" w:type="dxa"/>
            <w:vAlign w:val="bottom"/>
          </w:tcPr>
          <w:p>
            <w:pPr>
              <w:ind w:left="220"/>
              <w:spacing w:after="0"/>
              <w:rPr>
                <w:sz w:val="20"/>
                <w:szCs w:val="20"/>
                <w:color w:val="auto"/>
              </w:rPr>
            </w:pPr>
            <w:r>
              <w:rPr>
                <w:rFonts w:ascii="Arial" w:cs="Arial" w:eastAsia="Arial" w:hAnsi="Arial"/>
                <w:sz w:val="18"/>
                <w:szCs w:val="18"/>
                <w:color w:val="auto"/>
              </w:rPr>
              <w:t>Compensation and Indemnity</w:t>
            </w:r>
          </w:p>
        </w:tc>
        <w:tc>
          <w:tcPr>
            <w:tcW w:w="1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7.08</w:t>
            </w:r>
          </w:p>
        </w:tc>
        <w:tc>
          <w:tcPr>
            <w:tcW w:w="8520" w:type="dxa"/>
            <w:vAlign w:val="bottom"/>
          </w:tcPr>
          <w:p>
            <w:pPr>
              <w:ind w:left="220"/>
              <w:spacing w:after="0"/>
              <w:rPr>
                <w:sz w:val="20"/>
                <w:szCs w:val="20"/>
                <w:color w:val="auto"/>
              </w:rPr>
            </w:pPr>
            <w:r>
              <w:rPr>
                <w:rFonts w:ascii="Arial" w:cs="Arial" w:eastAsia="Arial" w:hAnsi="Arial"/>
                <w:sz w:val="18"/>
                <w:szCs w:val="18"/>
                <w:color w:val="auto"/>
              </w:rPr>
              <w:t>Replacement of Trustee</w:t>
            </w:r>
          </w:p>
        </w:tc>
        <w:tc>
          <w:tcPr>
            <w:tcW w:w="15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7.09</w:t>
            </w:r>
          </w:p>
        </w:tc>
        <w:tc>
          <w:tcPr>
            <w:tcW w:w="8520" w:type="dxa"/>
            <w:vAlign w:val="bottom"/>
          </w:tcPr>
          <w:p>
            <w:pPr>
              <w:ind w:left="220"/>
              <w:spacing w:after="0"/>
              <w:rPr>
                <w:sz w:val="20"/>
                <w:szCs w:val="20"/>
                <w:color w:val="auto"/>
              </w:rPr>
            </w:pPr>
            <w:r>
              <w:rPr>
                <w:rFonts w:ascii="Arial" w:cs="Arial" w:eastAsia="Arial" w:hAnsi="Arial"/>
                <w:sz w:val="18"/>
                <w:szCs w:val="18"/>
                <w:color w:val="auto"/>
              </w:rPr>
              <w:t>Successor Trustee by Merger, etc.</w:t>
            </w: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7.10</w:t>
            </w:r>
          </w:p>
        </w:tc>
        <w:tc>
          <w:tcPr>
            <w:tcW w:w="8520" w:type="dxa"/>
            <w:vAlign w:val="bottom"/>
          </w:tcPr>
          <w:p>
            <w:pPr>
              <w:ind w:left="220"/>
              <w:spacing w:after="0"/>
              <w:rPr>
                <w:sz w:val="20"/>
                <w:szCs w:val="20"/>
                <w:color w:val="auto"/>
              </w:rPr>
            </w:pPr>
            <w:r>
              <w:rPr>
                <w:rFonts w:ascii="Arial" w:cs="Arial" w:eastAsia="Arial" w:hAnsi="Arial"/>
                <w:sz w:val="18"/>
                <w:szCs w:val="18"/>
                <w:color w:val="auto"/>
              </w:rPr>
              <w:t>Eligibility; Disqualification</w:t>
            </w: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7.11</w:t>
            </w:r>
          </w:p>
        </w:tc>
        <w:tc>
          <w:tcPr>
            <w:tcW w:w="8520" w:type="dxa"/>
            <w:vAlign w:val="bottom"/>
          </w:tcPr>
          <w:p>
            <w:pPr>
              <w:ind w:left="220"/>
              <w:spacing w:after="0"/>
              <w:rPr>
                <w:sz w:val="20"/>
                <w:szCs w:val="20"/>
                <w:color w:val="auto"/>
              </w:rPr>
            </w:pPr>
            <w:r>
              <w:rPr>
                <w:rFonts w:ascii="Arial" w:cs="Arial" w:eastAsia="Arial" w:hAnsi="Arial"/>
                <w:sz w:val="18"/>
                <w:szCs w:val="18"/>
                <w:color w:val="auto"/>
              </w:rPr>
              <w:t>[Reserved]</w:t>
            </w: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18"/>
        </w:trPr>
        <w:tc>
          <w:tcPr>
            <w:tcW w:w="1140" w:type="dxa"/>
            <w:vAlign w:val="bottom"/>
          </w:tcPr>
          <w:p>
            <w:pPr>
              <w:spacing w:after="0"/>
              <w:rPr>
                <w:sz w:val="24"/>
                <w:szCs w:val="24"/>
                <w:color w:val="auto"/>
              </w:rPr>
            </w:pPr>
          </w:p>
        </w:tc>
        <w:tc>
          <w:tcPr>
            <w:tcW w:w="8520" w:type="dxa"/>
            <w:vAlign w:val="bottom"/>
          </w:tcPr>
          <w:p>
            <w:pPr>
              <w:jc w:val="center"/>
              <w:ind w:left="590"/>
              <w:spacing w:after="0"/>
              <w:rPr>
                <w:sz w:val="20"/>
                <w:szCs w:val="20"/>
                <w:color w:val="auto"/>
              </w:rPr>
            </w:pPr>
            <w:r>
              <w:rPr>
                <w:rFonts w:ascii="Arial" w:cs="Arial" w:eastAsia="Arial" w:hAnsi="Arial"/>
                <w:sz w:val="18"/>
                <w:szCs w:val="18"/>
                <w:color w:val="auto"/>
                <w:w w:val="96"/>
              </w:rPr>
              <w:t>ARTICLE 8</w:t>
            </w:r>
          </w:p>
        </w:tc>
        <w:tc>
          <w:tcPr>
            <w:tcW w:w="158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520" w:type="dxa"/>
            <w:vAlign w:val="bottom"/>
          </w:tcPr>
          <w:p>
            <w:pPr>
              <w:jc w:val="center"/>
              <w:ind w:left="590"/>
              <w:spacing w:after="0"/>
              <w:rPr>
                <w:sz w:val="20"/>
                <w:szCs w:val="20"/>
                <w:color w:val="auto"/>
              </w:rPr>
            </w:pPr>
            <w:r>
              <w:rPr>
                <w:rFonts w:ascii="Arial" w:cs="Arial" w:eastAsia="Arial" w:hAnsi="Arial"/>
                <w:sz w:val="18"/>
                <w:szCs w:val="18"/>
                <w:color w:val="auto"/>
                <w:w w:val="97"/>
              </w:rPr>
              <w:t>LEGAL DEFEASANCE AND COVENANT DEFEASANCE</w:t>
            </w:r>
          </w:p>
        </w:tc>
        <w:tc>
          <w:tcPr>
            <w:tcW w:w="158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8.01</w:t>
            </w:r>
          </w:p>
        </w:tc>
        <w:tc>
          <w:tcPr>
            <w:tcW w:w="8520" w:type="dxa"/>
            <w:vAlign w:val="bottom"/>
          </w:tcPr>
          <w:p>
            <w:pPr>
              <w:ind w:left="220"/>
              <w:spacing w:after="0"/>
              <w:rPr>
                <w:sz w:val="20"/>
                <w:szCs w:val="20"/>
                <w:color w:val="auto"/>
              </w:rPr>
            </w:pPr>
            <w:r>
              <w:rPr>
                <w:rFonts w:ascii="Arial" w:cs="Arial" w:eastAsia="Arial" w:hAnsi="Arial"/>
                <w:sz w:val="18"/>
                <w:szCs w:val="18"/>
                <w:color w:val="auto"/>
              </w:rPr>
              <w:t>Option to Effect Legal Defeasance or Covenant Defeasance</w:t>
            </w: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8.02</w:t>
            </w:r>
          </w:p>
        </w:tc>
        <w:tc>
          <w:tcPr>
            <w:tcW w:w="8520" w:type="dxa"/>
            <w:vAlign w:val="bottom"/>
          </w:tcPr>
          <w:p>
            <w:pPr>
              <w:ind w:left="220"/>
              <w:spacing w:after="0"/>
              <w:rPr>
                <w:sz w:val="20"/>
                <w:szCs w:val="20"/>
                <w:color w:val="auto"/>
              </w:rPr>
            </w:pPr>
            <w:r>
              <w:rPr>
                <w:rFonts w:ascii="Arial" w:cs="Arial" w:eastAsia="Arial" w:hAnsi="Arial"/>
                <w:sz w:val="18"/>
                <w:szCs w:val="18"/>
                <w:color w:val="auto"/>
              </w:rPr>
              <w:t>Legal Defeasance and Discharge</w:t>
            </w: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8.03</w:t>
            </w:r>
          </w:p>
        </w:tc>
        <w:tc>
          <w:tcPr>
            <w:tcW w:w="8520" w:type="dxa"/>
            <w:vAlign w:val="bottom"/>
          </w:tcPr>
          <w:p>
            <w:pPr>
              <w:ind w:left="220"/>
              <w:spacing w:after="0"/>
              <w:rPr>
                <w:sz w:val="20"/>
                <w:szCs w:val="20"/>
                <w:color w:val="auto"/>
              </w:rPr>
            </w:pPr>
            <w:r>
              <w:rPr>
                <w:rFonts w:ascii="Arial" w:cs="Arial" w:eastAsia="Arial" w:hAnsi="Arial"/>
                <w:sz w:val="18"/>
                <w:szCs w:val="18"/>
                <w:color w:val="auto"/>
              </w:rPr>
              <w:t>Covenant Defeasance</w:t>
            </w:r>
          </w:p>
        </w:tc>
        <w:tc>
          <w:tcPr>
            <w:tcW w:w="15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8.04</w:t>
            </w:r>
          </w:p>
        </w:tc>
        <w:tc>
          <w:tcPr>
            <w:tcW w:w="8520" w:type="dxa"/>
            <w:vAlign w:val="bottom"/>
          </w:tcPr>
          <w:p>
            <w:pPr>
              <w:ind w:left="220"/>
              <w:spacing w:after="0"/>
              <w:rPr>
                <w:sz w:val="20"/>
                <w:szCs w:val="20"/>
                <w:color w:val="auto"/>
              </w:rPr>
            </w:pPr>
            <w:r>
              <w:rPr>
                <w:rFonts w:ascii="Arial" w:cs="Arial" w:eastAsia="Arial" w:hAnsi="Arial"/>
                <w:sz w:val="18"/>
                <w:szCs w:val="18"/>
                <w:color w:val="auto"/>
              </w:rPr>
              <w:t>Conditions to Legal or Covenant Defeasance</w:t>
            </w:r>
          </w:p>
        </w:tc>
        <w:tc>
          <w:tcPr>
            <w:tcW w:w="15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8.05</w:t>
            </w:r>
          </w:p>
        </w:tc>
        <w:tc>
          <w:tcPr>
            <w:tcW w:w="8520" w:type="dxa"/>
            <w:vAlign w:val="bottom"/>
          </w:tcPr>
          <w:p>
            <w:pPr>
              <w:ind w:left="220"/>
              <w:spacing w:after="0"/>
              <w:rPr>
                <w:sz w:val="20"/>
                <w:szCs w:val="20"/>
                <w:color w:val="auto"/>
              </w:rPr>
            </w:pPr>
            <w:r>
              <w:rPr>
                <w:rFonts w:ascii="Arial" w:cs="Arial" w:eastAsia="Arial" w:hAnsi="Arial"/>
                <w:sz w:val="18"/>
                <w:szCs w:val="18"/>
                <w:color w:val="auto"/>
              </w:rPr>
              <w:t>Deposited Money and Government Securities to be Held in Trust; Other Miscellaneous Provisions</w:t>
            </w:r>
          </w:p>
        </w:tc>
        <w:tc>
          <w:tcPr>
            <w:tcW w:w="15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8.06</w:t>
            </w:r>
          </w:p>
        </w:tc>
        <w:tc>
          <w:tcPr>
            <w:tcW w:w="8520" w:type="dxa"/>
            <w:vAlign w:val="bottom"/>
          </w:tcPr>
          <w:p>
            <w:pPr>
              <w:ind w:left="220"/>
              <w:spacing w:after="0"/>
              <w:rPr>
                <w:sz w:val="20"/>
                <w:szCs w:val="20"/>
                <w:color w:val="auto"/>
              </w:rPr>
            </w:pPr>
            <w:r>
              <w:rPr>
                <w:rFonts w:ascii="Arial" w:cs="Arial" w:eastAsia="Arial" w:hAnsi="Arial"/>
                <w:sz w:val="18"/>
                <w:szCs w:val="18"/>
                <w:color w:val="auto"/>
              </w:rPr>
              <w:t>Repayment to Company</w:t>
            </w:r>
          </w:p>
        </w:tc>
        <w:tc>
          <w:tcPr>
            <w:tcW w:w="15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8.07</w:t>
            </w:r>
          </w:p>
        </w:tc>
        <w:tc>
          <w:tcPr>
            <w:tcW w:w="8520" w:type="dxa"/>
            <w:vAlign w:val="bottom"/>
          </w:tcPr>
          <w:p>
            <w:pPr>
              <w:ind w:left="220"/>
              <w:spacing w:after="0"/>
              <w:rPr>
                <w:sz w:val="20"/>
                <w:szCs w:val="20"/>
                <w:color w:val="auto"/>
              </w:rPr>
            </w:pPr>
            <w:r>
              <w:rPr>
                <w:rFonts w:ascii="Arial" w:cs="Arial" w:eastAsia="Arial" w:hAnsi="Arial"/>
                <w:sz w:val="18"/>
                <w:szCs w:val="18"/>
                <w:color w:val="auto"/>
              </w:rPr>
              <w:t>Reinstatement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8"/>
        </w:trPr>
        <w:tc>
          <w:tcPr>
            <w:tcW w:w="1140" w:type="dxa"/>
            <w:vAlign w:val="bottom"/>
          </w:tcPr>
          <w:p>
            <w:pPr>
              <w:spacing w:after="0"/>
              <w:rPr>
                <w:sz w:val="24"/>
                <w:szCs w:val="24"/>
                <w:color w:val="auto"/>
              </w:rPr>
            </w:pPr>
          </w:p>
        </w:tc>
        <w:tc>
          <w:tcPr>
            <w:tcW w:w="8520" w:type="dxa"/>
            <w:vAlign w:val="bottom"/>
          </w:tcPr>
          <w:p>
            <w:pPr>
              <w:jc w:val="center"/>
              <w:ind w:left="590"/>
              <w:spacing w:after="0"/>
              <w:rPr>
                <w:sz w:val="20"/>
                <w:szCs w:val="20"/>
                <w:color w:val="auto"/>
              </w:rPr>
            </w:pPr>
            <w:r>
              <w:rPr>
                <w:rFonts w:ascii="Arial" w:cs="Arial" w:eastAsia="Arial" w:hAnsi="Arial"/>
                <w:sz w:val="18"/>
                <w:szCs w:val="18"/>
                <w:color w:val="auto"/>
                <w:w w:val="96"/>
              </w:rPr>
              <w:t>ARTICLE 9</w:t>
            </w:r>
          </w:p>
        </w:tc>
        <w:tc>
          <w:tcPr>
            <w:tcW w:w="158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520" w:type="dxa"/>
            <w:vAlign w:val="bottom"/>
          </w:tcPr>
          <w:p>
            <w:pPr>
              <w:jc w:val="center"/>
              <w:ind w:left="590"/>
              <w:spacing w:after="0"/>
              <w:rPr>
                <w:sz w:val="20"/>
                <w:szCs w:val="20"/>
                <w:color w:val="auto"/>
              </w:rPr>
            </w:pPr>
            <w:r>
              <w:rPr>
                <w:rFonts w:ascii="Arial" w:cs="Arial" w:eastAsia="Arial" w:hAnsi="Arial"/>
                <w:sz w:val="18"/>
                <w:szCs w:val="18"/>
                <w:color w:val="auto"/>
                <w:w w:val="98"/>
              </w:rPr>
              <w:t>AMENDMENT, SUPPLEMENT AND WAIVER</w:t>
            </w:r>
          </w:p>
        </w:tc>
        <w:tc>
          <w:tcPr>
            <w:tcW w:w="158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9.01</w:t>
            </w:r>
          </w:p>
        </w:tc>
        <w:tc>
          <w:tcPr>
            <w:tcW w:w="8520" w:type="dxa"/>
            <w:vAlign w:val="bottom"/>
          </w:tcPr>
          <w:p>
            <w:pPr>
              <w:ind w:left="220"/>
              <w:spacing w:after="0"/>
              <w:rPr>
                <w:sz w:val="20"/>
                <w:szCs w:val="20"/>
                <w:color w:val="auto"/>
              </w:rPr>
            </w:pPr>
            <w:r>
              <w:rPr>
                <w:rFonts w:ascii="Arial" w:cs="Arial" w:eastAsia="Arial" w:hAnsi="Arial"/>
                <w:sz w:val="18"/>
                <w:szCs w:val="18"/>
                <w:color w:val="auto"/>
              </w:rPr>
              <w:t>Without Consent of Holders of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9.02</w:t>
            </w:r>
          </w:p>
        </w:tc>
        <w:tc>
          <w:tcPr>
            <w:tcW w:w="8520" w:type="dxa"/>
            <w:vAlign w:val="bottom"/>
          </w:tcPr>
          <w:p>
            <w:pPr>
              <w:ind w:left="220"/>
              <w:spacing w:after="0"/>
              <w:rPr>
                <w:sz w:val="20"/>
                <w:szCs w:val="20"/>
                <w:color w:val="auto"/>
              </w:rPr>
            </w:pPr>
            <w:r>
              <w:rPr>
                <w:rFonts w:ascii="Arial" w:cs="Arial" w:eastAsia="Arial" w:hAnsi="Arial"/>
                <w:sz w:val="18"/>
                <w:szCs w:val="18"/>
                <w:color w:val="auto"/>
              </w:rPr>
              <w:t>With Consent of Holders of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9.03</w:t>
            </w:r>
          </w:p>
        </w:tc>
        <w:tc>
          <w:tcPr>
            <w:tcW w:w="8520" w:type="dxa"/>
            <w:vAlign w:val="bottom"/>
          </w:tcPr>
          <w:p>
            <w:pPr>
              <w:ind w:left="220"/>
              <w:spacing w:after="0"/>
              <w:rPr>
                <w:sz w:val="20"/>
                <w:szCs w:val="20"/>
                <w:color w:val="auto"/>
              </w:rPr>
            </w:pPr>
            <w:r>
              <w:rPr>
                <w:rFonts w:ascii="Arial" w:cs="Arial" w:eastAsia="Arial" w:hAnsi="Arial"/>
                <w:sz w:val="18"/>
                <w:szCs w:val="18"/>
                <w:color w:val="auto"/>
              </w:rPr>
              <w:t>[Reserved]</w:t>
            </w:r>
          </w:p>
        </w:tc>
        <w:tc>
          <w:tcPr>
            <w:tcW w:w="15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9.04</w:t>
            </w:r>
          </w:p>
        </w:tc>
        <w:tc>
          <w:tcPr>
            <w:tcW w:w="8520" w:type="dxa"/>
            <w:vAlign w:val="bottom"/>
          </w:tcPr>
          <w:p>
            <w:pPr>
              <w:ind w:left="220"/>
              <w:spacing w:after="0"/>
              <w:rPr>
                <w:sz w:val="20"/>
                <w:szCs w:val="20"/>
                <w:color w:val="auto"/>
              </w:rPr>
            </w:pPr>
            <w:r>
              <w:rPr>
                <w:rFonts w:ascii="Arial" w:cs="Arial" w:eastAsia="Arial" w:hAnsi="Arial"/>
                <w:sz w:val="18"/>
                <w:szCs w:val="18"/>
                <w:color w:val="auto"/>
              </w:rPr>
              <w:t>Revocation and Effect of Consents</w:t>
            </w:r>
          </w:p>
        </w:tc>
        <w:tc>
          <w:tcPr>
            <w:tcW w:w="15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9.05</w:t>
            </w:r>
          </w:p>
        </w:tc>
        <w:tc>
          <w:tcPr>
            <w:tcW w:w="8520" w:type="dxa"/>
            <w:vAlign w:val="bottom"/>
          </w:tcPr>
          <w:p>
            <w:pPr>
              <w:ind w:left="220"/>
              <w:spacing w:after="0"/>
              <w:rPr>
                <w:sz w:val="20"/>
                <w:szCs w:val="20"/>
                <w:color w:val="auto"/>
              </w:rPr>
            </w:pPr>
            <w:r>
              <w:rPr>
                <w:rFonts w:ascii="Arial" w:cs="Arial" w:eastAsia="Arial" w:hAnsi="Arial"/>
                <w:sz w:val="18"/>
                <w:szCs w:val="18"/>
                <w:color w:val="auto"/>
              </w:rPr>
              <w:t>Notation on or Exchange of Securities</w:t>
            </w:r>
          </w:p>
        </w:tc>
        <w:tc>
          <w:tcPr>
            <w:tcW w:w="15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9.06</w:t>
            </w:r>
          </w:p>
        </w:tc>
        <w:tc>
          <w:tcPr>
            <w:tcW w:w="8520" w:type="dxa"/>
            <w:vAlign w:val="bottom"/>
          </w:tcPr>
          <w:p>
            <w:pPr>
              <w:ind w:left="220"/>
              <w:spacing w:after="0"/>
              <w:rPr>
                <w:sz w:val="20"/>
                <w:szCs w:val="20"/>
                <w:color w:val="auto"/>
              </w:rPr>
            </w:pPr>
            <w:r>
              <w:rPr>
                <w:rFonts w:ascii="Arial" w:cs="Arial" w:eastAsia="Arial" w:hAnsi="Arial"/>
                <w:sz w:val="18"/>
                <w:szCs w:val="18"/>
                <w:color w:val="auto"/>
              </w:rPr>
              <w:t>Trustee to Sign Amendments, etc.</w:t>
            </w:r>
          </w:p>
        </w:tc>
        <w:tc>
          <w:tcPr>
            <w:tcW w:w="158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Page</w:t>
            </w:r>
          </w:p>
        </w:tc>
      </w:tr>
      <w:tr>
        <w:trPr>
          <w:trHeight w:val="418"/>
        </w:trPr>
        <w:tc>
          <w:tcPr>
            <w:tcW w:w="1200" w:type="dxa"/>
            <w:vAlign w:val="bottom"/>
          </w:tcPr>
          <w:p>
            <w:pPr>
              <w:spacing w:after="0"/>
              <w:rPr>
                <w:sz w:val="24"/>
                <w:szCs w:val="24"/>
                <w:color w:val="auto"/>
              </w:rPr>
            </w:pPr>
          </w:p>
        </w:tc>
        <w:tc>
          <w:tcPr>
            <w:tcW w:w="8320" w:type="dxa"/>
            <w:vAlign w:val="bottom"/>
          </w:tcPr>
          <w:p>
            <w:pPr>
              <w:jc w:val="center"/>
              <w:ind w:left="670"/>
              <w:spacing w:after="0"/>
              <w:rPr>
                <w:sz w:val="20"/>
                <w:szCs w:val="20"/>
                <w:color w:val="auto"/>
              </w:rPr>
            </w:pPr>
            <w:r>
              <w:rPr>
                <w:rFonts w:ascii="Arial" w:cs="Arial" w:eastAsia="Arial" w:hAnsi="Arial"/>
                <w:sz w:val="18"/>
                <w:szCs w:val="18"/>
                <w:color w:val="auto"/>
                <w:w w:val="94"/>
              </w:rPr>
              <w:t>ARTICLE 10</w:t>
            </w:r>
          </w:p>
        </w:tc>
        <w:tc>
          <w:tcPr>
            <w:tcW w:w="1720" w:type="dxa"/>
            <w:vAlign w:val="bottom"/>
          </w:tcPr>
          <w:p>
            <w:pPr>
              <w:spacing w:after="0"/>
              <w:rPr>
                <w:sz w:val="24"/>
                <w:szCs w:val="24"/>
                <w:color w:val="auto"/>
              </w:rPr>
            </w:pPr>
          </w:p>
        </w:tc>
      </w:tr>
      <w:tr>
        <w:trPr>
          <w:trHeight w:val="216"/>
        </w:trPr>
        <w:tc>
          <w:tcPr>
            <w:tcW w:w="1200" w:type="dxa"/>
            <w:vAlign w:val="bottom"/>
          </w:tcPr>
          <w:p>
            <w:pPr>
              <w:spacing w:after="0"/>
              <w:rPr>
                <w:sz w:val="18"/>
                <w:szCs w:val="18"/>
                <w:color w:val="auto"/>
              </w:rPr>
            </w:pPr>
          </w:p>
        </w:tc>
        <w:tc>
          <w:tcPr>
            <w:tcW w:w="8320" w:type="dxa"/>
            <w:vAlign w:val="bottom"/>
          </w:tcPr>
          <w:p>
            <w:pPr>
              <w:jc w:val="center"/>
              <w:ind w:left="670"/>
              <w:spacing w:after="0"/>
              <w:rPr>
                <w:sz w:val="20"/>
                <w:szCs w:val="20"/>
                <w:color w:val="auto"/>
              </w:rPr>
            </w:pPr>
            <w:r>
              <w:rPr>
                <w:rFonts w:ascii="Arial" w:cs="Arial" w:eastAsia="Arial" w:hAnsi="Arial"/>
                <w:sz w:val="18"/>
                <w:szCs w:val="18"/>
                <w:color w:val="auto"/>
                <w:w w:val="96"/>
              </w:rPr>
              <w:t>GUARANTEES</w:t>
            </w:r>
          </w:p>
        </w:tc>
        <w:tc>
          <w:tcPr>
            <w:tcW w:w="172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10.01.</w:t>
            </w:r>
          </w:p>
        </w:tc>
        <w:tc>
          <w:tcPr>
            <w:tcW w:w="8320" w:type="dxa"/>
            <w:vAlign w:val="bottom"/>
          </w:tcPr>
          <w:p>
            <w:pPr>
              <w:ind w:left="160"/>
              <w:spacing w:after="0"/>
              <w:rPr>
                <w:sz w:val="20"/>
                <w:szCs w:val="20"/>
                <w:color w:val="auto"/>
              </w:rPr>
            </w:pPr>
            <w:r>
              <w:rPr>
                <w:rFonts w:ascii="Arial" w:cs="Arial" w:eastAsia="Arial" w:hAnsi="Arial"/>
                <w:sz w:val="18"/>
                <w:szCs w:val="18"/>
                <w:color w:val="auto"/>
              </w:rPr>
              <w:t>Guarantee</w:t>
            </w:r>
          </w:p>
        </w:tc>
        <w:tc>
          <w:tcPr>
            <w:tcW w:w="17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10.02.</w:t>
            </w:r>
          </w:p>
        </w:tc>
        <w:tc>
          <w:tcPr>
            <w:tcW w:w="8320" w:type="dxa"/>
            <w:vAlign w:val="bottom"/>
          </w:tcPr>
          <w:p>
            <w:pPr>
              <w:ind w:left="160"/>
              <w:spacing w:after="0"/>
              <w:rPr>
                <w:sz w:val="20"/>
                <w:szCs w:val="20"/>
                <w:color w:val="auto"/>
              </w:rPr>
            </w:pPr>
            <w:r>
              <w:rPr>
                <w:rFonts w:ascii="Arial" w:cs="Arial" w:eastAsia="Arial" w:hAnsi="Arial"/>
                <w:sz w:val="18"/>
                <w:szCs w:val="18"/>
                <w:color w:val="auto"/>
              </w:rPr>
              <w:t>Limitation on Guarantor Liability</w:t>
            </w:r>
          </w:p>
        </w:tc>
        <w:tc>
          <w:tcPr>
            <w:tcW w:w="17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10.03.</w:t>
            </w:r>
          </w:p>
        </w:tc>
        <w:tc>
          <w:tcPr>
            <w:tcW w:w="8320" w:type="dxa"/>
            <w:vAlign w:val="bottom"/>
          </w:tcPr>
          <w:p>
            <w:pPr>
              <w:ind w:left="160"/>
              <w:spacing w:after="0"/>
              <w:rPr>
                <w:sz w:val="20"/>
                <w:szCs w:val="20"/>
                <w:color w:val="auto"/>
              </w:rPr>
            </w:pPr>
            <w:r>
              <w:rPr>
                <w:rFonts w:ascii="Arial" w:cs="Arial" w:eastAsia="Arial" w:hAnsi="Arial"/>
                <w:sz w:val="18"/>
                <w:szCs w:val="18"/>
                <w:color w:val="auto"/>
              </w:rPr>
              <w:t>Execution and Delivery of Guarantee</w:t>
            </w:r>
          </w:p>
        </w:tc>
        <w:tc>
          <w:tcPr>
            <w:tcW w:w="1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10.04.</w:t>
            </w:r>
          </w:p>
        </w:tc>
        <w:tc>
          <w:tcPr>
            <w:tcW w:w="8320" w:type="dxa"/>
            <w:vAlign w:val="bottom"/>
          </w:tcPr>
          <w:p>
            <w:pPr>
              <w:ind w:left="160"/>
              <w:spacing w:after="0"/>
              <w:rPr>
                <w:sz w:val="20"/>
                <w:szCs w:val="20"/>
                <w:color w:val="auto"/>
              </w:rPr>
            </w:pPr>
            <w:r>
              <w:rPr>
                <w:rFonts w:ascii="Arial" w:cs="Arial" w:eastAsia="Arial" w:hAnsi="Arial"/>
                <w:sz w:val="18"/>
                <w:szCs w:val="18"/>
                <w:color w:val="auto"/>
              </w:rPr>
              <w:t>Guarantors May Consolidate, etc., on Certain Terms</w:t>
            </w:r>
          </w:p>
        </w:tc>
        <w:tc>
          <w:tcPr>
            <w:tcW w:w="1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10.05.</w:t>
            </w:r>
          </w:p>
        </w:tc>
        <w:tc>
          <w:tcPr>
            <w:tcW w:w="8320" w:type="dxa"/>
            <w:vAlign w:val="bottom"/>
          </w:tcPr>
          <w:p>
            <w:pPr>
              <w:ind w:left="160"/>
              <w:spacing w:after="0"/>
              <w:rPr>
                <w:sz w:val="20"/>
                <w:szCs w:val="20"/>
                <w:color w:val="auto"/>
              </w:rPr>
            </w:pPr>
            <w:r>
              <w:rPr>
                <w:rFonts w:ascii="Arial" w:cs="Arial" w:eastAsia="Arial" w:hAnsi="Arial"/>
                <w:sz w:val="18"/>
                <w:szCs w:val="18"/>
                <w:color w:val="auto"/>
              </w:rPr>
              <w:t>Releases</w:t>
            </w:r>
          </w:p>
        </w:tc>
        <w:tc>
          <w:tcPr>
            <w:tcW w:w="1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18"/>
        </w:trPr>
        <w:tc>
          <w:tcPr>
            <w:tcW w:w="1200" w:type="dxa"/>
            <w:vAlign w:val="bottom"/>
          </w:tcPr>
          <w:p>
            <w:pPr>
              <w:spacing w:after="0"/>
              <w:rPr>
                <w:sz w:val="24"/>
                <w:szCs w:val="24"/>
                <w:color w:val="auto"/>
              </w:rPr>
            </w:pPr>
          </w:p>
        </w:tc>
        <w:tc>
          <w:tcPr>
            <w:tcW w:w="8320" w:type="dxa"/>
            <w:vAlign w:val="bottom"/>
          </w:tcPr>
          <w:p>
            <w:pPr>
              <w:jc w:val="center"/>
              <w:ind w:left="670"/>
              <w:spacing w:after="0"/>
              <w:rPr>
                <w:sz w:val="20"/>
                <w:szCs w:val="20"/>
                <w:color w:val="auto"/>
              </w:rPr>
            </w:pPr>
            <w:r>
              <w:rPr>
                <w:rFonts w:ascii="Arial" w:cs="Arial" w:eastAsia="Arial" w:hAnsi="Arial"/>
                <w:sz w:val="18"/>
                <w:szCs w:val="18"/>
                <w:color w:val="auto"/>
                <w:w w:val="94"/>
              </w:rPr>
              <w:t>ARTICLE 11</w:t>
            </w:r>
          </w:p>
        </w:tc>
        <w:tc>
          <w:tcPr>
            <w:tcW w:w="172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8320" w:type="dxa"/>
            <w:vAlign w:val="bottom"/>
          </w:tcPr>
          <w:p>
            <w:pPr>
              <w:jc w:val="center"/>
              <w:ind w:left="670"/>
              <w:spacing w:after="0"/>
              <w:rPr>
                <w:sz w:val="20"/>
                <w:szCs w:val="20"/>
                <w:color w:val="auto"/>
              </w:rPr>
            </w:pPr>
            <w:r>
              <w:rPr>
                <w:rFonts w:ascii="Arial" w:cs="Arial" w:eastAsia="Arial" w:hAnsi="Arial"/>
                <w:sz w:val="18"/>
                <w:szCs w:val="18"/>
                <w:color w:val="auto"/>
                <w:w w:val="96"/>
              </w:rPr>
              <w:t>SATISFACTION AND DISCHARGE</w:t>
            </w:r>
          </w:p>
        </w:tc>
        <w:tc>
          <w:tcPr>
            <w:tcW w:w="1720" w:type="dxa"/>
            <w:vAlign w:val="bottom"/>
          </w:tcPr>
          <w:p>
            <w:pPr>
              <w:spacing w:after="0"/>
              <w:rPr>
                <w:sz w:val="20"/>
                <w:szCs w:val="20"/>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11.01</w:t>
            </w:r>
          </w:p>
        </w:tc>
        <w:tc>
          <w:tcPr>
            <w:tcW w:w="8320" w:type="dxa"/>
            <w:vAlign w:val="bottom"/>
          </w:tcPr>
          <w:p>
            <w:pPr>
              <w:ind w:left="160"/>
              <w:spacing w:after="0"/>
              <w:rPr>
                <w:sz w:val="20"/>
                <w:szCs w:val="20"/>
                <w:color w:val="auto"/>
              </w:rPr>
            </w:pPr>
            <w:r>
              <w:rPr>
                <w:rFonts w:ascii="Arial" w:cs="Arial" w:eastAsia="Arial" w:hAnsi="Arial"/>
                <w:sz w:val="18"/>
                <w:szCs w:val="18"/>
                <w:color w:val="auto"/>
              </w:rPr>
              <w:t>Satisfaction and Discharge</w:t>
            </w:r>
          </w:p>
        </w:tc>
        <w:tc>
          <w:tcPr>
            <w:tcW w:w="1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11.02</w:t>
            </w:r>
          </w:p>
        </w:tc>
        <w:tc>
          <w:tcPr>
            <w:tcW w:w="8320" w:type="dxa"/>
            <w:vAlign w:val="bottom"/>
          </w:tcPr>
          <w:p>
            <w:pPr>
              <w:ind w:left="160"/>
              <w:spacing w:after="0"/>
              <w:rPr>
                <w:sz w:val="20"/>
                <w:szCs w:val="20"/>
                <w:color w:val="auto"/>
              </w:rPr>
            </w:pPr>
            <w:r>
              <w:rPr>
                <w:rFonts w:ascii="Arial" w:cs="Arial" w:eastAsia="Arial" w:hAnsi="Arial"/>
                <w:sz w:val="18"/>
                <w:szCs w:val="18"/>
                <w:color w:val="auto"/>
              </w:rPr>
              <w:t>Application of Trust Money</w:t>
            </w:r>
          </w:p>
        </w:tc>
        <w:tc>
          <w:tcPr>
            <w:tcW w:w="1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8"/>
        </w:trPr>
        <w:tc>
          <w:tcPr>
            <w:tcW w:w="1200" w:type="dxa"/>
            <w:vAlign w:val="bottom"/>
          </w:tcPr>
          <w:p>
            <w:pPr>
              <w:spacing w:after="0"/>
              <w:rPr>
                <w:sz w:val="24"/>
                <w:szCs w:val="24"/>
                <w:color w:val="auto"/>
              </w:rPr>
            </w:pPr>
          </w:p>
        </w:tc>
        <w:tc>
          <w:tcPr>
            <w:tcW w:w="8320" w:type="dxa"/>
            <w:vAlign w:val="bottom"/>
          </w:tcPr>
          <w:p>
            <w:pPr>
              <w:jc w:val="center"/>
              <w:ind w:left="670"/>
              <w:spacing w:after="0"/>
              <w:rPr>
                <w:sz w:val="20"/>
                <w:szCs w:val="20"/>
                <w:color w:val="auto"/>
              </w:rPr>
            </w:pPr>
            <w:r>
              <w:rPr>
                <w:rFonts w:ascii="Arial" w:cs="Arial" w:eastAsia="Arial" w:hAnsi="Arial"/>
                <w:sz w:val="18"/>
                <w:szCs w:val="18"/>
                <w:color w:val="auto"/>
                <w:w w:val="94"/>
              </w:rPr>
              <w:t>ARTICLE 12</w:t>
            </w:r>
          </w:p>
        </w:tc>
        <w:tc>
          <w:tcPr>
            <w:tcW w:w="172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8320" w:type="dxa"/>
            <w:vAlign w:val="bottom"/>
          </w:tcPr>
          <w:p>
            <w:pPr>
              <w:jc w:val="center"/>
              <w:ind w:left="650"/>
              <w:spacing w:after="0"/>
              <w:rPr>
                <w:sz w:val="20"/>
                <w:szCs w:val="20"/>
                <w:color w:val="auto"/>
              </w:rPr>
            </w:pPr>
            <w:r>
              <w:rPr>
                <w:rFonts w:ascii="Arial" w:cs="Arial" w:eastAsia="Arial" w:hAnsi="Arial"/>
                <w:sz w:val="18"/>
                <w:szCs w:val="18"/>
                <w:color w:val="auto"/>
                <w:w w:val="97"/>
              </w:rPr>
              <w:t>MISCELLANEOUS</w:t>
            </w:r>
          </w:p>
        </w:tc>
        <w:tc>
          <w:tcPr>
            <w:tcW w:w="1720" w:type="dxa"/>
            <w:vAlign w:val="bottom"/>
          </w:tcPr>
          <w:p>
            <w:pPr>
              <w:spacing w:after="0"/>
              <w:rPr>
                <w:sz w:val="20"/>
                <w:szCs w:val="20"/>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12.01</w:t>
            </w:r>
          </w:p>
        </w:tc>
        <w:tc>
          <w:tcPr>
            <w:tcW w:w="8320" w:type="dxa"/>
            <w:vAlign w:val="bottom"/>
          </w:tcPr>
          <w:p>
            <w:pPr>
              <w:ind w:left="160"/>
              <w:spacing w:after="0"/>
              <w:rPr>
                <w:sz w:val="20"/>
                <w:szCs w:val="20"/>
                <w:color w:val="auto"/>
              </w:rPr>
            </w:pPr>
            <w:r>
              <w:rPr>
                <w:rFonts w:ascii="Arial" w:cs="Arial" w:eastAsia="Arial" w:hAnsi="Arial"/>
                <w:sz w:val="18"/>
                <w:szCs w:val="18"/>
                <w:color w:val="auto"/>
              </w:rPr>
              <w:t>[Reserved]</w:t>
            </w:r>
          </w:p>
        </w:tc>
        <w:tc>
          <w:tcPr>
            <w:tcW w:w="1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12.02</w:t>
            </w:r>
          </w:p>
        </w:tc>
        <w:tc>
          <w:tcPr>
            <w:tcW w:w="8320" w:type="dxa"/>
            <w:vAlign w:val="bottom"/>
          </w:tcPr>
          <w:p>
            <w:pPr>
              <w:ind w:left="160"/>
              <w:spacing w:after="0"/>
              <w:rPr>
                <w:sz w:val="20"/>
                <w:szCs w:val="20"/>
                <w:color w:val="auto"/>
              </w:rPr>
            </w:pPr>
            <w:r>
              <w:rPr>
                <w:rFonts w:ascii="Arial" w:cs="Arial" w:eastAsia="Arial" w:hAnsi="Arial"/>
                <w:sz w:val="18"/>
                <w:szCs w:val="18"/>
                <w:color w:val="auto"/>
              </w:rPr>
              <w:t>Notices.</w:t>
            </w:r>
          </w:p>
        </w:tc>
        <w:tc>
          <w:tcPr>
            <w:tcW w:w="1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12.03</w:t>
            </w:r>
          </w:p>
        </w:tc>
        <w:tc>
          <w:tcPr>
            <w:tcW w:w="8320" w:type="dxa"/>
            <w:vAlign w:val="bottom"/>
          </w:tcPr>
          <w:p>
            <w:pPr>
              <w:ind w:left="160"/>
              <w:spacing w:after="0"/>
              <w:rPr>
                <w:sz w:val="20"/>
                <w:szCs w:val="20"/>
                <w:color w:val="auto"/>
              </w:rPr>
            </w:pPr>
            <w:r>
              <w:rPr>
                <w:rFonts w:ascii="Arial" w:cs="Arial" w:eastAsia="Arial" w:hAnsi="Arial"/>
                <w:sz w:val="18"/>
                <w:szCs w:val="18"/>
                <w:color w:val="auto"/>
              </w:rPr>
              <w:t>[Reserved]</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12.04</w:t>
            </w:r>
          </w:p>
        </w:tc>
        <w:tc>
          <w:tcPr>
            <w:tcW w:w="8320" w:type="dxa"/>
            <w:vAlign w:val="bottom"/>
          </w:tcPr>
          <w:p>
            <w:pPr>
              <w:ind w:left="160"/>
              <w:spacing w:after="0"/>
              <w:rPr>
                <w:sz w:val="20"/>
                <w:szCs w:val="20"/>
                <w:color w:val="auto"/>
              </w:rPr>
            </w:pPr>
            <w:r>
              <w:rPr>
                <w:rFonts w:ascii="Arial" w:cs="Arial" w:eastAsia="Arial" w:hAnsi="Arial"/>
                <w:sz w:val="18"/>
                <w:szCs w:val="18"/>
                <w:color w:val="auto"/>
              </w:rPr>
              <w:t>Certificate and Opinion as to Conditions Precedent</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12.05</w:t>
            </w:r>
          </w:p>
        </w:tc>
        <w:tc>
          <w:tcPr>
            <w:tcW w:w="8320" w:type="dxa"/>
            <w:vAlign w:val="bottom"/>
          </w:tcPr>
          <w:p>
            <w:pPr>
              <w:ind w:left="160"/>
              <w:spacing w:after="0"/>
              <w:rPr>
                <w:sz w:val="20"/>
                <w:szCs w:val="20"/>
                <w:color w:val="auto"/>
              </w:rPr>
            </w:pPr>
            <w:r>
              <w:rPr>
                <w:rFonts w:ascii="Arial" w:cs="Arial" w:eastAsia="Arial" w:hAnsi="Arial"/>
                <w:sz w:val="18"/>
                <w:szCs w:val="18"/>
                <w:color w:val="auto"/>
              </w:rPr>
              <w:t>Statements Required in Certificate or Opinion</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12.06</w:t>
            </w:r>
          </w:p>
        </w:tc>
        <w:tc>
          <w:tcPr>
            <w:tcW w:w="8320" w:type="dxa"/>
            <w:vAlign w:val="bottom"/>
          </w:tcPr>
          <w:p>
            <w:pPr>
              <w:ind w:left="160"/>
              <w:spacing w:after="0"/>
              <w:rPr>
                <w:sz w:val="20"/>
                <w:szCs w:val="20"/>
                <w:color w:val="auto"/>
              </w:rPr>
            </w:pPr>
            <w:r>
              <w:rPr>
                <w:rFonts w:ascii="Arial" w:cs="Arial" w:eastAsia="Arial" w:hAnsi="Arial"/>
                <w:sz w:val="18"/>
                <w:szCs w:val="18"/>
                <w:color w:val="auto"/>
              </w:rPr>
              <w:t>Rules by Trustee and Agents</w:t>
            </w:r>
          </w:p>
        </w:tc>
        <w:tc>
          <w:tcPr>
            <w:tcW w:w="1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12.07</w:t>
            </w:r>
          </w:p>
        </w:tc>
        <w:tc>
          <w:tcPr>
            <w:tcW w:w="8320" w:type="dxa"/>
            <w:vAlign w:val="bottom"/>
          </w:tcPr>
          <w:p>
            <w:pPr>
              <w:ind w:left="16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1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12.08</w:t>
            </w:r>
          </w:p>
        </w:tc>
        <w:tc>
          <w:tcPr>
            <w:tcW w:w="832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1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12.09</w:t>
            </w:r>
          </w:p>
        </w:tc>
        <w:tc>
          <w:tcPr>
            <w:tcW w:w="8320" w:type="dxa"/>
            <w:vAlign w:val="bottom"/>
          </w:tcPr>
          <w:p>
            <w:pPr>
              <w:ind w:left="160"/>
              <w:spacing w:after="0"/>
              <w:rPr>
                <w:sz w:val="20"/>
                <w:szCs w:val="20"/>
                <w:color w:val="auto"/>
              </w:rPr>
            </w:pPr>
            <w:r>
              <w:rPr>
                <w:rFonts w:ascii="Arial" w:cs="Arial" w:eastAsia="Arial" w:hAnsi="Arial"/>
                <w:sz w:val="18"/>
                <w:szCs w:val="18"/>
                <w:color w:val="auto"/>
              </w:rPr>
              <w:t>No Adverse Interpretation of Other Agreements</w:t>
            </w:r>
          </w:p>
        </w:tc>
        <w:tc>
          <w:tcPr>
            <w:tcW w:w="1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12.10</w:t>
            </w:r>
          </w:p>
        </w:tc>
        <w:tc>
          <w:tcPr>
            <w:tcW w:w="8320" w:type="dxa"/>
            <w:vAlign w:val="bottom"/>
          </w:tcPr>
          <w:p>
            <w:pPr>
              <w:ind w:left="160"/>
              <w:spacing w:after="0"/>
              <w:rPr>
                <w:sz w:val="20"/>
                <w:szCs w:val="20"/>
                <w:color w:val="auto"/>
              </w:rPr>
            </w:pPr>
            <w:r>
              <w:rPr>
                <w:rFonts w:ascii="Arial" w:cs="Arial" w:eastAsia="Arial" w:hAnsi="Arial"/>
                <w:sz w:val="18"/>
                <w:szCs w:val="18"/>
                <w:color w:val="auto"/>
              </w:rPr>
              <w:t>Successors</w:t>
            </w:r>
          </w:p>
        </w:tc>
        <w:tc>
          <w:tcPr>
            <w:tcW w:w="1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12.11</w:t>
            </w:r>
          </w:p>
        </w:tc>
        <w:tc>
          <w:tcPr>
            <w:tcW w:w="832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1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12.12</w:t>
            </w:r>
          </w:p>
        </w:tc>
        <w:tc>
          <w:tcPr>
            <w:tcW w:w="8320" w:type="dxa"/>
            <w:vAlign w:val="bottom"/>
          </w:tcPr>
          <w:p>
            <w:pPr>
              <w:ind w:left="160"/>
              <w:spacing w:after="0"/>
              <w:rPr>
                <w:sz w:val="20"/>
                <w:szCs w:val="20"/>
                <w:color w:val="auto"/>
              </w:rPr>
            </w:pPr>
            <w:r>
              <w:rPr>
                <w:rFonts w:ascii="Arial" w:cs="Arial" w:eastAsia="Arial" w:hAnsi="Arial"/>
                <w:sz w:val="18"/>
                <w:szCs w:val="18"/>
                <w:color w:val="auto"/>
              </w:rPr>
              <w:t>Counterpart Originals</w:t>
            </w:r>
          </w:p>
        </w:tc>
        <w:tc>
          <w:tcPr>
            <w:tcW w:w="1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12.13</w:t>
            </w:r>
          </w:p>
        </w:tc>
        <w:tc>
          <w:tcPr>
            <w:tcW w:w="8320" w:type="dxa"/>
            <w:vAlign w:val="bottom"/>
          </w:tcPr>
          <w:p>
            <w:pPr>
              <w:ind w:left="160"/>
              <w:spacing w:after="0"/>
              <w:rPr>
                <w:sz w:val="20"/>
                <w:szCs w:val="20"/>
                <w:color w:val="auto"/>
              </w:rPr>
            </w:pPr>
            <w:r>
              <w:rPr>
                <w:rFonts w:ascii="Arial" w:cs="Arial" w:eastAsia="Arial" w:hAnsi="Arial"/>
                <w:sz w:val="18"/>
                <w:szCs w:val="18"/>
                <w:color w:val="auto"/>
              </w:rPr>
              <w:t>Table of Contents, Headings, etc.</w:t>
            </w:r>
          </w:p>
        </w:tc>
        <w:tc>
          <w:tcPr>
            <w:tcW w:w="1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12.14</w:t>
            </w:r>
          </w:p>
        </w:tc>
        <w:tc>
          <w:tcPr>
            <w:tcW w:w="8320" w:type="dxa"/>
            <w:vAlign w:val="bottom"/>
          </w:tcPr>
          <w:p>
            <w:pPr>
              <w:ind w:left="160"/>
              <w:spacing w:after="0"/>
              <w:rPr>
                <w:sz w:val="20"/>
                <w:szCs w:val="20"/>
                <w:color w:val="auto"/>
              </w:rPr>
            </w:pPr>
            <w:r>
              <w:rPr>
                <w:rFonts w:ascii="Arial" w:cs="Arial" w:eastAsia="Arial" w:hAnsi="Arial"/>
                <w:sz w:val="18"/>
                <w:szCs w:val="18"/>
                <w:color w:val="auto"/>
              </w:rPr>
              <w:t>Compliance with Applicable Anti-Terrorism and Anti-Money Laundering Regulations</w:t>
            </w:r>
          </w:p>
        </w:tc>
        <w:tc>
          <w:tcPr>
            <w:tcW w:w="1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12.15</w:t>
            </w:r>
          </w:p>
        </w:tc>
        <w:tc>
          <w:tcPr>
            <w:tcW w:w="8320" w:type="dxa"/>
            <w:vAlign w:val="bottom"/>
          </w:tcPr>
          <w:p>
            <w:pPr>
              <w:ind w:left="160"/>
              <w:spacing w:after="0"/>
              <w:rPr>
                <w:sz w:val="20"/>
                <w:szCs w:val="20"/>
                <w:color w:val="auto"/>
              </w:rPr>
            </w:pPr>
            <w:r>
              <w:rPr>
                <w:rFonts w:ascii="Arial" w:cs="Arial" w:eastAsia="Arial" w:hAnsi="Arial"/>
                <w:sz w:val="18"/>
                <w:szCs w:val="18"/>
                <w:color w:val="auto"/>
              </w:rPr>
              <w:t>Electronic Signatures</w:t>
            </w:r>
          </w:p>
        </w:tc>
        <w:tc>
          <w:tcPr>
            <w:tcW w:w="1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1200" w:type="dxa"/>
            <w:vAlign w:val="bottom"/>
          </w:tcPr>
          <w:p>
            <w:pPr>
              <w:spacing w:after="0"/>
              <w:rPr>
                <w:sz w:val="24"/>
                <w:szCs w:val="24"/>
                <w:color w:val="auto"/>
              </w:rPr>
            </w:pPr>
          </w:p>
        </w:tc>
        <w:tc>
          <w:tcPr>
            <w:tcW w:w="8320" w:type="dxa"/>
            <w:vAlign w:val="bottom"/>
          </w:tcPr>
          <w:p>
            <w:pPr>
              <w:ind w:left="4020"/>
              <w:spacing w:after="0"/>
              <w:rPr>
                <w:sz w:val="20"/>
                <w:szCs w:val="20"/>
                <w:color w:val="auto"/>
              </w:rPr>
            </w:pPr>
            <w:r>
              <w:rPr>
                <w:rFonts w:ascii="Arial" w:cs="Arial" w:eastAsia="Arial" w:hAnsi="Arial"/>
                <w:sz w:val="18"/>
                <w:szCs w:val="18"/>
                <w:color w:val="auto"/>
              </w:rPr>
              <w:t>EXHIBITS</w:t>
            </w:r>
          </w:p>
        </w:tc>
        <w:tc>
          <w:tcPr>
            <w:tcW w:w="1720" w:type="dxa"/>
            <w:vAlign w:val="bottom"/>
          </w:tcPr>
          <w:p>
            <w:pPr>
              <w:spacing w:after="0"/>
              <w:rPr>
                <w:sz w:val="24"/>
                <w:szCs w:val="24"/>
                <w:color w:val="auto"/>
              </w:rPr>
            </w:pP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Exhibit A</w:t>
            </w:r>
          </w:p>
        </w:tc>
        <w:tc>
          <w:tcPr>
            <w:tcW w:w="8320" w:type="dxa"/>
            <w:vAlign w:val="bottom"/>
          </w:tcPr>
          <w:p>
            <w:pPr>
              <w:ind w:left="160"/>
              <w:spacing w:after="0"/>
              <w:rPr>
                <w:sz w:val="20"/>
                <w:szCs w:val="20"/>
                <w:color w:val="auto"/>
              </w:rPr>
            </w:pPr>
            <w:r>
              <w:rPr>
                <w:rFonts w:ascii="Arial" w:cs="Arial" w:eastAsia="Arial" w:hAnsi="Arial"/>
                <w:sz w:val="18"/>
                <w:szCs w:val="18"/>
                <w:color w:val="auto"/>
              </w:rPr>
              <w:t>FORM OF NOTE</w:t>
            </w:r>
          </w:p>
        </w:tc>
        <w:tc>
          <w:tcPr>
            <w:tcW w:w="1720" w:type="dxa"/>
            <w:vAlign w:val="bottom"/>
          </w:tcPr>
          <w:p>
            <w:pPr>
              <w:spacing w:after="0"/>
              <w:rPr>
                <w:sz w:val="24"/>
                <w:szCs w:val="24"/>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Exhibit B</w:t>
            </w:r>
          </w:p>
        </w:tc>
        <w:tc>
          <w:tcPr>
            <w:tcW w:w="8320" w:type="dxa"/>
            <w:vAlign w:val="bottom"/>
          </w:tcPr>
          <w:p>
            <w:pPr>
              <w:ind w:left="160"/>
              <w:spacing w:after="0"/>
              <w:rPr>
                <w:sz w:val="20"/>
                <w:szCs w:val="20"/>
                <w:color w:val="auto"/>
              </w:rPr>
            </w:pPr>
            <w:r>
              <w:rPr>
                <w:rFonts w:ascii="Arial" w:cs="Arial" w:eastAsia="Arial" w:hAnsi="Arial"/>
                <w:sz w:val="18"/>
                <w:szCs w:val="18"/>
                <w:color w:val="auto"/>
              </w:rPr>
              <w:t>FORM OF CERTIFICATE OF TRANSFER</w:t>
            </w:r>
          </w:p>
        </w:tc>
        <w:tc>
          <w:tcPr>
            <w:tcW w:w="172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Exhibit C</w:t>
            </w:r>
          </w:p>
        </w:tc>
        <w:tc>
          <w:tcPr>
            <w:tcW w:w="8320" w:type="dxa"/>
            <w:vAlign w:val="bottom"/>
          </w:tcPr>
          <w:p>
            <w:pPr>
              <w:ind w:left="160"/>
              <w:spacing w:after="0"/>
              <w:rPr>
                <w:sz w:val="20"/>
                <w:szCs w:val="20"/>
                <w:color w:val="auto"/>
              </w:rPr>
            </w:pPr>
            <w:r>
              <w:rPr>
                <w:rFonts w:ascii="Arial" w:cs="Arial" w:eastAsia="Arial" w:hAnsi="Arial"/>
                <w:sz w:val="18"/>
                <w:szCs w:val="18"/>
                <w:color w:val="auto"/>
              </w:rPr>
              <w:t>FORM OF CERTIFICATE OF EXCHANGE</w:t>
            </w:r>
          </w:p>
        </w:tc>
        <w:tc>
          <w:tcPr>
            <w:tcW w:w="172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Exhibit D</w:t>
            </w:r>
          </w:p>
        </w:tc>
        <w:tc>
          <w:tcPr>
            <w:tcW w:w="8320" w:type="dxa"/>
            <w:vAlign w:val="bottom"/>
          </w:tcPr>
          <w:p>
            <w:pPr>
              <w:ind w:left="160"/>
              <w:spacing w:after="0"/>
              <w:rPr>
                <w:sz w:val="20"/>
                <w:szCs w:val="20"/>
                <w:color w:val="auto"/>
              </w:rPr>
            </w:pPr>
            <w:r>
              <w:rPr>
                <w:rFonts w:ascii="Arial" w:cs="Arial" w:eastAsia="Arial" w:hAnsi="Arial"/>
                <w:sz w:val="18"/>
                <w:szCs w:val="18"/>
                <w:color w:val="auto"/>
              </w:rPr>
              <w:t>FORM OF CERTIFICATE OF ACQUIRING INSTITUTIONAL ACCREDITED INVESTOR</w:t>
            </w:r>
          </w:p>
        </w:tc>
        <w:tc>
          <w:tcPr>
            <w:tcW w:w="172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Exhibit E</w:t>
            </w:r>
          </w:p>
        </w:tc>
        <w:tc>
          <w:tcPr>
            <w:tcW w:w="8320" w:type="dxa"/>
            <w:vAlign w:val="bottom"/>
          </w:tcPr>
          <w:p>
            <w:pPr>
              <w:ind w:left="160"/>
              <w:spacing w:after="0"/>
              <w:rPr>
                <w:sz w:val="20"/>
                <w:szCs w:val="20"/>
                <w:color w:val="auto"/>
              </w:rPr>
            </w:pPr>
            <w:r>
              <w:rPr>
                <w:rFonts w:ascii="Arial" w:cs="Arial" w:eastAsia="Arial" w:hAnsi="Arial"/>
                <w:sz w:val="18"/>
                <w:szCs w:val="18"/>
                <w:color w:val="auto"/>
              </w:rPr>
              <w:t>FORM OF SUPPLEMENTAL INDENTURE</w:t>
            </w:r>
          </w:p>
        </w:tc>
        <w:tc>
          <w:tcPr>
            <w:tcW w:w="172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 w:name="page9"/>
    <w:bookmarkEnd w:id="8"/>
    <w:p>
      <w:pPr>
        <w:jc w:val="both"/>
        <w:ind w:firstLine="648"/>
        <w:spacing w:after="0" w:line="277" w:lineRule="auto"/>
        <w:rPr>
          <w:sz w:val="20"/>
          <w:szCs w:val="20"/>
          <w:color w:val="auto"/>
        </w:rPr>
      </w:pPr>
      <w:r>
        <w:rPr>
          <w:rFonts w:ascii="Arial" w:cs="Arial" w:eastAsia="Arial" w:hAnsi="Arial"/>
          <w:sz w:val="18"/>
          <w:szCs w:val="18"/>
          <w:color w:val="auto"/>
        </w:rPr>
        <w:t xml:space="preserve">INDENTURE dated as of March 9, 2021 among Clearway Energy Operating LLC, a Delaware limited liability company, the Guarantors (as defined herein) and Delaware Trust Company, as trustee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Company, the Guarantors and the Trustee agree as follows for the benefit of each other and for the equal and ratable benefit of the Holders (as defined herein) of the 3.750% Senior Notes due 2031 (the </w:t>
      </w:r>
      <w:r>
        <w:rPr>
          <w:rFonts w:ascii="Arial" w:cs="Arial" w:eastAsia="Arial" w:hAnsi="Arial"/>
          <w:sz w:val="18"/>
          <w:szCs w:val="18"/>
          <w:i w:val="1"/>
          <w:iCs w:val="1"/>
          <w:color w:val="auto"/>
        </w:rPr>
        <w:t>“Notes”</w:t>
      </w:r>
      <w:r>
        <w:rPr>
          <w:rFonts w:ascii="Arial" w:cs="Arial" w:eastAsia="Arial" w:hAnsi="Arial"/>
          <w:sz w:val="18"/>
          <w:szCs w:val="18"/>
          <w:color w:val="auto"/>
        </w:rPr>
        <w:t>) and any other Additional Securities issued pursuant to this Indenture after the date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REFERENCE</w:t>
      </w:r>
    </w:p>
    <w:p>
      <w:pPr>
        <w:spacing w:after="0" w:line="2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Definitions.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the Notes, the following terms will have the meanings set forth in this Section 1.01. For purposes of any Additional Securities issued under this Indenture, the Supplemental Indenture in respect of such Additional Securities will specify the defined terms to be used therein, which may include some, all or none of the terms contained in this Section 1.01.</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“144A Global Note” </w:t>
      </w:r>
      <w:r>
        <w:rPr>
          <w:rFonts w:ascii="Arial" w:cs="Arial" w:eastAsia="Arial" w:hAnsi="Arial"/>
          <w:sz w:val="18"/>
          <w:szCs w:val="18"/>
          <w:color w:val="auto"/>
        </w:rPr>
        <w:t>means a Global Note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bearing the Global Legend and the Private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Legend and deposited with or on behalf of, and registered in the name of, the Depositary or its nominee that will be issued in a denomination equal to the outstanding principal amount of the Notes sold in reliance on Rule 144A.</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“144A Global Security” </w:t>
      </w:r>
      <w:r>
        <w:rPr>
          <w:rFonts w:ascii="Arial" w:cs="Arial" w:eastAsia="Arial" w:hAnsi="Arial"/>
          <w:sz w:val="16"/>
          <w:szCs w:val="16"/>
          <w:color w:val="auto"/>
        </w:rPr>
        <w:t>means a Global Security, in the form specified in the applicable Supplemental Indenture pursuant to which such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is created, bearing the Global Legend and the Private Placement Legend and deposited with or on behalf of, and registered in the name of, the Depositary or its nominee that will be issued in a denomination equal to the outstanding principal amount of the Securities sold in reliance on Rule 144A.</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“Additional Notes” </w:t>
      </w:r>
      <w:r>
        <w:rPr>
          <w:rFonts w:ascii="Arial" w:cs="Arial" w:eastAsia="Arial" w:hAnsi="Arial"/>
          <w:sz w:val="18"/>
          <w:szCs w:val="18"/>
          <w:color w:val="auto"/>
        </w:rPr>
        <w:t>means additional Notes (other than the Initial Notes) issued from time to time under this Indenture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2.02 hereof, as part of the same series as the Initial Notes.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“Additional Securities” </w:t>
      </w:r>
      <w:r>
        <w:rPr>
          <w:rFonts w:ascii="Arial" w:cs="Arial" w:eastAsia="Arial" w:hAnsi="Arial"/>
          <w:sz w:val="18"/>
          <w:szCs w:val="18"/>
          <w:color w:val="auto"/>
        </w:rPr>
        <w:t>means any debentures, notes and other debt instruments of the Company of any Series, other than the Notes, authenticated</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delivered under this Indenture.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“Adjusted LTM CAFD” </w:t>
      </w:r>
      <w:r>
        <w:rPr>
          <w:rFonts w:ascii="Arial" w:cs="Arial" w:eastAsia="Arial" w:hAnsi="Arial"/>
          <w:sz w:val="18"/>
          <w:szCs w:val="18"/>
          <w:color w:val="auto"/>
        </w:rPr>
        <w:t>means, as of any date of determination (for purposes of this definition, the</w:t>
      </w:r>
      <w:r>
        <w:rPr>
          <w:rFonts w:ascii="Arial" w:cs="Arial" w:eastAsia="Arial" w:hAnsi="Arial"/>
          <w:sz w:val="18"/>
          <w:szCs w:val="18"/>
          <w:i w:val="1"/>
          <w:iCs w:val="1"/>
          <w:color w:val="auto"/>
        </w:rPr>
        <w:t xml:space="preserve"> “Calculation Date”</w:t>
      </w:r>
      <w:r>
        <w:rPr>
          <w:rFonts w:ascii="Arial" w:cs="Arial" w:eastAsia="Arial" w:hAnsi="Arial"/>
          <w:sz w:val="18"/>
          <w:szCs w:val="18"/>
          <w:color w:val="auto"/>
        </w:rPr>
        <w:t>), the net income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its Subsidiaries during the most recent four-quarter period for which financial statements are publicly available as of the Calculation Date, calculated on a consolidated basis in accordance with GAAP, adjusted (without duplication) as follows:</w:t>
      </w:r>
    </w:p>
    <w:p>
      <w:pPr>
        <w:spacing w:after="0" w:line="184" w:lineRule="exact"/>
        <w:rPr>
          <w:sz w:val="20"/>
          <w:szCs w:val="20"/>
          <w:color w:val="auto"/>
        </w:rPr>
      </w:pPr>
    </w:p>
    <w:p>
      <w:pPr>
        <w:ind w:left="1780" w:hanging="476"/>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plus interest expense, to the extent deducted in calculating net income during such four-quarter period;</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plus income tax expense, net of income tax benefit, to the extent deducted in calculating net income during such four-quarter</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ind w:left="5580" w:right="1080" w:hanging="4276"/>
        <w:spacing w:after="0" w:line="778" w:lineRule="auto"/>
        <w:tabs>
          <w:tab w:leader="none" w:pos="1785" w:val="left"/>
        </w:tabs>
        <w:numPr>
          <w:ilvl w:val="0"/>
          <w:numId w:val="5"/>
        </w:numPr>
        <w:rPr>
          <w:rFonts w:ascii="Arial" w:cs="Arial" w:eastAsia="Arial" w:hAnsi="Arial"/>
          <w:sz w:val="18"/>
          <w:szCs w:val="18"/>
          <w:color w:val="auto"/>
        </w:rPr>
      </w:pPr>
      <w:r>
        <w:rPr>
          <w:rFonts w:ascii="Arial" w:cs="Arial" w:eastAsia="Arial" w:hAnsi="Arial"/>
          <w:sz w:val="18"/>
          <w:szCs w:val="18"/>
          <w:color w:val="auto"/>
        </w:rPr>
        <w:t>plus depreciation and amortization, to the extent deducted in calculating net income during such four-quarter period;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ind w:left="1120" w:hanging="476"/>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minus equity in earnings of unconsolidated affiliates to the extent included in net income during such four-quarter period;</w:t>
      </w:r>
    </w:p>
    <w:p>
      <w:pPr>
        <w:spacing w:after="0" w:line="236" w:lineRule="exact"/>
        <w:rPr>
          <w:rFonts w:ascii="Arial" w:cs="Arial" w:eastAsia="Arial" w:hAnsi="Arial"/>
          <w:sz w:val="17"/>
          <w:szCs w:val="17"/>
          <w:color w:val="auto"/>
        </w:rPr>
      </w:pPr>
    </w:p>
    <w:p>
      <w:pPr>
        <w:ind w:right="20" w:firstLine="644"/>
        <w:spacing w:after="0" w:line="277" w:lineRule="auto"/>
        <w:tabs>
          <w:tab w:leader="none" w:pos="1128" w:val="left"/>
        </w:tabs>
        <w:numPr>
          <w:ilvl w:val="0"/>
          <w:numId w:val="6"/>
        </w:numPr>
        <w:rPr>
          <w:rFonts w:ascii="Arial" w:cs="Arial" w:eastAsia="Arial" w:hAnsi="Arial"/>
          <w:sz w:val="18"/>
          <w:szCs w:val="18"/>
          <w:color w:val="auto"/>
        </w:rPr>
      </w:pPr>
      <w:r>
        <w:rPr>
          <w:rFonts w:ascii="Arial" w:cs="Arial" w:eastAsia="Arial" w:hAnsi="Arial"/>
          <w:sz w:val="18"/>
          <w:szCs w:val="18"/>
          <w:color w:val="auto"/>
        </w:rPr>
        <w:t>plus cash distributions and return of investments from unconsolidated affiliates, to the extent not included in net income during such four-quarter period;</w:t>
      </w:r>
    </w:p>
    <w:p>
      <w:pPr>
        <w:spacing w:after="0" w:line="170" w:lineRule="exact"/>
        <w:rPr>
          <w:rFonts w:ascii="Arial" w:cs="Arial" w:eastAsia="Arial" w:hAnsi="Arial"/>
          <w:sz w:val="18"/>
          <w:szCs w:val="18"/>
          <w:color w:val="auto"/>
        </w:rPr>
      </w:pPr>
    </w:p>
    <w:p>
      <w:pPr>
        <w:ind w:left="1120" w:hanging="476"/>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plus cash distributions from noncontrolling interests, to the extent not included in net income during such four-quarter period;</w:t>
      </w:r>
    </w:p>
    <w:p>
      <w:pPr>
        <w:spacing w:after="0" w:line="236" w:lineRule="exact"/>
        <w:rPr>
          <w:rFonts w:ascii="Arial" w:cs="Arial" w:eastAsia="Arial" w:hAnsi="Arial"/>
          <w:sz w:val="17"/>
          <w:szCs w:val="17"/>
          <w:color w:val="auto"/>
        </w:rPr>
      </w:pPr>
    </w:p>
    <w:p>
      <w:pPr>
        <w:ind w:left="1120" w:hanging="476"/>
        <w:spacing w:after="0"/>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minus cash distributions to noncontrolling interests, to the extent not deducted in calculating net income during such four-quarter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0" w:lineRule="exact"/>
        <w:rPr>
          <w:rFonts w:ascii="Arial" w:cs="Arial" w:eastAsia="Arial" w:hAnsi="Arial"/>
          <w:sz w:val="16"/>
          <w:szCs w:val="16"/>
          <w:color w:val="auto"/>
        </w:rPr>
      </w:pPr>
    </w:p>
    <w:p>
      <w:pPr>
        <w:ind w:firstLine="644"/>
        <w:spacing w:after="0" w:line="277" w:lineRule="auto"/>
        <w:tabs>
          <w:tab w:leader="none" w:pos="1128"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minus cash interest payments made by Subsidiaries of the Company that were added back to net income pursuant to clause (1) above;</w:t>
      </w:r>
    </w:p>
    <w:p>
      <w:pPr>
        <w:spacing w:after="0" w:line="170" w:lineRule="exact"/>
        <w:rPr>
          <w:rFonts w:ascii="Arial" w:cs="Arial" w:eastAsia="Arial" w:hAnsi="Arial"/>
          <w:sz w:val="18"/>
          <w:szCs w:val="18"/>
          <w:color w:val="auto"/>
        </w:rPr>
      </w:pPr>
    </w:p>
    <w:p>
      <w:pPr>
        <w:ind w:firstLine="644"/>
        <w:spacing w:after="0" w:line="277" w:lineRule="auto"/>
        <w:tabs>
          <w:tab w:leader="none" w:pos="1128"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minus cash income tax payments made by the Company and its Subsidiaries that were added back to net income pursuant to clause (2) above;</w:t>
      </w:r>
    </w:p>
    <w:p>
      <w:pPr>
        <w:spacing w:after="0" w:line="170" w:lineRule="exact"/>
        <w:rPr>
          <w:rFonts w:ascii="Arial" w:cs="Arial" w:eastAsia="Arial" w:hAnsi="Arial"/>
          <w:sz w:val="18"/>
          <w:szCs w:val="18"/>
          <w:color w:val="auto"/>
        </w:rPr>
      </w:pPr>
    </w:p>
    <w:p>
      <w:pPr>
        <w:ind w:firstLine="644"/>
        <w:spacing w:after="0" w:line="277" w:lineRule="auto"/>
        <w:tabs>
          <w:tab w:leader="none" w:pos="1173"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minus principal payments and repayments of Indebtedness made by the Company’s Subsidiaries, to the extent not deducted in calculating net income during such four-quarter period;</w:t>
      </w:r>
    </w:p>
    <w:p>
      <w:pPr>
        <w:spacing w:after="0" w:line="170" w:lineRule="exact"/>
        <w:rPr>
          <w:rFonts w:ascii="Arial" w:cs="Arial" w:eastAsia="Arial" w:hAnsi="Arial"/>
          <w:sz w:val="18"/>
          <w:szCs w:val="18"/>
          <w:color w:val="auto"/>
        </w:rPr>
      </w:pPr>
    </w:p>
    <w:p>
      <w:pPr>
        <w:ind w:firstLine="644"/>
        <w:spacing w:after="0" w:line="277" w:lineRule="auto"/>
        <w:tabs>
          <w:tab w:leader="none" w:pos="1166" w:val="left"/>
        </w:tabs>
        <w:numPr>
          <w:ilvl w:val="0"/>
          <w:numId w:val="6"/>
        </w:numPr>
        <w:rPr>
          <w:rFonts w:ascii="Arial" w:cs="Arial" w:eastAsia="Arial" w:hAnsi="Arial"/>
          <w:sz w:val="18"/>
          <w:szCs w:val="18"/>
          <w:color w:val="auto"/>
        </w:rPr>
      </w:pPr>
      <w:r>
        <w:rPr>
          <w:rFonts w:ascii="Arial" w:cs="Arial" w:eastAsia="Arial" w:hAnsi="Arial"/>
          <w:sz w:val="18"/>
          <w:szCs w:val="18"/>
          <w:color w:val="auto"/>
        </w:rPr>
        <w:t>plus any decrease or minus any increase in amounts attributable to contract amortization and any recurring changes in other assets, including changes in prepaid and accrued capacity payments;</w:t>
      </w:r>
    </w:p>
    <w:p>
      <w:pPr>
        <w:spacing w:after="0" w:line="170" w:lineRule="exact"/>
        <w:rPr>
          <w:rFonts w:ascii="Arial" w:cs="Arial" w:eastAsia="Arial" w:hAnsi="Arial"/>
          <w:sz w:val="18"/>
          <w:szCs w:val="18"/>
          <w:color w:val="auto"/>
        </w:rPr>
      </w:pPr>
    </w:p>
    <w:p>
      <w:pPr>
        <w:ind w:left="1160" w:hanging="516"/>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minus maintenance capital expenditures, to the extent not deducted in calculating net income during such four-quarter period;</w:t>
      </w:r>
    </w:p>
    <w:p>
      <w:pPr>
        <w:spacing w:after="0" w:line="248" w:lineRule="exact"/>
        <w:rPr>
          <w:rFonts w:ascii="Arial" w:cs="Arial" w:eastAsia="Arial" w:hAnsi="Arial"/>
          <w:sz w:val="16"/>
          <w:szCs w:val="16"/>
          <w:color w:val="auto"/>
        </w:rPr>
      </w:pPr>
    </w:p>
    <w:p>
      <w:pPr>
        <w:ind w:left="1160" w:hanging="516"/>
        <w:spacing w:after="0"/>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plus any non-cash equity compensation expenses, to the extent deducted in calculating net income during such four-quarter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period;</w:t>
      </w:r>
    </w:p>
    <w:p>
      <w:pPr>
        <w:spacing w:after="0" w:line="210" w:lineRule="exact"/>
        <w:rPr>
          <w:rFonts w:ascii="Arial" w:cs="Arial" w:eastAsia="Arial" w:hAnsi="Arial"/>
          <w:sz w:val="17"/>
          <w:szCs w:val="17"/>
          <w:color w:val="auto"/>
        </w:rPr>
      </w:pPr>
    </w:p>
    <w:p>
      <w:pPr>
        <w:jc w:val="both"/>
        <w:ind w:firstLine="644"/>
        <w:spacing w:after="0" w:line="259" w:lineRule="auto"/>
        <w:tabs>
          <w:tab w:leader="none" w:pos="1173" w:val="left"/>
        </w:tabs>
        <w:numPr>
          <w:ilvl w:val="0"/>
          <w:numId w:val="6"/>
        </w:numPr>
        <w:rPr>
          <w:rFonts w:ascii="Arial" w:cs="Arial" w:eastAsia="Arial" w:hAnsi="Arial"/>
          <w:sz w:val="18"/>
          <w:szCs w:val="18"/>
          <w:color w:val="auto"/>
        </w:rPr>
      </w:pPr>
      <w:r>
        <w:rPr>
          <w:rFonts w:ascii="Arial" w:cs="Arial" w:eastAsia="Arial" w:hAnsi="Arial"/>
          <w:sz w:val="18"/>
          <w:szCs w:val="18"/>
          <w:color w:val="auto"/>
        </w:rPr>
        <w:t>plus any expenses or charges related to any equity offering, investment, acquisition, disposition, recapitalization or incurrence of Indebtedness permitted to be incurred by this Indenture including a refinancing thereof (whether or not successful), including such fees, expenses or charges related to the offering of the Notes and the Credit Agreement, to the extent deducted in calculating net income during such four-quarter period;</w:t>
      </w:r>
    </w:p>
    <w:p>
      <w:pPr>
        <w:spacing w:after="0" w:line="186" w:lineRule="exact"/>
        <w:rPr>
          <w:rFonts w:ascii="Arial" w:cs="Arial" w:eastAsia="Arial" w:hAnsi="Arial"/>
          <w:sz w:val="18"/>
          <w:szCs w:val="18"/>
          <w:color w:val="auto"/>
        </w:rPr>
      </w:pPr>
    </w:p>
    <w:p>
      <w:pPr>
        <w:ind w:firstLine="644"/>
        <w:spacing w:after="0" w:line="308" w:lineRule="auto"/>
        <w:tabs>
          <w:tab w:leader="none" w:pos="1173" w:val="left"/>
        </w:tabs>
        <w:numPr>
          <w:ilvl w:val="0"/>
          <w:numId w:val="6"/>
        </w:numPr>
        <w:rPr>
          <w:rFonts w:ascii="Arial" w:cs="Arial" w:eastAsia="Arial" w:hAnsi="Arial"/>
          <w:sz w:val="17"/>
          <w:szCs w:val="17"/>
          <w:color w:val="auto"/>
        </w:rPr>
      </w:pPr>
      <w:r>
        <w:rPr>
          <w:rFonts w:ascii="Arial" w:cs="Arial" w:eastAsia="Arial" w:hAnsi="Arial"/>
          <w:sz w:val="17"/>
          <w:szCs w:val="17"/>
          <w:color w:val="auto"/>
        </w:rPr>
        <w:t>plus any professional and underwriting fees related to any equity offering, investment, acquisition, recapitalization or Indebtedness permitted to be incurred under this Indenture, to the extent deducted in calculating net income during such four-quarter period;</w:t>
      </w:r>
    </w:p>
    <w:p>
      <w:pPr>
        <w:spacing w:after="0" w:line="146" w:lineRule="exact"/>
        <w:rPr>
          <w:rFonts w:ascii="Arial" w:cs="Arial" w:eastAsia="Arial" w:hAnsi="Arial"/>
          <w:sz w:val="17"/>
          <w:szCs w:val="17"/>
          <w:color w:val="auto"/>
        </w:rPr>
      </w:pPr>
    </w:p>
    <w:p>
      <w:pPr>
        <w:ind w:left="1160" w:hanging="516"/>
        <w:spacing w:after="0"/>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plus non-cash mark-to-market losses on economic hedges, to the extent deducted in calculating net income during such four-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quarter period;</w:t>
      </w:r>
    </w:p>
    <w:p>
      <w:pPr>
        <w:spacing w:after="0" w:line="210" w:lineRule="exact"/>
        <w:rPr>
          <w:rFonts w:ascii="Arial" w:cs="Arial" w:eastAsia="Arial" w:hAnsi="Arial"/>
          <w:sz w:val="17"/>
          <w:szCs w:val="17"/>
          <w:color w:val="auto"/>
        </w:rPr>
      </w:pPr>
    </w:p>
    <w:p>
      <w:pPr>
        <w:ind w:left="1160" w:hanging="516"/>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minus non-cash mark-to-market gains on economic hedges, to the extent included in net income during such four-quarter period;</w:t>
      </w:r>
    </w:p>
    <w:p>
      <w:pPr>
        <w:spacing w:after="0" w:line="248" w:lineRule="exact"/>
        <w:rPr>
          <w:rFonts w:ascii="Arial" w:cs="Arial" w:eastAsia="Arial" w:hAnsi="Arial"/>
          <w:sz w:val="16"/>
          <w:szCs w:val="16"/>
          <w:color w:val="auto"/>
        </w:rPr>
      </w:pPr>
    </w:p>
    <w:p>
      <w:pPr>
        <w:ind w:left="1160" w:hanging="516"/>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plus development expenses, to the extent deducted in calculating net income during such four-quarter period;</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0" w:name="page11"/>
    <w:bookmarkEnd w:id="10"/>
    <w:p>
      <w:pPr>
        <w:ind w:left="660" w:firstLine="644"/>
        <w:spacing w:after="0" w:line="277" w:lineRule="auto"/>
        <w:tabs>
          <w:tab w:leader="none" w:pos="1833" w:val="left"/>
        </w:tabs>
        <w:numPr>
          <w:ilvl w:val="0"/>
          <w:numId w:val="7"/>
        </w:numPr>
        <w:rPr>
          <w:rFonts w:ascii="Arial" w:cs="Arial" w:eastAsia="Arial" w:hAnsi="Arial"/>
          <w:sz w:val="18"/>
          <w:szCs w:val="18"/>
          <w:color w:val="auto"/>
        </w:rPr>
      </w:pPr>
      <w:r>
        <w:rPr>
          <w:rFonts w:ascii="Arial" w:cs="Arial" w:eastAsia="Arial" w:hAnsi="Arial"/>
          <w:sz w:val="18"/>
          <w:szCs w:val="18"/>
          <w:color w:val="auto"/>
        </w:rPr>
        <w:t>plus adjustments to reflect Adjusted LTM CAFD generated by unconsolidated investments that were unable to distribute project dividends during such four-quarter period due to the bankruptcy of Pacific Gas and Electric Company; and</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833" w:val="left"/>
        </w:tabs>
        <w:numPr>
          <w:ilvl w:val="0"/>
          <w:numId w:val="7"/>
        </w:numPr>
        <w:rPr>
          <w:rFonts w:ascii="Arial" w:cs="Arial" w:eastAsia="Arial" w:hAnsi="Arial"/>
          <w:sz w:val="18"/>
          <w:szCs w:val="18"/>
          <w:color w:val="auto"/>
        </w:rPr>
      </w:pPr>
      <w:r>
        <w:rPr>
          <w:rFonts w:ascii="Arial" w:cs="Arial" w:eastAsia="Arial" w:hAnsi="Arial"/>
          <w:sz w:val="18"/>
          <w:szCs w:val="18"/>
          <w:color w:val="auto"/>
        </w:rPr>
        <w:t>plus adjustments made to reflect payments in respect of the Walnut Creek investment, to the extent deducted in calculating net income during such four-quarter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making the computation referred to above:</w:t>
      </w:r>
    </w:p>
    <w:p>
      <w:pPr>
        <w:spacing w:after="0" w:line="225" w:lineRule="exact"/>
        <w:rPr>
          <w:sz w:val="20"/>
          <w:szCs w:val="20"/>
          <w:color w:val="auto"/>
        </w:rPr>
      </w:pPr>
    </w:p>
    <w:p>
      <w:pPr>
        <w:jc w:val="both"/>
        <w:ind w:left="660" w:firstLine="644"/>
        <w:spacing w:after="0" w:line="275" w:lineRule="auto"/>
        <w:tabs>
          <w:tab w:leader="none" w:pos="1788" w:val="left"/>
        </w:tabs>
        <w:numPr>
          <w:ilvl w:val="0"/>
          <w:numId w:val="8"/>
        </w:numPr>
        <w:rPr>
          <w:rFonts w:ascii="Arial" w:cs="Arial" w:eastAsia="Arial" w:hAnsi="Arial"/>
          <w:sz w:val="17"/>
          <w:szCs w:val="17"/>
          <w:color w:val="auto"/>
        </w:rPr>
      </w:pPr>
      <w:r>
        <w:rPr>
          <w:rFonts w:ascii="Arial" w:cs="Arial" w:eastAsia="Arial" w:hAnsi="Arial"/>
          <w:sz w:val="17"/>
          <w:szCs w:val="17"/>
          <w:color w:val="auto"/>
        </w:rPr>
        <w:t>investments and acquisitions that have been made by the Company or any of its Subsidiaries, including through mergers or consolidations, or any Person or any of its Subsidiaries acquired by the Company or any of its Subsidiaries, and including any related financing transactions and including increases in ownership of Subsidiaries, during the four-quarter reference period or subsequent to such reference period and on or prior to the Calculation Date will be given pro forma effect (in accordance with Regulation S-X under the Securities Act, but including all Pro Forma Cost Savings) as if they had occurred on the first day of the four-quarter reference period;</w:t>
      </w:r>
    </w:p>
    <w:p>
      <w:pPr>
        <w:spacing w:after="0" w:line="176" w:lineRule="exact"/>
        <w:rPr>
          <w:rFonts w:ascii="Arial" w:cs="Arial" w:eastAsia="Arial" w:hAnsi="Arial"/>
          <w:sz w:val="17"/>
          <w:szCs w:val="17"/>
          <w:color w:val="auto"/>
        </w:rPr>
      </w:pPr>
    </w:p>
    <w:p>
      <w:pPr>
        <w:ind w:left="660" w:right="20" w:firstLine="644"/>
        <w:spacing w:after="0" w:line="277" w:lineRule="auto"/>
        <w:tabs>
          <w:tab w:leader="none" w:pos="178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Adjusted LTM CAFD attributable to discontinued operations, as determined in accordance with GAAP, and operations or businesses (and ownership interests therein) disposed of prior to the Calculation Date, will be excluded;</w:t>
      </w:r>
    </w:p>
    <w:p>
      <w:pPr>
        <w:spacing w:after="0" w:line="170"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Person that is a Subsidiary on the Calculation Date will be deemed to have been a Subsidiary at all times during such four-quarter period;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Person that is not a Subsidiary on the Calculation Date will be deemed not to have been a Subsidiary at any time during such four-quarter period.</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“Affiliate” </w:t>
      </w:r>
      <w:r>
        <w:rPr>
          <w:rFonts w:ascii="Arial" w:cs="Arial" w:eastAsia="Arial" w:hAnsi="Arial"/>
          <w:sz w:val="17"/>
          <w:szCs w:val="17"/>
          <w:color w:val="auto"/>
        </w:rPr>
        <w:t>of any specified Person means any other Person directly or indirectly controlling or controlled by or under direct or indirect common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“Agent” </w:t>
      </w:r>
      <w:r>
        <w:rPr>
          <w:rFonts w:ascii="Arial" w:cs="Arial" w:eastAsia="Arial" w:hAnsi="Arial"/>
          <w:sz w:val="18"/>
          <w:szCs w:val="18"/>
          <w:color w:val="auto"/>
        </w:rPr>
        <w:t>means any Registrar, co-registrar, Paying Agent or additional paying agent.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“Applicable Laws” </w:t>
      </w:r>
      <w:r>
        <w:rPr>
          <w:rFonts w:ascii="Arial" w:cs="Arial" w:eastAsia="Arial" w:hAnsi="Arial"/>
          <w:sz w:val="17"/>
          <w:szCs w:val="17"/>
          <w:color w:val="auto"/>
        </w:rPr>
        <w:t>means, as to any Person, any law, rule, regulation, ordinance or treaty, or any determination, ruling or other directive by or</w:t>
      </w:r>
      <w:r>
        <w:rPr>
          <w:rFonts w:ascii="Arial" w:cs="Arial" w:eastAsia="Arial" w:hAnsi="Arial"/>
          <w:sz w:val="17"/>
          <w:szCs w:val="17"/>
          <w:i w:val="1"/>
          <w:iCs w:val="1"/>
          <w:color w:val="auto"/>
        </w:rPr>
        <w:t xml:space="preserve"> </w:t>
      </w:r>
      <w:r>
        <w:rPr>
          <w:rFonts w:ascii="Arial" w:cs="Arial" w:eastAsia="Arial" w:hAnsi="Arial"/>
          <w:sz w:val="17"/>
          <w:szCs w:val="17"/>
          <w:color w:val="auto"/>
        </w:rPr>
        <w:t>from a court, arbitrator, governmental authority, independent system operator or any other entity succeeding thereto, in each case applicable to or binding on such Person or any of its property or assets or to which such Person or any of its property or assets is subject.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i w:val="1"/>
          <w:iCs w:val="1"/>
          <w:color w:val="auto"/>
        </w:rPr>
        <w:t xml:space="preserve">“Applicable Premium” </w:t>
      </w:r>
      <w:r>
        <w:rPr>
          <w:rFonts w:ascii="Arial" w:cs="Arial" w:eastAsia="Arial" w:hAnsi="Arial"/>
          <w:sz w:val="18"/>
          <w:szCs w:val="18"/>
          <w:color w:val="auto"/>
        </w:rPr>
        <w:t>means, with respect to any Note on any redemption date, the greater of:</w:t>
      </w:r>
    </w:p>
    <w:p>
      <w:pPr>
        <w:spacing w:after="0" w:line="225" w:lineRule="exact"/>
        <w:rPr>
          <w:sz w:val="20"/>
          <w:szCs w:val="20"/>
          <w:color w:val="auto"/>
        </w:rPr>
      </w:pPr>
    </w:p>
    <w:p>
      <w:pPr>
        <w:ind w:left="1780" w:hanging="476"/>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 of the principal amount of such Note; or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25" w:lineRule="exact"/>
        <w:rPr>
          <w:rFonts w:ascii="Arial" w:cs="Arial" w:eastAsia="Arial" w:hAnsi="Arial"/>
          <w:sz w:val="18"/>
          <w:szCs w:val="18"/>
          <w:color w:val="auto"/>
        </w:rPr>
      </w:pPr>
    </w:p>
    <w:p>
      <w:pPr>
        <w:jc w:val="both"/>
        <w:ind w:left="1300" w:firstLine="652"/>
        <w:spacing w:after="0" w:line="259" w:lineRule="auto"/>
        <w:tabs>
          <w:tab w:leader="none" w:pos="2418"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the present value at such redemption date of (i) the redemption price of such Note at February 15, 2026 (such redemption price being set forth in the table appearing in Section 3.07 hereof)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all required interest payments due on the Note through February 15, 2026 (excluding accrued but unpaid interest to the redemption date), computed using a discount rate equal to the Treasury Rate as of such redemption date plus 50 basis points; over</w:t>
      </w:r>
    </w:p>
    <w:p>
      <w:pPr>
        <w:spacing w:after="0" w:line="186" w:lineRule="exact"/>
        <w:rPr>
          <w:rFonts w:ascii="Arial" w:cs="Arial" w:eastAsia="Arial" w:hAnsi="Arial"/>
          <w:sz w:val="18"/>
          <w:szCs w:val="18"/>
          <w:color w:val="auto"/>
        </w:rPr>
      </w:pPr>
    </w:p>
    <w:p>
      <w:pPr>
        <w:ind w:left="2400" w:hanging="448"/>
        <w:spacing w:after="0"/>
        <w:tabs>
          <w:tab w:leader="none" w:pos="2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then outstanding principal amount of the Note.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“Applicable Procedures” </w:t>
      </w:r>
      <w:r>
        <w:rPr>
          <w:rFonts w:ascii="Arial" w:cs="Arial" w:eastAsia="Arial" w:hAnsi="Arial"/>
          <w:sz w:val="18"/>
          <w:szCs w:val="18"/>
          <w:color w:val="auto"/>
        </w:rPr>
        <w:t>means, with respect to any transfer or exchange of or for beneficial interests in any Global Note, the rules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of the Depositary, Euroclear and Clearstream that apply to such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“Bankruptcy Law” </w:t>
      </w:r>
      <w:r>
        <w:rPr>
          <w:rFonts w:ascii="Arial" w:cs="Arial" w:eastAsia="Arial" w:hAnsi="Arial"/>
          <w:sz w:val="18"/>
          <w:szCs w:val="18"/>
          <w:color w:val="auto"/>
        </w:rPr>
        <w:t>means Title 11, U.S. Code or any similar federal or state law for the relief of debtors.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“Beneficial Owner” </w:t>
      </w:r>
      <w:r>
        <w:rPr>
          <w:rFonts w:ascii="Arial" w:cs="Arial" w:eastAsia="Arial" w:hAnsi="Arial"/>
          <w:sz w:val="18"/>
          <w:szCs w:val="18"/>
          <w:color w:val="auto"/>
        </w:rPr>
        <w:t>has the meaning assigned to such term in Rule 13d-3 and Rule 13d-5 under the Exchange Act. The terms “Beneficially</w:t>
      </w:r>
      <w:r>
        <w:rPr>
          <w:rFonts w:ascii="Arial" w:cs="Arial" w:eastAsia="Arial" w:hAnsi="Arial"/>
          <w:sz w:val="18"/>
          <w:szCs w:val="18"/>
          <w:i w:val="1"/>
          <w:iCs w:val="1"/>
          <w:color w:val="auto"/>
        </w:rPr>
        <w:t xml:space="preserve"> </w:t>
      </w:r>
      <w:r>
        <w:rPr>
          <w:rFonts w:ascii="Arial" w:cs="Arial" w:eastAsia="Arial" w:hAnsi="Arial"/>
          <w:sz w:val="18"/>
          <w:szCs w:val="18"/>
          <w:color w:val="auto"/>
        </w:rPr>
        <w:t>Owns” and “Beneficially Owned” have a corresponding meaning.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means:</w:t>
      </w:r>
    </w:p>
    <w:p>
      <w:pPr>
        <w:spacing w:after="0" w:line="225" w:lineRule="exact"/>
        <w:rPr>
          <w:sz w:val="20"/>
          <w:szCs w:val="20"/>
          <w:color w:val="auto"/>
        </w:rPr>
      </w:pPr>
    </w:p>
    <w:p>
      <w:pPr>
        <w:ind w:left="1780" w:hanging="476"/>
        <w:spacing w:after="0"/>
        <w:tabs>
          <w:tab w:leader="none" w:pos="1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board;</w:t>
      </w:r>
    </w:p>
    <w:p>
      <w:pPr>
        <w:spacing w:after="0" w:line="210" w:lineRule="exact"/>
        <w:rPr>
          <w:rFonts w:ascii="Arial" w:cs="Arial" w:eastAsia="Arial" w:hAnsi="Arial"/>
          <w:sz w:val="16"/>
          <w:szCs w:val="16"/>
          <w:color w:val="auto"/>
        </w:rPr>
      </w:pPr>
    </w:p>
    <w:p>
      <w:pPr>
        <w:ind w:left="1780" w:hanging="4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thereof; and</w:t>
      </w:r>
    </w:p>
    <w:p>
      <w:pPr>
        <w:spacing w:after="0" w:line="210" w:lineRule="exact"/>
        <w:rPr>
          <w:rFonts w:ascii="Arial" w:cs="Arial" w:eastAsia="Arial" w:hAnsi="Arial"/>
          <w:sz w:val="16"/>
          <w:szCs w:val="16"/>
          <w:color w:val="auto"/>
        </w:rPr>
      </w:pPr>
    </w:p>
    <w:p>
      <w:pPr>
        <w:ind w:left="1780" w:hanging="4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“Board Resolution” </w:t>
      </w:r>
      <w:r>
        <w:rPr>
          <w:rFonts w:ascii="Arial" w:cs="Arial" w:eastAsia="Arial" w:hAnsi="Arial"/>
          <w:sz w:val="18"/>
          <w:szCs w:val="18"/>
          <w:color w:val="auto"/>
        </w:rPr>
        <w:t>means a copy of a resolution certified by the Secretary or an Assistant Secretary of the Company to have been adopted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or pursuant to authorization by the Board of Directors and to be in full force and effect on the date of the certificate and delivered to the Trustee.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Legal Holiday.</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“Capital Lease Obligation” </w:t>
      </w:r>
      <w:r>
        <w:rPr>
          <w:rFonts w:ascii="Arial" w:cs="Arial" w:eastAsia="Arial" w:hAnsi="Arial"/>
          <w:sz w:val="16"/>
          <w:szCs w:val="16"/>
          <w:color w:val="auto"/>
        </w:rPr>
        <w:t>means, at the time any determination is to be made, the amount of the liability in respect of a capital lease that would</w:t>
      </w:r>
      <w:r>
        <w:rPr>
          <w:rFonts w:ascii="Arial" w:cs="Arial" w:eastAsia="Arial" w:hAnsi="Arial"/>
          <w:sz w:val="16"/>
          <w:szCs w:val="16"/>
          <w:i w:val="1"/>
          <w:iCs w:val="1"/>
          <w:color w:val="auto"/>
        </w:rPr>
        <w:t xml:space="preserve"> </w:t>
      </w:r>
      <w:r>
        <w:rPr>
          <w:rFonts w:ascii="Arial" w:cs="Arial" w:eastAsia="Arial" w:hAnsi="Arial"/>
          <w:sz w:val="16"/>
          <w:szCs w:val="16"/>
          <w:color w:val="auto"/>
        </w:rPr>
        <w:t>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“Capital Stock” </w:t>
      </w:r>
      <w:r>
        <w:rPr>
          <w:rFonts w:ascii="Arial" w:cs="Arial" w:eastAsia="Arial" w:hAnsi="Arial"/>
          <w:sz w:val="18"/>
          <w:szCs w:val="18"/>
          <w:color w:val="auto"/>
        </w:rPr>
        <w:t>means:</w:t>
      </w:r>
    </w:p>
    <w:p>
      <w:pPr>
        <w:spacing w:after="0" w:line="225" w:lineRule="exact"/>
        <w:rPr>
          <w:sz w:val="20"/>
          <w:szCs w:val="20"/>
          <w:color w:val="auto"/>
        </w:rPr>
      </w:pPr>
    </w:p>
    <w:p>
      <w:pPr>
        <w:ind w:left="1780" w:hanging="476"/>
        <w:spacing w:after="0"/>
        <w:tabs>
          <w:tab w:leader="none" w:pos="1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660" w:firstLine="644"/>
        <w:spacing w:after="0" w:line="277" w:lineRule="auto"/>
        <w:tabs>
          <w:tab w:leader="none" w:pos="17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1780" w:hanging="476"/>
        <w:spacing w:after="0"/>
        <w:tabs>
          <w:tab w:leader="none" w:pos="1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 interests;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jc w:val="both"/>
        <w:ind w:left="660" w:firstLine="644"/>
        <w:spacing w:after="0" w:line="263" w:lineRule="auto"/>
        <w:tabs>
          <w:tab w:leader="none" w:pos="17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means the occurrence of any of the following:</w:t>
      </w:r>
    </w:p>
    <w:p>
      <w:pPr>
        <w:spacing w:after="0" w:line="225" w:lineRule="exact"/>
        <w:rPr>
          <w:sz w:val="20"/>
          <w:szCs w:val="20"/>
          <w:color w:val="auto"/>
        </w:rPr>
      </w:pPr>
    </w:p>
    <w:p>
      <w:pPr>
        <w:jc w:val="both"/>
        <w:ind w:left="660" w:firstLine="644"/>
        <w:spacing w:after="0" w:line="279" w:lineRule="auto"/>
        <w:tabs>
          <w:tab w:leader="none" w:pos="178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 of the Exchange Act, but excluding any employee benefit plan of the Company or any of its Subsidiaries, and any person or entity acting in its capacity as trustee, agent or other fiduciary or administrator of such plan);</w:t>
      </w:r>
    </w:p>
    <w:p>
      <w:pPr>
        <w:spacing w:after="0" w:line="171" w:lineRule="exact"/>
        <w:rPr>
          <w:rFonts w:ascii="Arial" w:cs="Arial" w:eastAsia="Arial" w:hAnsi="Arial"/>
          <w:sz w:val="17"/>
          <w:szCs w:val="17"/>
          <w:color w:val="auto"/>
        </w:rPr>
      </w:pPr>
    </w:p>
    <w:p>
      <w:pPr>
        <w:ind w:left="1780" w:hanging="476"/>
        <w:spacing w:after="0"/>
        <w:tabs>
          <w:tab w:leader="none" w:pos="1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adoption of a plan relating to the liquidation or dissolution of Clearway Energy, Inc., the Parent Guarantor or the Company;</w:t>
      </w:r>
    </w:p>
    <w:p>
      <w:pPr>
        <w:spacing w:after="0" w:line="248" w:lineRule="exact"/>
        <w:rPr>
          <w:rFonts w:ascii="Arial" w:cs="Arial" w:eastAsia="Arial" w:hAnsi="Arial"/>
          <w:sz w:val="16"/>
          <w:szCs w:val="16"/>
          <w:color w:val="auto"/>
        </w:rPr>
      </w:pPr>
    </w:p>
    <w:p>
      <w:pPr>
        <w:jc w:val="both"/>
        <w:ind w:left="660" w:firstLine="644"/>
        <w:spacing w:after="0" w:line="257" w:lineRule="auto"/>
        <w:tabs>
          <w:tab w:leader="none" w:pos="17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(as defined above), other than (i) the Sponsor or (ii) a corporation owned directly or indirectly by the stockholders of Clearway Energy, Inc. in substantially the same proportion as their ownership of stock of Clearway Energy, Inc. prior to such transaction, becomes the Beneficial Owner, directly or indirectly, of more than 50% of the Voting Stock of Clearway Energy, Inc., measured by voting power rather than number of shares; or</w:t>
      </w:r>
    </w:p>
    <w:p>
      <w:pPr>
        <w:spacing w:after="0" w:line="187"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first day on which either (i) Clearway Energy, Inc. ceases to be the sole managing member of the Parent Guarantor or (ii) the Company ceases to be a Wholly Owned Subsidiary of the Parent Guarantor.</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 Triggering Event</w:t>
      </w:r>
      <w:r>
        <w:rPr>
          <w:rFonts w:ascii="Arial" w:cs="Arial" w:eastAsia="Arial" w:hAnsi="Arial"/>
          <w:sz w:val="16"/>
          <w:szCs w:val="16"/>
          <w:color w:val="auto"/>
        </w:rPr>
        <w:t xml:space="preserve">” means (1) a Change of Control has occurred and (2) the Notes are downgraded by both S&amp;P and Moody’s on any date within the 60-day period after the earlier of (a) the occurrence of a Change of Control and (b) public disclosure by the Company of the occurrence of a Change of Control or the Company’s intention to effect a Change of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 particular reduction in rating will not be deemed to have occurred in respect of a particular Change of Control (and thus will not constitute a Change of Control Triggering Event) if the rating agencies making the reduction in rating to which this definition would otherwise apply do not announce or publicly confirm or inform the Trustee in writing at the Company’s or the Trustee’s request that the reduction was the result, in whole or in part, of any event or circumstance comprised of or arising as a result of, or in respect of, the applicable Change of Control (whether or not the applicable Change of Control has occurred at the time of such reduction in rating);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Change of Control Triggering Event shall occur if following such downgrade, (x) the Notes are rated Investment Grade by both S&amp;P and Moody’s or (y) the ratings of the Notes by both S&amp;P and Moody’s are equal to or better than their respective ratings on the Issue Date.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“Clearstream” </w:t>
      </w:r>
      <w:r>
        <w:rPr>
          <w:rFonts w:ascii="Arial" w:cs="Arial" w:eastAsia="Arial" w:hAnsi="Arial"/>
          <w:sz w:val="18"/>
          <w:szCs w:val="18"/>
          <w:color w:val="auto"/>
        </w:rPr>
        <w:t>means Clearstream Banking, 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Clearway Energy Operating LLC, and any and all successors thereto.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17"/>
          <w:szCs w:val="17"/>
          <w:i w:val="1"/>
          <w:iCs w:val="1"/>
          <w:color w:val="auto"/>
        </w:rPr>
        <w:t xml:space="preserve">“continuing” </w:t>
      </w:r>
      <w:r>
        <w:rPr>
          <w:rFonts w:ascii="Arial" w:cs="Arial" w:eastAsia="Arial" w:hAnsi="Arial"/>
          <w:sz w:val="17"/>
          <w:szCs w:val="17"/>
          <w:color w:val="auto"/>
        </w:rPr>
        <w:t>means, with respect to any Default or Event of Default, that such Default or Event of Default has not been cured or waived.</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“Corporate Trust Office of the Trustee” </w:t>
      </w:r>
      <w:r>
        <w:rPr>
          <w:rFonts w:ascii="Arial" w:cs="Arial" w:eastAsia="Arial" w:hAnsi="Arial"/>
          <w:sz w:val="18"/>
          <w:szCs w:val="18"/>
          <w:color w:val="auto"/>
        </w:rPr>
        <w:t>means the address of the Trustee specified in Section 12.02 hereof or such other address as 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may give notice to the Company.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“Credit Agreement” </w:t>
      </w:r>
      <w:r>
        <w:rPr>
          <w:rFonts w:ascii="Arial" w:cs="Arial" w:eastAsia="Arial" w:hAnsi="Arial"/>
          <w:sz w:val="18"/>
          <w:szCs w:val="18"/>
          <w:color w:val="auto"/>
        </w:rPr>
        <w:t>means the Amended and Restated Credit Agreement, dated April 25, 2014, among the Company, the Parent Guarantor, each</w:t>
      </w:r>
      <w:r>
        <w:rPr>
          <w:rFonts w:ascii="Arial" w:cs="Arial" w:eastAsia="Arial" w:hAnsi="Arial"/>
          <w:sz w:val="18"/>
          <w:szCs w:val="18"/>
          <w:i w:val="1"/>
          <w:iCs w:val="1"/>
          <w:color w:val="auto"/>
        </w:rPr>
        <w:t xml:space="preserve"> </w:t>
      </w:r>
      <w:r>
        <w:rPr>
          <w:rFonts w:ascii="Arial" w:cs="Arial" w:eastAsia="Arial" w:hAnsi="Arial"/>
          <w:sz w:val="18"/>
          <w:szCs w:val="18"/>
          <w:color w:val="auto"/>
        </w:rPr>
        <w:t>other guarantor from time to time party thereto, each lender from time to time party thereto, JPMorgan Chase Bank, N.A., as the administrative agent, and JPMorgan Chase Bank, N.A., Royal Bank of Canada, Bank of America, N.A. and Barclays Bank PLC, as letter of credit issuers, as the same may be amended, restated, modified, renewed, refunded, replaced or refinanced from time to time.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means (i) one or more debt facilities (including, without limitation, the Credit Agreement) or commercial paper facilities,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each case with banks or other institutional lenders or other counterparties providing for revolving credit loans, term loans, credit-linked deposits (or similar deposits), receivables financing (including through the sale of receivables to such lenders or to special purpose entities formed to borrow from such lenders against such receivables) or letters of credit, (ii) debt securities sold to institutional investors and/or (iii) Hedging Obligations with any counterparties, in each case, as amended, restated, modified, renewed, refunded, replaced or refinanced (including by means of sales of debt securities to institutional investors) in whole or in part from time to time.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“Custodian” </w:t>
      </w:r>
      <w:r>
        <w:rPr>
          <w:rFonts w:ascii="Arial" w:cs="Arial" w:eastAsia="Arial" w:hAnsi="Arial"/>
          <w:sz w:val="18"/>
          <w:szCs w:val="18"/>
          <w:color w:val="auto"/>
        </w:rPr>
        <w:t>means the Trustee, as custodian with respect to the Notes in global form, or any successor entity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means any event that is, or with the passage of time or the giving of notice or both would be, an Event of Default.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“Definitive Note” </w:t>
      </w:r>
      <w:r>
        <w:rPr>
          <w:rFonts w:ascii="Arial" w:cs="Arial" w:eastAsia="Arial" w:hAnsi="Arial"/>
          <w:sz w:val="18"/>
          <w:szCs w:val="18"/>
          <w:color w:val="auto"/>
        </w:rPr>
        <w:t>means a certificated Note registered in the name of the Holder thereof and issued in accordance with Section 2.06 hereof.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Definitive Notes will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except that such Note shall not bear the Global Legend and shall not have the “Schedule of Exchanges of Interests in the Global Note” attached thereto.</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“Definitive Security” </w:t>
      </w:r>
      <w:r>
        <w:rPr>
          <w:rFonts w:ascii="Arial" w:cs="Arial" w:eastAsia="Arial" w:hAnsi="Arial"/>
          <w:sz w:val="18"/>
          <w:szCs w:val="18"/>
          <w:color w:val="auto"/>
        </w:rPr>
        <w:t>means a certificated Security registered in the name of the Holder thereof and issued in accordance with Section 2.06 hereof.</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Definitive Securities with respect to all other Series of Securities will be in the form specified in the Supplemental Indenture pursuant to which such Series of Securities is created.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“Depositary” </w:t>
      </w:r>
      <w:r>
        <w:rPr>
          <w:rFonts w:ascii="Arial" w:cs="Arial" w:eastAsia="Arial" w:hAnsi="Arial"/>
          <w:sz w:val="18"/>
          <w:szCs w:val="18"/>
          <w:color w:val="auto"/>
        </w:rPr>
        <w:t>means, with respect to the Notes issuable or issued in whole or in part in global form, the Person specified in Section 2.03 hereof as</w:t>
      </w:r>
      <w:r>
        <w:rPr>
          <w:rFonts w:ascii="Arial" w:cs="Arial" w:eastAsia="Arial" w:hAnsi="Arial"/>
          <w:sz w:val="18"/>
          <w:szCs w:val="18"/>
          <w:i w:val="1"/>
          <w:iCs w:val="1"/>
          <w:color w:val="auto"/>
        </w:rPr>
        <w:t xml:space="preserve"> </w:t>
      </w:r>
      <w:r>
        <w:rPr>
          <w:rFonts w:ascii="Arial" w:cs="Arial" w:eastAsia="Arial" w:hAnsi="Arial"/>
          <w:sz w:val="18"/>
          <w:szCs w:val="18"/>
          <w:color w:val="auto"/>
        </w:rPr>
        <w:t>the Depositary with respect to the Notes, and any and all successors thereto appointed as depositary hereunder and having become such pursuant to the applicable provision of this Indenture.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“Environmental CapEx Debt” </w:t>
      </w:r>
      <w:r>
        <w:rPr>
          <w:rFonts w:ascii="Arial" w:cs="Arial" w:eastAsia="Arial" w:hAnsi="Arial"/>
          <w:sz w:val="18"/>
          <w:szCs w:val="18"/>
          <w:color w:val="auto"/>
        </w:rPr>
        <w:t>means Indebtedness of the Company or any of its Subsidiaries incurred for the purpose of financing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to the extent deemed reasonably necessary, as determined by the Company or any of its Subsidiaries, as applicable, in good faith and pursuant to prudent judgment, to comply with applicable Environmental Laws.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“Environmental Laws” </w:t>
      </w:r>
      <w:r>
        <w:rPr>
          <w:rFonts w:ascii="Arial" w:cs="Arial" w:eastAsia="Arial" w:hAnsi="Arial"/>
          <w:sz w:val="18"/>
          <w:szCs w:val="18"/>
          <w:color w:val="auto"/>
        </w:rPr>
        <w:t>means all former, current and future federal, state, local and foreign laws (including common law), treaties,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rules, ordinances and codes, and legally binding decrees, judgments, directives and orders (including consent orders), in each case, relating to protection of the environment, natural resources, occupational health and safety or the presence, release of, or exposure to, hazardous materials, substances or wastes, or the generation, manufacture, processing, distribution, use, treatment, storage, disposal, transport, recycling or handling of, or the arrangement for such activities with respect to, hazardous materials, substances or wastes.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“Equity Interests” </w:t>
      </w:r>
      <w:r>
        <w:rPr>
          <w:rFonts w:ascii="Arial" w:cs="Arial" w:eastAsia="Arial" w:hAnsi="Arial"/>
          <w:sz w:val="18"/>
          <w:szCs w:val="18"/>
          <w:color w:val="auto"/>
        </w:rPr>
        <w:t>means Capital Stock and all warrants, options or other rights to acquire Capital Stock (but excluding any debt security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into, or exchangeable for, Capital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“Equity Offerings” </w:t>
      </w:r>
      <w:r>
        <w:rPr>
          <w:rFonts w:ascii="Arial" w:cs="Arial" w:eastAsia="Arial" w:hAnsi="Arial"/>
          <w:sz w:val="18"/>
          <w:szCs w:val="18"/>
          <w:color w:val="auto"/>
        </w:rPr>
        <w:t>means any public or private sale after the Issue Date of Capital Stock of the Parent Guarantor or Clearway Energy, Inc.,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which have been contributed to the Company as common equity, other than:</w:t>
      </w:r>
    </w:p>
    <w:p>
      <w:pPr>
        <w:spacing w:after="0" w:line="170" w:lineRule="exact"/>
        <w:rPr>
          <w:sz w:val="20"/>
          <w:szCs w:val="20"/>
          <w:color w:val="auto"/>
        </w:rPr>
      </w:pPr>
    </w:p>
    <w:p>
      <w:pPr>
        <w:ind w:left="1780" w:hanging="476"/>
        <w:spacing w:after="0"/>
        <w:tabs>
          <w:tab w:leader="none" w:pos="1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offerings with respect to Clearway Energy, Inc.’s common stock registered on Form S-4 or Form S-8; and</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issuances to any Subsidiary of Clearway Energy,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“Euroclear” </w:t>
      </w:r>
      <w:r>
        <w:rPr>
          <w:rFonts w:ascii="Arial" w:cs="Arial" w:eastAsia="Arial" w:hAnsi="Arial"/>
          <w:sz w:val="18"/>
          <w:szCs w:val="18"/>
          <w:color w:val="auto"/>
        </w:rPr>
        <w:t>means Euroclear Bank, S.A./N.V., as operator of the Euroclear system.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“Exchange Agreement” </w:t>
      </w:r>
      <w:r>
        <w:rPr>
          <w:rFonts w:ascii="Arial" w:cs="Arial" w:eastAsia="Arial" w:hAnsi="Arial"/>
          <w:sz w:val="17"/>
          <w:szCs w:val="17"/>
          <w:color w:val="auto"/>
        </w:rPr>
        <w:t>means the Amended and Restated Exchange Agreement, dated as of May 14, 2015 by and among NRG Energy, Inc.,</w:t>
      </w:r>
      <w:r>
        <w:rPr>
          <w:rFonts w:ascii="Arial" w:cs="Arial" w:eastAsia="Arial" w:hAnsi="Arial"/>
          <w:sz w:val="17"/>
          <w:szCs w:val="17"/>
          <w:i w:val="1"/>
          <w:iCs w:val="1"/>
          <w:color w:val="auto"/>
        </w:rPr>
        <w:t xml:space="preserve"> </w:t>
      </w:r>
      <w:r>
        <w:rPr>
          <w:rFonts w:ascii="Arial" w:cs="Arial" w:eastAsia="Arial" w:hAnsi="Arial"/>
          <w:sz w:val="17"/>
          <w:szCs w:val="17"/>
          <w:color w:val="auto"/>
        </w:rPr>
        <w:t>Clearway Energy, Inc. and the Parent Guarantor and each of the other parties thereto from time to time, as amended, supplemented or otherwise modified from time to time, including by that certain Assignment and Assumption Agreement, dated as of August 31, 2018.</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“Existing Liens” </w:t>
      </w:r>
      <w:r>
        <w:rPr>
          <w:rFonts w:ascii="Arial" w:cs="Arial" w:eastAsia="Arial" w:hAnsi="Arial"/>
          <w:sz w:val="17"/>
          <w:szCs w:val="17"/>
          <w:color w:val="auto"/>
        </w:rPr>
        <w:t>means Liens on the property or assets of the Company and/or any of its Subsidiaries existing on the date of this Indenture</w:t>
      </w:r>
      <w:r>
        <w:rPr>
          <w:rFonts w:ascii="Arial" w:cs="Arial" w:eastAsia="Arial" w:hAnsi="Arial"/>
          <w:sz w:val="17"/>
          <w:szCs w:val="17"/>
          <w:i w:val="1"/>
          <w:iCs w:val="1"/>
          <w:color w:val="auto"/>
        </w:rPr>
        <w:t xml:space="preserve"> </w:t>
      </w:r>
      <w:r>
        <w:rPr>
          <w:rFonts w:ascii="Arial" w:cs="Arial" w:eastAsia="Arial" w:hAnsi="Arial"/>
          <w:sz w:val="17"/>
          <w:szCs w:val="17"/>
          <w:color w:val="auto"/>
        </w:rPr>
        <w:t>securing Indebtedness of the Company or any of its Subsidiaries (other than Liens incurred pursuant to clause (1) of Section 4.07 hereof).</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generally accepted accounting principles set forth in the opinions and pronouncements of the Accounting Principles Board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lease that would not be considered a capital lease pursuant to GAAP prior to the effectiveness of Accounting Standards Codification 842</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or not such lease was in effect on such date) shall be treated as an operating lease for all purposes under this Indenture and shall not be deemed to constitute a capitalized lease or Indebtedness hereunder.</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“Global Legend” </w:t>
      </w:r>
      <w:r>
        <w:rPr>
          <w:rFonts w:ascii="Arial" w:cs="Arial" w:eastAsia="Arial" w:hAnsi="Arial"/>
          <w:sz w:val="18"/>
          <w:szCs w:val="18"/>
          <w:color w:val="auto"/>
        </w:rPr>
        <w:t>means the legend set forth in Section 2.06(g)(2) hereof, which is required to be placed on all Global Securities issued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i w:val="1"/>
          <w:iCs w:val="1"/>
          <w:color w:val="auto"/>
        </w:rPr>
        <w:t xml:space="preserve">“Global Notes” </w:t>
      </w:r>
      <w:r>
        <w:rPr>
          <w:rFonts w:ascii="Arial" w:cs="Arial" w:eastAsia="Arial" w:hAnsi="Arial"/>
          <w:sz w:val="17"/>
          <w:szCs w:val="17"/>
          <w:color w:val="auto"/>
        </w:rPr>
        <w:t>means, individually and collectively, each Restricted Global Note and each Unrestricted Global Note deposited with or on behalf</w:t>
      </w:r>
      <w:r>
        <w:rPr>
          <w:rFonts w:ascii="Arial" w:cs="Arial" w:eastAsia="Arial" w:hAnsi="Arial"/>
          <w:sz w:val="17"/>
          <w:szCs w:val="17"/>
          <w:i w:val="1"/>
          <w:iCs w:val="1"/>
          <w:color w:val="auto"/>
        </w:rPr>
        <w:t xml:space="preserve"> </w:t>
      </w:r>
      <w:r>
        <w:rPr>
          <w:rFonts w:ascii="Arial" w:cs="Arial" w:eastAsia="Arial" w:hAnsi="Arial"/>
          <w:sz w:val="17"/>
          <w:szCs w:val="17"/>
          <w:color w:val="auto"/>
        </w:rPr>
        <w:t>of and registered in the name of the Depositary or its nominee that bears the Global Legend and that has the “Schedule of Exchanges of Interests in the Global Note” attached thereto, issued in accordance with Section 2.01, 2.06(b)(3), 2.06(b)(4), 2.06(d)(2) or 2.06(f) hereof.</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“Global Securities” </w:t>
      </w:r>
      <w:r>
        <w:rPr>
          <w:rFonts w:ascii="Arial" w:cs="Arial" w:eastAsia="Arial" w:hAnsi="Arial"/>
          <w:sz w:val="18"/>
          <w:szCs w:val="18"/>
          <w:color w:val="auto"/>
        </w:rPr>
        <w:t>means, individually and collectively, each Restricted Global Security and each Unrestricted Global Security deposited with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behalf of and registered in the name of the Depositary or its nominee that bears the Global Legend and that has the “Schedule of Exchanges of Interests in the Global Securities” attached thereto, issued in accordance with Section 2.01, 2.06(b)(3), 2.06(b)(4), 2.06(d)(2) or 2.06(f) hereof. The Global Security in respect of the Notes will be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“Government Securities” </w:t>
      </w:r>
      <w:r>
        <w:rPr>
          <w:rFonts w:ascii="Arial" w:cs="Arial" w:eastAsia="Arial" w:hAnsi="Arial"/>
          <w:sz w:val="18"/>
          <w:szCs w:val="18"/>
          <w:color w:val="auto"/>
        </w:rPr>
        <w:t>means direct obligations of, or obligations guaranteed by, the United States of America (including any agency or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instrumentality thereof) for the payment of which obligations or guarantees the full faith and credit of the United States of America is pledged and which are not callable or redeemable at the issuer’s option.</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“Guarantee” </w:t>
      </w:r>
      <w:r>
        <w:rPr>
          <w:rFonts w:ascii="Arial" w:cs="Arial" w:eastAsia="Arial" w:hAnsi="Arial"/>
          <w:sz w:val="18"/>
          <w:szCs w:val="18"/>
          <w:color w:val="auto"/>
        </w:rPr>
        <w:t>means a guarantee other than by endorsement of negotiable instruments for collection in the ordinary course of business, direct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standard contractual indemnities which do not relate to Indebtedness shall not be considered a Guarantee.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“Guarantors” </w:t>
      </w:r>
      <w:r>
        <w:rPr>
          <w:rFonts w:ascii="Arial" w:cs="Arial" w:eastAsia="Arial" w:hAnsi="Arial"/>
          <w:sz w:val="18"/>
          <w:szCs w:val="18"/>
          <w:color w:val="auto"/>
        </w:rPr>
        <w:t>means each of:</w:t>
      </w:r>
    </w:p>
    <w:p>
      <w:pPr>
        <w:spacing w:after="0" w:line="225" w:lineRule="exact"/>
        <w:rPr>
          <w:sz w:val="20"/>
          <w:szCs w:val="20"/>
          <w:color w:val="auto"/>
        </w:rPr>
      </w:pPr>
    </w:p>
    <w:p>
      <w:pPr>
        <w:ind w:left="1960" w:hanging="656"/>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Parent Guarantor;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Subsidiary Guarantors, until such time as they are released pursuant to Section 10.05.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“Hedging Obligations” </w:t>
      </w:r>
      <w:r>
        <w:rPr>
          <w:rFonts w:ascii="Arial" w:cs="Arial" w:eastAsia="Arial" w:hAnsi="Arial"/>
          <w:sz w:val="18"/>
          <w:szCs w:val="18"/>
          <w:color w:val="auto"/>
        </w:rPr>
        <w:t>means, with respect to any specified Person, the obligations of such Person under:</w:t>
      </w:r>
    </w:p>
    <w:p>
      <w:pPr>
        <w:spacing w:after="0" w:line="225" w:lineRule="exact"/>
        <w:rPr>
          <w:sz w:val="20"/>
          <w:szCs w:val="20"/>
          <w:color w:val="auto"/>
        </w:rPr>
      </w:pPr>
    </w:p>
    <w:p>
      <w:pPr>
        <w:ind w:left="660" w:firstLine="644"/>
        <w:spacing w:after="0" w:line="277" w:lineRule="auto"/>
        <w:tabs>
          <w:tab w:leader="none" w:pos="1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currency exchange, interest rate or commodity swap agreements, currency exchange, interest rate or commodity cap agreements and currency exchange, interest rate or commodity collar agreements; and</w:t>
      </w:r>
    </w:p>
    <w:p>
      <w:pPr>
        <w:spacing w:after="0" w:line="170" w:lineRule="exact"/>
        <w:rPr>
          <w:rFonts w:ascii="Arial" w:cs="Arial" w:eastAsia="Arial" w:hAnsi="Arial"/>
          <w:sz w:val="18"/>
          <w:szCs w:val="18"/>
          <w:color w:val="auto"/>
        </w:rPr>
      </w:pPr>
    </w:p>
    <w:p>
      <w:pPr>
        <w:jc w:val="both"/>
        <w:ind w:left="660" w:firstLine="644"/>
        <w:spacing w:after="0" w:line="257" w:lineRule="auto"/>
        <w:tabs>
          <w:tab w:leader="none" w:pos="1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 (iii) agreements or arrangements for commercial or trading activities with respect to the purchase, transmission, distribution, sale, lease or hedge of any energy related commodity or service.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“Holder” </w:t>
      </w:r>
      <w:r>
        <w:rPr>
          <w:rFonts w:ascii="Arial" w:cs="Arial" w:eastAsia="Arial" w:hAnsi="Arial"/>
          <w:sz w:val="18"/>
          <w:szCs w:val="18"/>
          <w:color w:val="auto"/>
        </w:rPr>
        <w:t>means a Person in whose name a Security is registered.</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 xml:space="preserve">“IAI Global Note” </w:t>
      </w:r>
      <w:r>
        <w:rPr>
          <w:rFonts w:ascii="Arial" w:cs="Arial" w:eastAsia="Arial" w:hAnsi="Arial"/>
          <w:sz w:val="18"/>
          <w:szCs w:val="18"/>
          <w:color w:val="auto"/>
        </w:rPr>
        <w:t>means a Global Note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bearing the Global Legend and the Private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Legend and deposited with or on behalf of, and registered in the name of, the Depositary or its nominee that will be issued in a denomination equal to the outstanding principal amount of the Notes resold to Institutional Accredited Investors.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“IAI Global Security” </w:t>
      </w:r>
      <w:r>
        <w:rPr>
          <w:rFonts w:ascii="Arial" w:cs="Arial" w:eastAsia="Arial" w:hAnsi="Arial"/>
          <w:sz w:val="18"/>
          <w:szCs w:val="18"/>
          <w:color w:val="auto"/>
        </w:rPr>
        <w:t>means a Global Security, in the form specified in the applicable Supplemental Indenture pursuant to which such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is created, bearing the Global Legend and the Private Placement Legend and deposited with or on behalf of, and registered in the name of, the Depositary or its nominee that will be issued in a denomination equal to the outstanding principal amount of the Securities resold to Institutional Accredited Investors.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firstLine="648"/>
        <w:spacing w:after="0" w:line="277"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with respect to any specified Person, any indebtedness of such Person (excluding accrued expenses and trade payables,</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clause (5) below, and surety bonds), whether or not contingent:</w:t>
      </w:r>
    </w:p>
    <w:p>
      <w:pPr>
        <w:spacing w:after="0" w:line="170" w:lineRule="exact"/>
        <w:rPr>
          <w:sz w:val="20"/>
          <w:szCs w:val="20"/>
          <w:color w:val="auto"/>
        </w:rPr>
      </w:pPr>
    </w:p>
    <w:p>
      <w:pPr>
        <w:ind w:left="1780" w:hanging="476"/>
        <w:spacing w:after="0"/>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248" w:lineRule="exact"/>
        <w:rPr>
          <w:rFonts w:ascii="Arial" w:cs="Arial" w:eastAsia="Arial" w:hAnsi="Arial"/>
          <w:sz w:val="16"/>
          <w:szCs w:val="16"/>
          <w:color w:val="auto"/>
        </w:rPr>
      </w:pPr>
    </w:p>
    <w:p>
      <w:pPr>
        <w:ind w:left="1780" w:hanging="476"/>
        <w:spacing w:after="0"/>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representing Capital Lease Obligations in respect of sale and leaseback transactions;</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representing the balance of deferred and unpaid purchase price of any property or services with a scheduled due date more than six months after such property is acquired or such services are completed; or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representing the net amount owing under any Hedging Obligations, if and to the extent any of the preceding items (other than letters of credit and Hedging Obligations) would appear as a liability upon a balance sheet of the specified Person prepared in accordance with GAAP.</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such Indebtedness shall be deemed not to exceed the lesser of the amount secured by such Lien and the value of the Person’s property securing such Lien.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“Indenture” </w:t>
      </w:r>
      <w:r>
        <w:rPr>
          <w:rFonts w:ascii="Arial" w:cs="Arial" w:eastAsia="Arial" w:hAnsi="Arial"/>
          <w:sz w:val="18"/>
          <w:szCs w:val="18"/>
          <w:color w:val="auto"/>
        </w:rPr>
        <w:t>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“Indirect Participant” </w:t>
      </w:r>
      <w:r>
        <w:rPr>
          <w:rFonts w:ascii="Arial" w:cs="Arial" w:eastAsia="Arial" w:hAnsi="Arial"/>
          <w:sz w:val="18"/>
          <w:szCs w:val="18"/>
          <w:color w:val="auto"/>
        </w:rPr>
        <w:t>means a Person who holds a beneficial interest in a Global Security through a Participant.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“Initial Notes” </w:t>
      </w:r>
      <w:r>
        <w:rPr>
          <w:rFonts w:ascii="Arial" w:cs="Arial" w:eastAsia="Arial" w:hAnsi="Arial"/>
          <w:sz w:val="18"/>
          <w:szCs w:val="18"/>
          <w:color w:val="auto"/>
        </w:rPr>
        <w:t>means the first $925,000,000 in aggregate principal amount of Notes issued under this Indenture on the date hereof.</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“Initial Purchasers” </w:t>
      </w:r>
      <w:r>
        <w:rPr>
          <w:rFonts w:ascii="Arial" w:cs="Arial" w:eastAsia="Arial" w:hAnsi="Arial"/>
          <w:sz w:val="16"/>
          <w:szCs w:val="16"/>
          <w:color w:val="auto"/>
        </w:rPr>
        <w:t>means Morgan Stanley &amp; Co. LLC, Goldman Sachs &amp; Co. LLC, MUFG Securities Americas Inc., J.P. Morgan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LLC, Barclays Capital Inc., BofA Securities, Inc., Citigroup Global Markets Inc., KeyBanc Capital Markets Inc., and RBC Capital Markets, LLC, and shall include any other entity designated as such in any Supplemental Indenture with respect to any Series of Securities issued after the date of this Indenture.</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“Institutional Accredited Investor” </w:t>
      </w:r>
      <w:r>
        <w:rPr>
          <w:rFonts w:ascii="Arial" w:cs="Arial" w:eastAsia="Arial" w:hAnsi="Arial"/>
          <w:sz w:val="18"/>
          <w:szCs w:val="18"/>
          <w:color w:val="auto"/>
        </w:rPr>
        <w:t>means an institution that is an “accredited investor” as defined in Rule 501(a)(1), (2), (3) or (7)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 who are not also QIBs.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“Investment Grade” </w:t>
      </w:r>
      <w:r>
        <w:rPr>
          <w:rFonts w:ascii="Arial" w:cs="Arial" w:eastAsia="Arial" w:hAnsi="Arial"/>
          <w:sz w:val="18"/>
          <w:szCs w:val="18"/>
          <w:color w:val="auto"/>
        </w:rPr>
        <w:t>in respect of the Notes means a rating of (i) Baa3 or better by Moody’s, (ii) BBB- or better by S&amp;P, or (iii) the equivalent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rating by such organization.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“Issue Date” </w:t>
      </w:r>
      <w:r>
        <w:rPr>
          <w:rFonts w:ascii="Arial" w:cs="Arial" w:eastAsia="Arial" w:hAnsi="Arial"/>
          <w:sz w:val="18"/>
          <w:szCs w:val="18"/>
          <w:color w:val="auto"/>
        </w:rPr>
        <w:t>means March 9,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“Legal Holiday” </w:t>
      </w:r>
      <w:r>
        <w:rPr>
          <w:rFonts w:ascii="Arial" w:cs="Arial" w:eastAsia="Arial" w:hAnsi="Arial"/>
          <w:sz w:val="17"/>
          <w:szCs w:val="17"/>
          <w:color w:val="auto"/>
        </w:rPr>
        <w:t>means a Saturday, a Sunday or a day on which banking institutions in the City of New York or at a place of payment are</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“Lien” </w:t>
      </w:r>
      <w:r>
        <w:rPr>
          <w:rFonts w:ascii="Arial" w:cs="Arial" w:eastAsia="Arial" w:hAnsi="Arial"/>
          <w:sz w:val="18"/>
          <w:szCs w:val="18"/>
          <w:color w:val="auto"/>
        </w:rPr>
        <w:t>means, with respect to any asset:</w:t>
      </w:r>
    </w:p>
    <w:p>
      <w:pPr>
        <w:spacing w:after="0" w:line="225" w:lineRule="exact"/>
        <w:rPr>
          <w:sz w:val="20"/>
          <w:szCs w:val="20"/>
          <w:color w:val="auto"/>
        </w:rPr>
      </w:pPr>
    </w:p>
    <w:p>
      <w:pPr>
        <w:ind w:left="660" w:right="20" w:firstLine="644"/>
        <w:spacing w:after="0" w:line="277" w:lineRule="auto"/>
        <w:tabs>
          <w:tab w:leader="none" w:pos="17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mortgage, deed of trust, deed to secure debt, lien (statutory or otherwise), pledge, hypothecation, encumbrance, restriction, collateral assignment, charge or security interest in, on or of such asset;</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interest of a vendor or a lessor under any conditional sale agreement, capital lease or title retention agreement (or any financing lease having substantially the same economic effect as any of the foregoing) relating to such asset;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Equity Interests or debt securities, any purchase option, call or similar right of a third party with respect to such Equity Interests or debt securities.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“Material Indebtedness” </w:t>
      </w:r>
      <w:r>
        <w:rPr>
          <w:rFonts w:ascii="Arial" w:cs="Arial" w:eastAsia="Arial" w:hAnsi="Arial"/>
          <w:sz w:val="18"/>
          <w:szCs w:val="18"/>
          <w:color w:val="auto"/>
        </w:rPr>
        <w:t>means, as of any date, any series of Indebtedness with an aggregate principal amount outstanding in excess of the greater</w:t>
      </w:r>
      <w:r>
        <w:rPr>
          <w:rFonts w:ascii="Arial" w:cs="Arial" w:eastAsia="Arial" w:hAnsi="Arial"/>
          <w:sz w:val="18"/>
          <w:szCs w:val="18"/>
          <w:i w:val="1"/>
          <w:iCs w:val="1"/>
          <w:color w:val="auto"/>
        </w:rPr>
        <w:t xml:space="preserve"> </w:t>
      </w:r>
      <w:r>
        <w:rPr>
          <w:rFonts w:ascii="Arial" w:cs="Arial" w:eastAsia="Arial" w:hAnsi="Arial"/>
          <w:sz w:val="18"/>
          <w:szCs w:val="18"/>
          <w:color w:val="auto"/>
        </w:rPr>
        <w:t>of (i) 1.5% of Total Assets, as of such date, and (ii) $100.0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or any successor entity.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“Necessary CapEx Debt” </w:t>
      </w:r>
      <w:r>
        <w:rPr>
          <w:rFonts w:ascii="Arial" w:cs="Arial" w:eastAsia="Arial" w:hAnsi="Arial"/>
          <w:sz w:val="18"/>
          <w:szCs w:val="18"/>
          <w:color w:val="auto"/>
        </w:rPr>
        <w:t>means Indebtedness of the Company or any of its Subsidiaries incurred for the purpose of financing capital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capital expenditures financed by Environmental CapEx Debt) that are required by Applicable Law or are undertaken for health and safety reasons. The term “Necessary CapEx Debt” does not include any Indebtedness incurred for the purpose of financing capital expenditures undertaken primarily to increase the efficiency of, expand or re-power any power generation facility.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“Non-U.S. Person” </w:t>
      </w:r>
      <w:r>
        <w:rPr>
          <w:rFonts w:ascii="Arial" w:cs="Arial" w:eastAsia="Arial" w:hAnsi="Arial"/>
          <w:sz w:val="18"/>
          <w:szCs w:val="18"/>
          <w:color w:val="auto"/>
        </w:rPr>
        <w:t>means a Person who is not a U.S. Person.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“Notes” </w:t>
      </w:r>
      <w:r>
        <w:rPr>
          <w:rFonts w:ascii="Arial" w:cs="Arial" w:eastAsia="Arial" w:hAnsi="Arial"/>
          <w:sz w:val="18"/>
          <w:szCs w:val="18"/>
          <w:color w:val="auto"/>
        </w:rPr>
        <w:t>has the meaning assigned to it in the preamble to this Indenture. The Initial Notes and the Additional Notes shall be treated as a single</w:t>
      </w:r>
      <w:r>
        <w:rPr>
          <w:rFonts w:ascii="Arial" w:cs="Arial" w:eastAsia="Arial" w:hAnsi="Arial"/>
          <w:sz w:val="18"/>
          <w:szCs w:val="18"/>
          <w:i w:val="1"/>
          <w:iCs w:val="1"/>
          <w:color w:val="auto"/>
        </w:rPr>
        <w:t xml:space="preserve"> </w:t>
      </w:r>
      <w:r>
        <w:rPr>
          <w:rFonts w:ascii="Arial" w:cs="Arial" w:eastAsia="Arial" w:hAnsi="Arial"/>
          <w:sz w:val="18"/>
          <w:szCs w:val="18"/>
          <w:color w:val="auto"/>
        </w:rPr>
        <w:t>class for all purposes under this Indenture, and unless the context otherwise requires, all references to the Notes shall include the Initial Notes and any Additional Notes.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“Obligations” </w:t>
      </w:r>
      <w:r>
        <w:rPr>
          <w:rFonts w:ascii="Arial" w:cs="Arial" w:eastAsia="Arial" w:hAnsi="Arial"/>
          <w:sz w:val="18"/>
          <w:szCs w:val="18"/>
          <w:color w:val="auto"/>
        </w:rPr>
        <w:t>means any principal, interest, penalties, fees, indemnifications, reimbursements, damages and other liabilities payable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documentation governing any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“Offering Memorandum” </w:t>
      </w:r>
      <w:r>
        <w:rPr>
          <w:rFonts w:ascii="Arial" w:cs="Arial" w:eastAsia="Arial" w:hAnsi="Arial"/>
          <w:sz w:val="17"/>
          <w:szCs w:val="17"/>
          <w:color w:val="auto"/>
        </w:rPr>
        <w:t>means the offering memorandum dated March 2, 2021 in connection with the offering of the Notes by the Company.</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means, with respect to any Person, the Chairman of the Board of Directors, the Chief Executive Officer, the President,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Officer, the Chief Financial Officer, the Chief Accounting Officer, the Treasurer, any Assistant Treasurer, the Secretary, the Controller, Assistant Secretary or any Vice President of such Person.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“Officers’ Certificate” </w:t>
      </w:r>
      <w:r>
        <w:rPr>
          <w:rFonts w:ascii="Arial" w:cs="Arial" w:eastAsia="Arial" w:hAnsi="Arial"/>
          <w:sz w:val="18"/>
          <w:szCs w:val="18"/>
          <w:color w:val="auto"/>
        </w:rPr>
        <w:t>means a certificate signed on behalf of the Company by two Officers of the Company, one of whom must be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the principal financial officer, the treasurer or the principal accounting officer of the Company, that meets the requirements of Section 12.05 hereof.</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“Opinion of Counsel” </w:t>
      </w:r>
      <w:r>
        <w:rPr>
          <w:rFonts w:ascii="Arial" w:cs="Arial" w:eastAsia="Arial" w:hAnsi="Arial"/>
          <w:sz w:val="18"/>
          <w:szCs w:val="18"/>
          <w:color w:val="auto"/>
        </w:rPr>
        <w:t>means an opinion from legal counsel who is reasonably acceptable to the Trustee, that meets the requirements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12.05 hereof. The counsel may be an employee of or counsel to the Company, any Subsidiary of the Company or the Trustee.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Legend” </w:t>
      </w:r>
      <w:r>
        <w:rPr>
          <w:rFonts w:ascii="Arial" w:cs="Arial" w:eastAsia="Arial" w:hAnsi="Arial"/>
          <w:sz w:val="18"/>
          <w:szCs w:val="18"/>
          <w:color w:val="auto"/>
        </w:rPr>
        <w:t>means the legend set forth in Section 2.06(g)(3) hereof to be placed on all Securities issued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if applicable.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“Parent Guarantee” </w:t>
      </w:r>
      <w:r>
        <w:rPr>
          <w:rFonts w:ascii="Arial" w:cs="Arial" w:eastAsia="Arial" w:hAnsi="Arial"/>
          <w:sz w:val="18"/>
          <w:szCs w:val="18"/>
          <w:color w:val="auto"/>
        </w:rPr>
        <w:t>means the Guarantee by the Parent Guarantor of the Company’s obligations under this Indenture and on the Notes, executed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provisions of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“Parent Guarantor” </w:t>
      </w:r>
      <w:r>
        <w:rPr>
          <w:rFonts w:ascii="Arial" w:cs="Arial" w:eastAsia="Arial" w:hAnsi="Arial"/>
          <w:sz w:val="18"/>
          <w:szCs w:val="18"/>
          <w:color w:val="auto"/>
        </w:rPr>
        <w:t>means Clearway Energy LLC and its successors and assigns.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with respect to the Depositary, Euroclear or Clearstream, a Person who has an account with the Depositary, Euroclear or</w:t>
      </w:r>
      <w:r>
        <w:rPr>
          <w:rFonts w:ascii="Arial" w:cs="Arial" w:eastAsia="Arial" w:hAnsi="Arial"/>
          <w:sz w:val="18"/>
          <w:szCs w:val="18"/>
          <w:i w:val="1"/>
          <w:iCs w:val="1"/>
          <w:color w:val="auto"/>
        </w:rPr>
        <w:t xml:space="preserve"> </w:t>
      </w:r>
      <w:r>
        <w:rPr>
          <w:rFonts w:ascii="Arial" w:cs="Arial" w:eastAsia="Arial" w:hAnsi="Arial"/>
          <w:sz w:val="18"/>
          <w:szCs w:val="18"/>
          <w:color w:val="auto"/>
        </w:rPr>
        <w:t>Clearstream, respectively (and, with respect to DTC, shall include Euroclear and Clearstream).</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any individual, corporation, partnership, joint venture, association, joint-stock company, trust, unincorporated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liability company or government or other entity.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building, structure or other facility, and all related property, plant or equipment or other long-term assets used or</w:t>
      </w:r>
      <w:r>
        <w:rPr>
          <w:rFonts w:ascii="Arial" w:cs="Arial" w:eastAsia="Arial" w:hAnsi="Arial"/>
          <w:sz w:val="18"/>
          <w:szCs w:val="18"/>
          <w:i w:val="1"/>
          <w:iCs w:val="1"/>
          <w:color w:val="auto"/>
        </w:rPr>
        <w:t xml:space="preserve"> </w:t>
      </w:r>
      <w:r>
        <w:rPr>
          <w:rFonts w:ascii="Arial" w:cs="Arial" w:eastAsia="Arial" w:hAnsi="Arial"/>
          <w:sz w:val="18"/>
          <w:szCs w:val="18"/>
          <w:color w:val="auto"/>
        </w:rPr>
        <w:t>useful in the ownership, development, construction or operation of such building, structure or other facility owned or leased by the Company or any Guarantor and having a net book value in excess of 2.0% of Total Assets, except any such building, structure or other facility (or related property, plant or equipment) that in the reasonable opinion of the Company is not of material importance to the business conducted by the Company and its consolidated Subsidiaries, taken as a whole.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“Private Placement Legend” </w:t>
      </w:r>
      <w:r>
        <w:rPr>
          <w:rFonts w:ascii="Arial" w:cs="Arial" w:eastAsia="Arial" w:hAnsi="Arial"/>
          <w:sz w:val="18"/>
          <w:szCs w:val="18"/>
          <w:color w:val="auto"/>
        </w:rPr>
        <w:t>means the legend set forth in Section 2.06(g)(1) hereof to be placed on all Notes issued under this Indenture except</w:t>
      </w:r>
      <w:r>
        <w:rPr>
          <w:rFonts w:ascii="Arial" w:cs="Arial" w:eastAsia="Arial" w:hAnsi="Arial"/>
          <w:sz w:val="18"/>
          <w:szCs w:val="18"/>
          <w:i w:val="1"/>
          <w:iCs w:val="1"/>
          <w:color w:val="auto"/>
        </w:rPr>
        <w:t xml:space="preserve"> </w:t>
      </w:r>
      <w:r>
        <w:rPr>
          <w:rFonts w:ascii="Arial" w:cs="Arial" w:eastAsia="Arial" w:hAnsi="Arial"/>
          <w:sz w:val="18"/>
          <w:szCs w:val="18"/>
          <w:color w:val="auto"/>
        </w:rPr>
        <w:t>where otherwise permitted by the provisions of this Indenture.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“Pro Forma Cost Savings” </w:t>
      </w:r>
      <w:r>
        <w:rPr>
          <w:rFonts w:ascii="Arial" w:cs="Arial" w:eastAsia="Arial" w:hAnsi="Arial"/>
          <w:sz w:val="17"/>
          <w:szCs w:val="17"/>
          <w:color w:val="auto"/>
        </w:rPr>
        <w:t>means, without duplication, with respect to any period, reductions in costs and related adjustments that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actually realized or are projected by the Company’s Chief Financial Officer in good faith to result from reasonably identifiable and factually supportable actions or events, but only to the extent such reductions in costs and related adjustments are so projected by the Company to be realized prior to the end of the consecutive four-quarter period commencing after the transaction giving rise to such calculation.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“Project Debt” </w:t>
      </w:r>
      <w:r>
        <w:rPr>
          <w:rFonts w:ascii="Arial" w:cs="Arial" w:eastAsia="Arial" w:hAnsi="Arial"/>
          <w:sz w:val="18"/>
          <w:szCs w:val="18"/>
          <w:color w:val="auto"/>
        </w:rPr>
        <w:t>means Indebtedness of one or more Project Subsidiaries incurred for the purpose of holding, leasing, developing, constructing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acquiring energy generating, transmission or distribution assets, or assets related thereto, or any other power or energy facility or any assets related thereto;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Company is not liable with respect to such Indebtedness except to the extent of a non-recourse pledge of equity interests in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Subsidiaries.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“Project Subsidiary” </w:t>
      </w:r>
      <w:r>
        <w:rPr>
          <w:rFonts w:ascii="Arial" w:cs="Arial" w:eastAsia="Arial" w:hAnsi="Arial"/>
          <w:sz w:val="18"/>
          <w:szCs w:val="18"/>
          <w:color w:val="auto"/>
        </w:rPr>
        <w:t>means any Subsidiary of the Company held for the purpose of holding, leasing, developing, constructing or acquiring energy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generating, transmission or distribution assets, or assets related thereto, or any other power or energy facility or any assets related thereto, and any Subsidiary of the Company whose assets consist primarily of equity interests in one or more other Project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Subsidiary will cease to be a Project Subsidiary if it Guarantees any Indebtedness of the Company other than obligations of the Company related to Project Debt of one or more Project Subsidiaries.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i w:val="1"/>
          <w:iCs w:val="1"/>
          <w:color w:val="auto"/>
        </w:rPr>
        <w:t xml:space="preserve">“QIB” </w:t>
      </w:r>
      <w:r>
        <w:rPr>
          <w:rFonts w:ascii="Arial" w:cs="Arial" w:eastAsia="Arial" w:hAnsi="Arial"/>
          <w:sz w:val="18"/>
          <w:szCs w:val="18"/>
          <w:color w:val="auto"/>
        </w:rPr>
        <w:t>means a “qualified institutional buyer” as defined in Rule 144A.</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“Refinancing Liens” </w:t>
      </w:r>
      <w:r>
        <w:rPr>
          <w:rFonts w:ascii="Arial" w:cs="Arial" w:eastAsia="Arial" w:hAnsi="Arial"/>
          <w:sz w:val="16"/>
          <w:szCs w:val="16"/>
          <w:color w:val="auto"/>
        </w:rPr>
        <w:t>means Liens granted in connection with amending, extending, modifying, renewing, replacing, refunding or refinancing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whole or in part any Indebtedness secured by Liens described in clauses (2) through (13) of Section 4.07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Refinancing Liens do not</w:t>
      </w:r>
    </w:p>
    <w:p>
      <w:pPr>
        <w:jc w:val="both"/>
        <w:ind w:firstLine="8"/>
        <w:spacing w:after="0" w:line="255" w:lineRule="auto"/>
        <w:tabs>
          <w:tab w:leader="none" w:pos="2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extend to property or assets other than property or assets of the type that were subject to the original Lien or (b) secure Indebtedness having a principal amount in excess of the amount of Indebtedness being extended, renewed, replaced or refinanced, plus the amount of any fees and expenses (including premiums) related to any such extension, renewal, replacement or refinancing.</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“Regulation S” </w:t>
      </w:r>
      <w:r>
        <w:rPr>
          <w:rFonts w:ascii="Arial" w:cs="Arial" w:eastAsia="Arial" w:hAnsi="Arial"/>
          <w:sz w:val="18"/>
          <w:szCs w:val="18"/>
          <w:color w:val="auto"/>
        </w:rPr>
        <w:t>means Regulation S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“Regulation S-K” </w:t>
      </w:r>
      <w:r>
        <w:rPr>
          <w:rFonts w:ascii="Arial" w:cs="Arial" w:eastAsia="Arial" w:hAnsi="Arial"/>
          <w:sz w:val="18"/>
          <w:szCs w:val="18"/>
          <w:color w:val="auto"/>
        </w:rPr>
        <w:t>means Regulation S-K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“Regulation S-X” </w:t>
      </w:r>
      <w:r>
        <w:rPr>
          <w:rFonts w:ascii="Arial" w:cs="Arial" w:eastAsia="Arial" w:hAnsi="Arial"/>
          <w:sz w:val="18"/>
          <w:szCs w:val="18"/>
          <w:color w:val="auto"/>
        </w:rPr>
        <w:t>means Regulation S-X promulgated under the Securities Act.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“Regulation S Global Note” </w:t>
      </w:r>
      <w:r>
        <w:rPr>
          <w:rFonts w:ascii="Arial" w:cs="Arial" w:eastAsia="Arial" w:hAnsi="Arial"/>
          <w:sz w:val="18"/>
          <w:szCs w:val="18"/>
          <w:color w:val="auto"/>
        </w:rPr>
        <w:t>means a Global Note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bearing the Global Legend and the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Placement Legend and deposited with or on behalf of and registered in the name of the Depositary or its nominee, issued in a denomination equal to the outstanding principal amount of the Notes sold in reliance on Rule 903 of Regulation 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“Regulation S Global Security” </w:t>
      </w:r>
      <w:r>
        <w:rPr>
          <w:rFonts w:ascii="Arial" w:cs="Arial" w:eastAsia="Arial" w:hAnsi="Arial"/>
          <w:sz w:val="18"/>
          <w:szCs w:val="18"/>
          <w:color w:val="auto"/>
        </w:rPr>
        <w:t>means a Global Security, in the form specified in the applicable Supplemental Indenture pursuant to which such</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Securities is created, bearing the Global Legend and the Private Placement Legend and deposited with or on behalf of and registered in the name of the Depositary or its nominee, issued in a denomination equal to the outstanding principal amount of the Securities sold in reliance on Rule 903 of Regulation 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“Responsible Officer” </w:t>
      </w:r>
      <w:r>
        <w:rPr>
          <w:rFonts w:ascii="Arial" w:cs="Arial" w:eastAsia="Arial" w:hAnsi="Arial"/>
          <w:sz w:val="18"/>
          <w:szCs w:val="18"/>
          <w:color w:val="auto"/>
        </w:rPr>
        <w:t>means, when used with respect to the Trustee, any officer within the Corporate Trust Administration of the Trustee (or any</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Definitive Note” </w:t>
      </w:r>
      <w:r>
        <w:rPr>
          <w:rFonts w:ascii="Arial" w:cs="Arial" w:eastAsia="Arial" w:hAnsi="Arial"/>
          <w:sz w:val="18"/>
          <w:szCs w:val="18"/>
          <w:color w:val="auto"/>
        </w:rPr>
        <w:t>means a Definitive Note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Definitive Security” </w:t>
      </w:r>
      <w:r>
        <w:rPr>
          <w:rFonts w:ascii="Arial" w:cs="Arial" w:eastAsia="Arial" w:hAnsi="Arial"/>
          <w:sz w:val="18"/>
          <w:szCs w:val="18"/>
          <w:color w:val="auto"/>
        </w:rPr>
        <w:t>means a Definitive Security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Global Note” </w:t>
      </w:r>
      <w:r>
        <w:rPr>
          <w:rFonts w:ascii="Arial" w:cs="Arial" w:eastAsia="Arial" w:hAnsi="Arial"/>
          <w:sz w:val="18"/>
          <w:szCs w:val="18"/>
          <w:color w:val="auto"/>
        </w:rPr>
        <w:t>means a Global Note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Global Security” </w:t>
      </w:r>
      <w:r>
        <w:rPr>
          <w:rFonts w:ascii="Arial" w:cs="Arial" w:eastAsia="Arial" w:hAnsi="Arial"/>
          <w:sz w:val="18"/>
          <w:szCs w:val="18"/>
          <w:color w:val="auto"/>
        </w:rPr>
        <w:t>means a Global Security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Period” </w:t>
      </w:r>
      <w:r>
        <w:rPr>
          <w:rFonts w:ascii="Arial" w:cs="Arial" w:eastAsia="Arial" w:hAnsi="Arial"/>
          <w:sz w:val="18"/>
          <w:szCs w:val="18"/>
          <w:color w:val="auto"/>
        </w:rPr>
        <w:t>means the 40-day distribution compliance period as defined in Regulation 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144” </w:t>
      </w:r>
      <w:r>
        <w:rPr>
          <w:rFonts w:ascii="Arial" w:cs="Arial" w:eastAsia="Arial" w:hAnsi="Arial"/>
          <w:sz w:val="18"/>
          <w:szCs w:val="18"/>
          <w:color w:val="auto"/>
        </w:rPr>
        <w:t>means Rule 144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144A” </w:t>
      </w:r>
      <w:r>
        <w:rPr>
          <w:rFonts w:ascii="Arial" w:cs="Arial" w:eastAsia="Arial" w:hAnsi="Arial"/>
          <w:sz w:val="18"/>
          <w:szCs w:val="18"/>
          <w:color w:val="auto"/>
        </w:rPr>
        <w:t>means Rule 144A promulgated under the Securities Act.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i w:val="1"/>
          <w:iCs w:val="1"/>
          <w:color w:val="auto"/>
        </w:rPr>
        <w:t xml:space="preserve">“Rule 903” </w:t>
      </w:r>
      <w:r>
        <w:rPr>
          <w:rFonts w:ascii="Arial" w:cs="Arial" w:eastAsia="Arial" w:hAnsi="Arial"/>
          <w:sz w:val="18"/>
          <w:szCs w:val="18"/>
          <w:color w:val="auto"/>
        </w:rPr>
        <w:t>means Rule 903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904” </w:t>
      </w:r>
      <w:r>
        <w:rPr>
          <w:rFonts w:ascii="Arial" w:cs="Arial" w:eastAsia="Arial" w:hAnsi="Arial"/>
          <w:sz w:val="18"/>
          <w:szCs w:val="18"/>
          <w:color w:val="auto"/>
        </w:rPr>
        <w:t>means Rule 904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means S&amp;P Global Ratings, a division of S&amp;P Global Inc., or any successor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 </w:t>
      </w:r>
      <w:r>
        <w:rPr>
          <w:rFonts w:ascii="Arial" w:cs="Arial" w:eastAsia="Arial" w:hAnsi="Arial"/>
          <w:sz w:val="18"/>
          <w:szCs w:val="18"/>
          <w:color w:val="auto"/>
        </w:rPr>
        <w:t>means the Securities and Exchange Commission.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“Securities” </w:t>
      </w:r>
      <w:r>
        <w:rPr>
          <w:rFonts w:ascii="Arial" w:cs="Arial" w:eastAsia="Arial" w:hAnsi="Arial"/>
          <w:sz w:val="18"/>
          <w:szCs w:val="18"/>
          <w:color w:val="auto"/>
        </w:rPr>
        <w:t>means all debentures, notes and other debt instruments of the Company of any Series authenticated and delivered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including all Notes and Additional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means the Securities Act of 1933, as amended.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“Series” </w:t>
      </w:r>
      <w:r>
        <w:rPr>
          <w:rFonts w:ascii="Arial" w:cs="Arial" w:eastAsia="Arial" w:hAnsi="Arial"/>
          <w:sz w:val="18"/>
          <w:szCs w:val="18"/>
          <w:color w:val="auto"/>
        </w:rPr>
        <w:t>or</w:t>
      </w:r>
      <w:r>
        <w:rPr>
          <w:rFonts w:ascii="Arial" w:cs="Arial" w:eastAsia="Arial" w:hAnsi="Arial"/>
          <w:sz w:val="18"/>
          <w:szCs w:val="18"/>
          <w:i w:val="1"/>
          <w:iCs w:val="1"/>
          <w:color w:val="auto"/>
        </w:rPr>
        <w:t xml:space="preserve"> “Series of Securities” </w:t>
      </w:r>
      <w:r>
        <w:rPr>
          <w:rFonts w:ascii="Arial" w:cs="Arial" w:eastAsia="Arial" w:hAnsi="Arial"/>
          <w:sz w:val="18"/>
          <w:szCs w:val="18"/>
          <w:color w:val="auto"/>
        </w:rPr>
        <w:t>means each series of Securities created pursuant to Section 2.01 hereof (for the avoidance of doubt,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a Series of Securities).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“Significant Subsidiary” </w:t>
      </w:r>
      <w:r>
        <w:rPr>
          <w:rFonts w:ascii="Arial" w:cs="Arial" w:eastAsia="Arial" w:hAnsi="Arial"/>
          <w:sz w:val="18"/>
          <w:szCs w:val="18"/>
          <w:color w:val="auto"/>
        </w:rPr>
        <w:t>means any Subsidiary that would be a “significant subsidiary” as defined in Article 1, Rule 1-02 of Regulation S-X,</w:t>
      </w:r>
      <w:r>
        <w:rPr>
          <w:rFonts w:ascii="Arial" w:cs="Arial" w:eastAsia="Arial" w:hAnsi="Arial"/>
          <w:sz w:val="18"/>
          <w:szCs w:val="18"/>
          <w:i w:val="1"/>
          <w:iCs w:val="1"/>
          <w:color w:val="auto"/>
        </w:rPr>
        <w:t xml:space="preserve"> </w:t>
      </w:r>
      <w:r>
        <w:rPr>
          <w:rFonts w:ascii="Arial" w:cs="Arial" w:eastAsia="Arial" w:hAnsi="Arial"/>
          <w:sz w:val="18"/>
          <w:szCs w:val="18"/>
          <w:color w:val="auto"/>
        </w:rPr>
        <w:t>promulgated pursuant to the Securities Act, as such Regulation is in effect on the date of this Indenture.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“Sponsor” </w:t>
      </w:r>
      <w:r>
        <w:rPr>
          <w:rFonts w:ascii="Arial" w:cs="Arial" w:eastAsia="Arial" w:hAnsi="Arial"/>
          <w:sz w:val="18"/>
          <w:szCs w:val="18"/>
          <w:color w:val="auto"/>
        </w:rPr>
        <w:t>means any of (i) Global Infrastructure Management, LLC, (ii) one or more Sponsor Affiliates and (iii) any funds or partnerships or co-investment vehicles managed or advised or controlled by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“Sponsor Affiliate” </w:t>
      </w:r>
      <w:r>
        <w:rPr>
          <w:rFonts w:ascii="Arial" w:cs="Arial" w:eastAsia="Arial" w:hAnsi="Arial"/>
          <w:sz w:val="18"/>
          <w:szCs w:val="18"/>
          <w:color w:val="auto"/>
        </w:rPr>
        <w:t>means any Affiliate of the Sponsor that is not a portfolio company.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“Stated Maturity” </w:t>
      </w:r>
      <w:r>
        <w:rPr>
          <w:rFonts w:ascii="Arial" w:cs="Arial" w:eastAsia="Arial" w:hAnsi="Arial"/>
          <w:sz w:val="18"/>
          <w:szCs w:val="18"/>
          <w:color w:val="auto"/>
        </w:rPr>
        <w:t>means, with respect to any installment of interest or principal on any series of Indebtedness, the date on which the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or principal was scheduled to be paid in the documentation governing such Indebtedness as of the first date it was incurred in compliance with the terms of this Indenture, and will not include any contingent obligations to repay, redeem or repurchase any such interest or principal prior to the date originally scheduled for the payment thereof.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with respect to any specified Person:</w:t>
      </w:r>
    </w:p>
    <w:p>
      <w:pPr>
        <w:spacing w:after="0" w:line="225" w:lineRule="exact"/>
        <w:rPr>
          <w:sz w:val="20"/>
          <w:szCs w:val="20"/>
          <w:color w:val="auto"/>
        </w:rPr>
      </w:pPr>
    </w:p>
    <w:p>
      <w:pPr>
        <w:jc w:val="both"/>
        <w:ind w:left="660" w:firstLine="644"/>
        <w:spacing w:after="0" w:line="257" w:lineRule="auto"/>
        <w:tabs>
          <w:tab w:leader="none" w:pos="17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7" w:lineRule="exact"/>
        <w:rPr>
          <w:rFonts w:ascii="Arial" w:cs="Arial" w:eastAsia="Arial" w:hAnsi="Arial"/>
          <w:sz w:val="18"/>
          <w:szCs w:val="18"/>
          <w:color w:val="auto"/>
        </w:rPr>
      </w:pPr>
    </w:p>
    <w:p>
      <w:pPr>
        <w:ind w:left="660" w:firstLine="644"/>
        <w:spacing w:after="0" w:line="308" w:lineRule="auto"/>
        <w:tabs>
          <w:tab w:leader="none" w:pos="1765"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“Subsidiary Guarantee” </w:t>
      </w:r>
      <w:r>
        <w:rPr>
          <w:rFonts w:ascii="Arial" w:cs="Arial" w:eastAsia="Arial" w:hAnsi="Arial"/>
          <w:sz w:val="18"/>
          <w:szCs w:val="18"/>
          <w:color w:val="auto"/>
        </w:rPr>
        <w:t>means the Guarantee by each Subsidiary Guarantor of the Company’s obligations under this Indenture and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pursuant to the provisions of this Indenture.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i w:val="1"/>
          <w:iCs w:val="1"/>
          <w:color w:val="auto"/>
        </w:rPr>
        <w:t xml:space="preserve">“Subsidiary Guarantors” </w:t>
      </w:r>
      <w:r>
        <w:rPr>
          <w:rFonts w:ascii="Arial" w:cs="Arial" w:eastAsia="Arial" w:hAnsi="Arial"/>
          <w:sz w:val="18"/>
          <w:szCs w:val="18"/>
          <w:color w:val="auto"/>
        </w:rPr>
        <w:t>means:</w:t>
      </w:r>
    </w:p>
    <w:p>
      <w:pPr>
        <w:spacing w:after="0" w:line="225" w:lineRule="exact"/>
        <w:rPr>
          <w:sz w:val="20"/>
          <w:szCs w:val="20"/>
          <w:color w:val="auto"/>
        </w:rPr>
      </w:pPr>
    </w:p>
    <w:p>
      <w:pPr>
        <w:ind w:left="660" w:firstLine="644"/>
        <w:spacing w:after="0" w:line="277" w:lineRule="auto"/>
        <w:tabs>
          <w:tab w:leader="none" w:pos="17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of the Company’s Wholly Owned Subsidiaries that Guarantee the Notes on the date of this Indenture, until such time as they are released pursuant to Section 10.05 of this Indenture;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Subsidiary that executes a Subsidiary Guarantee in accordance with the provisions of this Indenture, and their respective successors and assigns.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Supplemental Indenture</w:t>
      </w:r>
      <w:r>
        <w:rPr>
          <w:rFonts w:ascii="Arial" w:cs="Arial" w:eastAsia="Arial" w:hAnsi="Arial"/>
          <w:sz w:val="18"/>
          <w:szCs w:val="18"/>
          <w:color w:val="auto"/>
        </w:rPr>
        <w:t>” means any supplemental indenture entered into pursuant to Section 2.01 hereof to evidence the issuance of any Additional Securities after the date of this Indenture.</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 xml:space="preserve">“Tax Equity Financing” </w:t>
      </w:r>
      <w:r>
        <w:rPr>
          <w:rFonts w:ascii="Arial" w:cs="Arial" w:eastAsia="Arial" w:hAnsi="Arial"/>
          <w:sz w:val="16"/>
          <w:szCs w:val="16"/>
          <w:color w:val="auto"/>
        </w:rPr>
        <w:t>means a tax equity financing entered into solely in connection with the acquisition, expansion, upgrade or refurbishment</w:t>
      </w:r>
      <w:r>
        <w:rPr>
          <w:rFonts w:ascii="Arial" w:cs="Arial" w:eastAsia="Arial" w:hAnsi="Arial"/>
          <w:sz w:val="16"/>
          <w:szCs w:val="16"/>
          <w:i w:val="1"/>
          <w:iCs w:val="1"/>
          <w:color w:val="auto"/>
        </w:rPr>
        <w:t xml:space="preserve"> </w:t>
      </w:r>
      <w:r>
        <w:rPr>
          <w:rFonts w:ascii="Arial" w:cs="Arial" w:eastAsia="Arial" w:hAnsi="Arial"/>
          <w:sz w:val="16"/>
          <w:szCs w:val="16"/>
          <w:color w:val="auto"/>
        </w:rPr>
        <w:t>(or refinancing of any of the foregoing or of any Indebtedness incurred in connection therewith) of or by a Project Subsidiary (and/or another Subsidiary that is a direct or indirect parent company of such Project Subsidiary) of energy generating, transmission or distribution assets, or of any other energy or power facility or any assets related to any of the foregoing that are eligible for renewable energy production tax credits available under Section 45 of the Code or renewable energy investment tax credits available under Section 48 of the Code, as applicable, on an arm’s length basis.</w:t>
      </w:r>
    </w:p>
    <w:p>
      <w:pPr>
        <w:spacing w:after="0" w:line="16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“Total Assets” </w:t>
      </w:r>
      <w:r>
        <w:rPr>
          <w:rFonts w:ascii="Arial" w:cs="Arial" w:eastAsia="Arial" w:hAnsi="Arial"/>
          <w:sz w:val="17"/>
          <w:szCs w:val="17"/>
          <w:color w:val="auto"/>
        </w:rPr>
        <w:t>means, as of any date of determination, the total consolidated assets of the Company and its Subsidiaries, determined on a</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basis in accordance with GAAP, as shown on the most recent publicly available balance sheet of the Company as of such date.</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“Treasury Rate” </w:t>
      </w:r>
      <w:r>
        <w:rPr>
          <w:rFonts w:ascii="Arial" w:cs="Arial" w:eastAsia="Arial" w:hAnsi="Arial"/>
          <w:sz w:val="18"/>
          <w:szCs w:val="18"/>
          <w:color w:val="auto"/>
        </w:rPr>
        <w:t>means, as of any redemption date, the yield to maturity as of such redemption date of United States Treasury securities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February 15, 2026;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period from the redemption date to February 15, 2026 is less than one year, the weekly average yield on actually traded United States Treasury securities adjusted to a constant maturity of one year will be used.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Definitive Note” </w:t>
      </w:r>
      <w:r>
        <w:rPr>
          <w:rFonts w:ascii="Arial" w:cs="Arial" w:eastAsia="Arial" w:hAnsi="Arial"/>
          <w:sz w:val="18"/>
          <w:szCs w:val="18"/>
          <w:color w:val="auto"/>
        </w:rPr>
        <w:t>means a Definitive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“Unrestricted Definitive Security” </w:t>
      </w:r>
      <w:r>
        <w:rPr>
          <w:rFonts w:ascii="Arial" w:cs="Arial" w:eastAsia="Arial" w:hAnsi="Arial"/>
          <w:sz w:val="17"/>
          <w:szCs w:val="17"/>
          <w:color w:val="auto"/>
        </w:rPr>
        <w:t>means a Definitive Security that does not bear and is not required to bear the Private Placement Legend.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Global Note” </w:t>
      </w:r>
      <w:r>
        <w:rPr>
          <w:rFonts w:ascii="Arial" w:cs="Arial" w:eastAsia="Arial" w:hAnsi="Arial"/>
          <w:sz w:val="18"/>
          <w:szCs w:val="18"/>
          <w:color w:val="auto"/>
        </w:rPr>
        <w:t>means a Global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Global Security” </w:t>
      </w:r>
      <w:r>
        <w:rPr>
          <w:rFonts w:ascii="Arial" w:cs="Arial" w:eastAsia="Arial" w:hAnsi="Arial"/>
          <w:sz w:val="18"/>
          <w:szCs w:val="18"/>
          <w:color w:val="auto"/>
        </w:rPr>
        <w:t>means a Global Security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“U.S. Person” </w:t>
      </w:r>
      <w:r>
        <w:rPr>
          <w:rFonts w:ascii="Arial" w:cs="Arial" w:eastAsia="Arial" w:hAnsi="Arial"/>
          <w:sz w:val="18"/>
          <w:szCs w:val="18"/>
          <w:color w:val="auto"/>
        </w:rPr>
        <w:t>means a U.S. Person as defined in Rule 902(k) promulgated under the Securities Act.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“Voting Stock” </w:t>
      </w:r>
      <w:r>
        <w:rPr>
          <w:rFonts w:ascii="Arial" w:cs="Arial" w:eastAsia="Arial" w:hAnsi="Arial"/>
          <w:sz w:val="18"/>
          <w:szCs w:val="18"/>
          <w:color w:val="auto"/>
        </w:rPr>
        <w:t>of any specified Person as of any date means the Capital Stock of such Person that is at the time entitled to vote in the election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of such Person.</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2" w:name="page23"/>
    <w:bookmarkEnd w:id="22"/>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“Wholly Owned Subsidiary” </w:t>
      </w:r>
      <w:r>
        <w:rPr>
          <w:rFonts w:ascii="Arial" w:cs="Arial" w:eastAsia="Arial" w:hAnsi="Arial"/>
          <w:sz w:val="16"/>
          <w:szCs w:val="16"/>
          <w:color w:val="auto"/>
        </w:rPr>
        <w:t>means, with respect to any specified Person, a direct or indirect Subsidiary of such Person, 100% of the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Stock or other ownership interests of which is at the time owned by such Person or by one or more Wholly Owned Subsidiaries of such Person.</w:t>
      </w:r>
    </w:p>
    <w:p>
      <w:pPr>
        <w:spacing w:after="0" w:line="12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i w:val="1"/>
          <w:iCs w:val="1"/>
          <w:color w:val="auto"/>
        </w:rPr>
        <w:t>Other Definitions.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the Notes, the following terms will have the meanings set forth in this Section 1.02. For purposes of any Additional Securities issued under this Indenture, the Supplemental Indenture in respect of such Additional Securities will specify the defined terms to be used therein, which may include some, all or none of the terms contained in this Section 1.02.</w:t>
      </w:r>
    </w:p>
    <w:p>
      <w:pPr>
        <w:spacing w:after="0" w:line="184" w:lineRule="exact"/>
        <w:rPr>
          <w:sz w:val="20"/>
          <w:szCs w:val="20"/>
          <w:color w:val="auto"/>
        </w:rPr>
      </w:pPr>
    </w:p>
    <w:tbl>
      <w:tblPr>
        <w:tblLayout w:type="fixed"/>
        <w:tblInd w:w="680" w:type="dxa"/>
        <w:tblCellMar>
          <w:top w:w="0" w:type="dxa"/>
          <w:left w:w="0" w:type="dxa"/>
          <w:bottom w:w="0" w:type="dxa"/>
          <w:right w:w="0" w:type="dxa"/>
        </w:tblCellMar>
      </w:tblPr>
      <w:tr>
        <w:trPr>
          <w:trHeight w:val="229"/>
        </w:trPr>
        <w:tc>
          <w:tcPr>
            <w:tcW w:w="8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Defined in</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Term</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Section</w:t>
            </w:r>
          </w:p>
        </w:tc>
      </w:tr>
      <w:tr>
        <w:trPr>
          <w:trHeight w:val="209"/>
        </w:trPr>
        <w:tc>
          <w:tcPr>
            <w:tcW w:w="8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“Authentication Order”</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Offer”</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4.09</w:t>
            </w: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“Change of Control Payment”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Payment Date”</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4.09</w:t>
            </w: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“Covenant Defeasance”</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8.03</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i w:val="1"/>
                <w:iCs w:val="1"/>
                <w:color w:val="auto"/>
              </w:rPr>
              <w:t>“DTC”</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2.03</w:t>
            </w: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“Event of Default”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6.01</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i w:val="1"/>
                <w:iCs w:val="1"/>
                <w:color w:val="auto"/>
              </w:rPr>
              <w:t>“Legal Defeasance”</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8.02</w:t>
            </w: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“Paying Agent”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i w:val="1"/>
                <w:iCs w:val="1"/>
                <w:color w:val="auto"/>
              </w:rPr>
              <w:t>“Payment Default”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6.01</w:t>
            </w: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“Registrar”</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w:t>
            </w:r>
          </w:p>
        </w:tc>
      </w:tr>
    </w:tbl>
    <w:p>
      <w:pPr>
        <w:spacing w:after="0" w:line="200" w:lineRule="exact"/>
        <w:rPr>
          <w:sz w:val="20"/>
          <w:szCs w:val="20"/>
          <w:color w:val="auto"/>
        </w:rPr>
      </w:pPr>
    </w:p>
    <w:p>
      <w:pPr>
        <w:sectPr>
          <w:pgSz w:w="11900" w:h="16838" w:orient="portrait"/>
          <w:cols w:equalWidth="0" w:num="1">
            <w:col w:w="11240"/>
          </w:cols>
          <w:pgMar w:left="320" w:top="787"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Section 1.03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[Reserved]</w:t>
      </w:r>
    </w:p>
    <w:p>
      <w:pPr>
        <w:spacing w:after="0" w:line="200" w:lineRule="exact"/>
        <w:rPr>
          <w:sz w:val="20"/>
          <w:szCs w:val="20"/>
          <w:color w:val="auto"/>
        </w:rPr>
      </w:pPr>
    </w:p>
    <w:p>
      <w:pPr>
        <w:sectPr>
          <w:pgSz w:w="11900" w:h="16838" w:orient="portrait"/>
          <w:cols w:equalWidth="0" w:num="2">
            <w:col w:w="900" w:space="260"/>
            <w:col w:w="10080"/>
          </w:cols>
          <w:pgMar w:left="320" w:top="787"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Section 1.04</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Rules of Construction.</w:t>
      </w:r>
    </w:p>
    <w:p>
      <w:pPr>
        <w:spacing w:after="0" w:line="200" w:lineRule="exact"/>
        <w:rPr>
          <w:sz w:val="20"/>
          <w:szCs w:val="20"/>
          <w:color w:val="auto"/>
        </w:rPr>
      </w:pPr>
    </w:p>
    <w:p>
      <w:pPr>
        <w:sectPr>
          <w:pgSz w:w="11900" w:h="16838" w:orient="portrait"/>
          <w:cols w:equalWidth="0" w:num="2">
            <w:col w:w="900" w:space="260"/>
            <w:col w:w="10080"/>
          </w:cols>
          <w:pgMar w:left="320" w:top="787" w:right="3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1780" w:hanging="476"/>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“including” is not limiting;</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225"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will be deemed to include substitute, replacement of successor sections or rules adopted by the SEC from time to time.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type w:val="continuous"/>
        </w:sectPr>
      </w:pPr>
    </w:p>
    <w:bookmarkStart w:id="23" w:name="page24"/>
    <w:bookmarkEnd w:id="23"/>
    <w:p>
      <w:pPr>
        <w:ind w:firstLine="648"/>
        <w:spacing w:after="0" w:line="277" w:lineRule="auto"/>
        <w:rPr>
          <w:sz w:val="20"/>
          <w:szCs w:val="20"/>
          <w:color w:val="auto"/>
        </w:rPr>
      </w:pPr>
      <w:r>
        <w:rPr>
          <w:rFonts w:ascii="Arial" w:cs="Arial" w:eastAsia="Arial" w:hAnsi="Arial"/>
          <w:sz w:val="18"/>
          <w:szCs w:val="18"/>
          <w:color w:val="auto"/>
        </w:rPr>
        <w:t>The terms and provisions contained in this Indenture will apply to any Additional Securities issued from time to time pursuant to this Indenture, except as may be otherwise provided in the Supplemental Indenture with respect to such Additional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ISSUANCE OF NOTES AND ADDITIONAL SECURITIES</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i w:val="1"/>
          <w:iCs w:val="1"/>
          <w:color w:val="auto"/>
        </w:rPr>
        <w:t>Form and Dating of Notes; Creation of Additional Securities.</w:t>
      </w:r>
    </w:p>
    <w:p>
      <w:pPr>
        <w:spacing w:after="0" w:line="225" w:lineRule="exact"/>
        <w:rPr>
          <w:sz w:val="20"/>
          <w:szCs w:val="20"/>
          <w:color w:val="auto"/>
        </w:rPr>
      </w:pPr>
    </w:p>
    <w:p>
      <w:pPr>
        <w:jc w:val="both"/>
        <w:ind w:firstLine="656"/>
        <w:spacing w:after="0" w:line="254" w:lineRule="auto"/>
        <w:tabs>
          <w:tab w:leader="none" w:pos="1118"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Securities to be Issued in Series</w:t>
      </w:r>
      <w:r>
        <w:rPr>
          <w:rFonts w:ascii="Arial" w:cs="Arial" w:eastAsia="Arial" w:hAnsi="Arial"/>
          <w:sz w:val="18"/>
          <w:szCs w:val="18"/>
          <w:color w:val="auto"/>
        </w:rPr>
        <w:t>. The aggregate amount of Securities that may be authenticated and delivered under this Indenture is</w:t>
      </w:r>
      <w:r>
        <w:rPr>
          <w:rFonts w:ascii="Arial" w:cs="Arial" w:eastAsia="Arial" w:hAnsi="Arial"/>
          <w:sz w:val="18"/>
          <w:szCs w:val="18"/>
          <w:i w:val="1"/>
          <w:iCs w:val="1"/>
          <w:color w:val="auto"/>
        </w:rPr>
        <w:t xml:space="preserve"> </w:t>
      </w:r>
      <w:r>
        <w:rPr>
          <w:rFonts w:ascii="Arial" w:cs="Arial" w:eastAsia="Arial" w:hAnsi="Arial"/>
          <w:sz w:val="18"/>
          <w:szCs w:val="18"/>
          <w:color w:val="auto"/>
        </w:rPr>
        <w:t>unlimited. The Securities may be issued in one or more Series. All Additional Securities will have the terms set forth in the Supplemental Indenture pursuant to which such Series of Additional Securities is created, which Supplemental Indenture will detail the adoption of the terms of such Series of Additional Securities pursuant to the authority granted under a Board Resolution. In the case of Securities of a Series to be issued from time to time, the Supplemental Indenture creating such Series will detail the adoption of the terms thereof pursuant to the authority granted under a Board Resolution and will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or prior to the issuance of any Series of Additional Securities, the following terms shall be established in the Supplemental Indenture in respect of such Series created pursuant to authority granted under a Board Resolution and executed and delivered by the Company and the Trustee (and, if applicable, any guarantors of such Additional Securities):</w:t>
      </w:r>
    </w:p>
    <w:p>
      <w:pPr>
        <w:spacing w:after="0" w:line="184" w:lineRule="exact"/>
        <w:rPr>
          <w:sz w:val="20"/>
          <w:szCs w:val="20"/>
          <w:color w:val="auto"/>
        </w:rPr>
      </w:pPr>
    </w:p>
    <w:p>
      <w:pPr>
        <w:ind w:left="1760" w:hanging="456"/>
        <w:spacing w:after="0"/>
        <w:tabs>
          <w:tab w:leader="none" w:pos="1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title of the Series (which shall distinguish the Securities of that particular Series from the Securities of any other Series);</w:t>
      </w:r>
    </w:p>
    <w:p>
      <w:pPr>
        <w:spacing w:after="0" w:line="236" w:lineRule="exact"/>
        <w:rPr>
          <w:rFonts w:ascii="Arial" w:cs="Arial" w:eastAsia="Arial" w:hAnsi="Arial"/>
          <w:sz w:val="17"/>
          <w:szCs w:val="17"/>
          <w:color w:val="auto"/>
        </w:rPr>
      </w:pPr>
    </w:p>
    <w:p>
      <w:pPr>
        <w:ind w:left="1760" w:hanging="456"/>
        <w:spacing w:after="0"/>
        <w:tabs>
          <w:tab w:leader="none" w:pos="1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price or prices (expressed as a percentage of the principal amount thereof) at which the Securities of the Series will be issued;</w:t>
      </w:r>
    </w:p>
    <w:p>
      <w:pPr>
        <w:spacing w:after="0" w:line="248" w:lineRule="exact"/>
        <w:rPr>
          <w:rFonts w:ascii="Arial" w:cs="Arial" w:eastAsia="Arial" w:hAnsi="Arial"/>
          <w:sz w:val="16"/>
          <w:szCs w:val="16"/>
          <w:color w:val="auto"/>
        </w:rPr>
      </w:pPr>
    </w:p>
    <w:p>
      <w:pPr>
        <w:jc w:val="both"/>
        <w:ind w:left="660" w:firstLine="644"/>
        <w:spacing w:after="0" w:line="263" w:lineRule="auto"/>
        <w:tabs>
          <w:tab w:leader="none" w:pos="17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this Article 2);</w:t>
      </w:r>
    </w:p>
    <w:p>
      <w:pPr>
        <w:spacing w:after="0" w:line="183" w:lineRule="exact"/>
        <w:rPr>
          <w:rFonts w:ascii="Arial" w:cs="Arial" w:eastAsia="Arial" w:hAnsi="Arial"/>
          <w:sz w:val="18"/>
          <w:szCs w:val="18"/>
          <w:color w:val="auto"/>
        </w:rPr>
      </w:pPr>
    </w:p>
    <w:p>
      <w:pPr>
        <w:ind w:left="1760" w:hanging="456"/>
        <w:spacing w:after="0"/>
        <w:tabs>
          <w:tab w:leader="none" w:pos="1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jc w:val="both"/>
        <w:ind w:left="660" w:firstLine="644"/>
        <w:spacing w:after="0" w:line="279" w:lineRule="auto"/>
        <w:tabs>
          <w:tab w:leader="none" w:pos="176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71" w:lineRule="exact"/>
        <w:rPr>
          <w:rFonts w:ascii="Arial" w:cs="Arial" w:eastAsia="Arial" w:hAnsi="Arial"/>
          <w:sz w:val="17"/>
          <w:szCs w:val="17"/>
          <w:color w:val="auto"/>
        </w:rPr>
      </w:pPr>
    </w:p>
    <w:p>
      <w:pPr>
        <w:jc w:val="both"/>
        <w:ind w:left="660" w:firstLine="644"/>
        <w:spacing w:after="0" w:line="311" w:lineRule="auto"/>
        <w:tabs>
          <w:tab w:leader="none" w:pos="176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4" w:name="page25"/>
    <w:bookmarkEnd w:id="24"/>
    <w:p>
      <w:pPr>
        <w:ind w:left="-460" w:firstLine="644"/>
        <w:spacing w:after="0" w:line="277" w:lineRule="auto"/>
        <w:tabs>
          <w:tab w:leader="none" w:pos="6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170" w:lineRule="exact"/>
        <w:rPr>
          <w:rFonts w:ascii="Arial" w:cs="Arial" w:eastAsia="Arial" w:hAnsi="Arial"/>
          <w:sz w:val="18"/>
          <w:szCs w:val="18"/>
          <w:color w:val="auto"/>
        </w:rPr>
      </w:pPr>
    </w:p>
    <w:p>
      <w:pPr>
        <w:jc w:val="both"/>
        <w:ind w:left="-460" w:firstLine="644"/>
        <w:spacing w:after="0" w:line="286" w:lineRule="auto"/>
        <w:tabs>
          <w:tab w:leader="none" w:pos="64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65" w:lineRule="exact"/>
        <w:rPr>
          <w:rFonts w:ascii="Arial" w:cs="Arial" w:eastAsia="Arial" w:hAnsi="Arial"/>
          <w:sz w:val="17"/>
          <w:szCs w:val="17"/>
          <w:color w:val="auto"/>
        </w:rPr>
      </w:pPr>
    </w:p>
    <w:p>
      <w:pPr>
        <w:ind w:left="-460" w:right="20" w:firstLine="644"/>
        <w:spacing w:after="0" w:line="277" w:lineRule="auto"/>
        <w:tabs>
          <w:tab w:leader="none" w:pos="6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rFonts w:ascii="Arial" w:cs="Arial" w:eastAsia="Arial" w:hAnsi="Arial"/>
          <w:sz w:val="18"/>
          <w:szCs w:val="18"/>
          <w:color w:val="auto"/>
        </w:rPr>
      </w:pPr>
    </w:p>
    <w:p>
      <w:pPr>
        <w:ind w:left="-460" w:firstLine="644"/>
        <w:spacing w:after="0" w:line="277" w:lineRule="auto"/>
        <w:tabs>
          <w:tab w:leader="none" w:pos="6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other than denominations of $2,000 and any integral multiples of $1,000 in excess thereof, the denominations in which the Securities of the Series shall be issuable;</w:t>
      </w:r>
    </w:p>
    <w:p>
      <w:pPr>
        <w:spacing w:after="0" w:line="170" w:lineRule="exact"/>
        <w:rPr>
          <w:rFonts w:ascii="Arial" w:cs="Arial" w:eastAsia="Arial" w:hAnsi="Arial"/>
          <w:sz w:val="18"/>
          <w:szCs w:val="18"/>
          <w:color w:val="auto"/>
        </w:rPr>
      </w:pPr>
    </w:p>
    <w:p>
      <w:pPr>
        <w:ind w:left="-460" w:firstLine="644"/>
        <w:spacing w:after="0" w:line="277" w:lineRule="auto"/>
        <w:tabs>
          <w:tab w:leader="none" w:pos="68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forms of the Securities of the Series in bearer or fully registered form (and, if in fully registered form, whether the Securities will be issuable as Global Securities);</w:t>
      </w:r>
    </w:p>
    <w:p>
      <w:pPr>
        <w:spacing w:after="0" w:line="170" w:lineRule="exact"/>
        <w:rPr>
          <w:rFonts w:ascii="Arial" w:cs="Arial" w:eastAsia="Arial" w:hAnsi="Arial"/>
          <w:sz w:val="18"/>
          <w:szCs w:val="18"/>
          <w:color w:val="auto"/>
        </w:rPr>
      </w:pPr>
    </w:p>
    <w:p>
      <w:pPr>
        <w:ind w:left="-460" w:firstLine="644"/>
        <w:spacing w:after="0" w:line="277" w:lineRule="auto"/>
        <w:tabs>
          <w:tab w:leader="none" w:pos="6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Securities of the Series that shall be payable upon declaration of acceleration of the maturity thereof pursuant to Section 6.02;</w:t>
      </w:r>
    </w:p>
    <w:p>
      <w:pPr>
        <w:spacing w:after="0" w:line="170" w:lineRule="exact"/>
        <w:rPr>
          <w:rFonts w:ascii="Arial" w:cs="Arial" w:eastAsia="Arial" w:hAnsi="Arial"/>
          <w:sz w:val="18"/>
          <w:szCs w:val="18"/>
          <w:color w:val="auto"/>
        </w:rPr>
      </w:pPr>
    </w:p>
    <w:p>
      <w:pPr>
        <w:ind w:left="-460" w:firstLine="644"/>
        <w:spacing w:after="0" w:line="308" w:lineRule="auto"/>
        <w:tabs>
          <w:tab w:leader="none" w:pos="69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currency of denomination of the Securities of the Series, which may be U.S. dollars or any other currency, and if such currency of denomination is a composite currency, the agency or organization, if any, responsible for overseeing such composite currency;</w:t>
      </w:r>
    </w:p>
    <w:p>
      <w:pPr>
        <w:spacing w:after="0" w:line="146" w:lineRule="exact"/>
        <w:rPr>
          <w:rFonts w:ascii="Arial" w:cs="Arial" w:eastAsia="Arial" w:hAnsi="Arial"/>
          <w:sz w:val="17"/>
          <w:szCs w:val="17"/>
          <w:color w:val="auto"/>
        </w:rPr>
      </w:pPr>
    </w:p>
    <w:p>
      <w:pPr>
        <w:ind w:left="-460" w:firstLine="644"/>
        <w:spacing w:after="0" w:line="277" w:lineRule="auto"/>
        <w:tabs>
          <w:tab w:leader="none" w:pos="6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the principal of and interest, if any, on the Securities of the Series will be made;</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6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3" w:lineRule="exact"/>
        <w:rPr>
          <w:rFonts w:ascii="Arial" w:cs="Arial" w:eastAsia="Arial" w:hAnsi="Arial"/>
          <w:sz w:val="18"/>
          <w:szCs w:val="18"/>
          <w:color w:val="auto"/>
        </w:rPr>
      </w:pPr>
    </w:p>
    <w:p>
      <w:pPr>
        <w:jc w:val="both"/>
        <w:ind w:left="-460" w:firstLine="644"/>
        <w:spacing w:after="0" w:line="263" w:lineRule="auto"/>
        <w:tabs>
          <w:tab w:leader="none" w:pos="6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3" w:lineRule="exact"/>
        <w:rPr>
          <w:rFonts w:ascii="Arial" w:cs="Arial" w:eastAsia="Arial" w:hAnsi="Arial"/>
          <w:sz w:val="18"/>
          <w:szCs w:val="18"/>
          <w:color w:val="auto"/>
        </w:rPr>
      </w:pPr>
    </w:p>
    <w:p>
      <w:pPr>
        <w:ind w:left="-460" w:firstLine="644"/>
        <w:spacing w:after="0" w:line="277" w:lineRule="auto"/>
        <w:tabs>
          <w:tab w:leader="none" w:pos="6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provisions, if any, relating to any security or guarantee provided for the Securities of the Series, and any subordination in right of payment, if any, of the Securities of the Series;</w:t>
      </w:r>
    </w:p>
    <w:p>
      <w:pPr>
        <w:spacing w:after="0" w:line="170" w:lineRule="exact"/>
        <w:rPr>
          <w:rFonts w:ascii="Arial" w:cs="Arial" w:eastAsia="Arial" w:hAnsi="Arial"/>
          <w:sz w:val="18"/>
          <w:szCs w:val="18"/>
          <w:color w:val="auto"/>
        </w:rPr>
      </w:pPr>
    </w:p>
    <w:p>
      <w:pPr>
        <w:ind w:left="680" w:hanging="496"/>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addition to or change in or deletion of any of the covenants set forth in Articles 4 or 5 which applies to Securities of the Series;</w:t>
      </w:r>
    </w:p>
    <w:p>
      <w:pPr>
        <w:spacing w:after="0" w:line="248" w:lineRule="exact"/>
        <w:rPr>
          <w:rFonts w:ascii="Arial" w:cs="Arial" w:eastAsia="Arial" w:hAnsi="Arial"/>
          <w:sz w:val="16"/>
          <w:szCs w:val="16"/>
          <w:color w:val="auto"/>
        </w:rPr>
      </w:pPr>
    </w:p>
    <w:p>
      <w:pPr>
        <w:ind w:left="-460" w:firstLine="644"/>
        <w:spacing w:after="0" w:line="308" w:lineRule="auto"/>
        <w:tabs>
          <w:tab w:leader="none" w:pos="69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87" w:right="339" w:bottom="1440" w:gutter="0" w:footer="0" w:header="0"/>
        </w:sectPr>
      </w:pPr>
    </w:p>
    <w:bookmarkStart w:id="25" w:name="page26"/>
    <w:bookmarkEnd w:id="25"/>
    <w:p>
      <w:pPr>
        <w:ind w:left="1800" w:hanging="496"/>
        <w:spacing w:after="0"/>
        <w:tabs>
          <w:tab w:leader="none" w:pos="1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addition to or change in or deletion of any of the provisions and terms set forth in Articles 7 and 9 which applies to Securities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the Series;</w:t>
      </w:r>
    </w:p>
    <w:p>
      <w:pPr>
        <w:spacing w:after="0" w:line="210" w:lineRule="exact"/>
        <w:rPr>
          <w:rFonts w:ascii="Arial" w:cs="Arial" w:eastAsia="Arial" w:hAnsi="Arial"/>
          <w:sz w:val="16"/>
          <w:szCs w:val="16"/>
          <w:color w:val="auto"/>
        </w:rPr>
      </w:pPr>
    </w:p>
    <w:p>
      <w:pPr>
        <w:ind w:left="660" w:firstLine="644"/>
        <w:spacing w:after="0" w:line="277" w:lineRule="auto"/>
        <w:tabs>
          <w:tab w:leader="none" w:pos="18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terms of the Securities of the Series (which may modify or delete any provision of this Indenture insofar as it applies to such Series and/or add additional provisions);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8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depositories, interest rate calculation agents, exchange rate calculation agents or other agents with respect to Securities of such Series if other than those appointed herein.</w:t>
      </w:r>
    </w:p>
    <w:p>
      <w:pPr>
        <w:spacing w:after="0" w:line="170"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All Securities of any one Series need not be issued at the same time and may be issued from time to time, consistent with the terms of this Indenture, if so provided by or pursuant to the Supplemental Indenture pursuant to which such Series is created, and the authorized principal amount of any Series may be increased to provide for issuances of additional Securities of such Series, unless otherwise provided in such Supplemental Indenture.</w:t>
      </w:r>
    </w:p>
    <w:p>
      <w:pPr>
        <w:spacing w:after="0" w:line="149" w:lineRule="exact"/>
        <w:rPr>
          <w:sz w:val="20"/>
          <w:szCs w:val="20"/>
          <w:color w:val="auto"/>
        </w:rPr>
      </w:pPr>
    </w:p>
    <w:p>
      <w:pPr>
        <w:jc w:val="both"/>
        <w:ind w:firstLine="656"/>
        <w:spacing w:after="0" w:line="279" w:lineRule="auto"/>
        <w:tabs>
          <w:tab w:leader="none" w:pos="1105"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The Notes</w:t>
      </w:r>
      <w:r>
        <w:rPr>
          <w:rFonts w:ascii="Arial" w:cs="Arial" w:eastAsia="Arial" w:hAnsi="Arial"/>
          <w:sz w:val="17"/>
          <w:szCs w:val="17"/>
          <w:color w:val="auto"/>
        </w:rPr>
        <w:t>. The Notes shall be issued in registered global form without interest coupons. The Notes and the Trustee’s certificate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authentication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Notes may have notations, legends or endorsements required by law, stock exchange rule or usage. The Company shall furnish any such notations, legends or endorsements to the Trustee in writing. Each Note shall be dated the date of its authentication. The Notes shall be in minimum denominations of $2,000 and integral multiples of $1,000.</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terms and provisions contained in the Notes shall constitute, and are hereby expressly made, a part of the Indenture and the Company, the Guarantors and the Trustee, by their execution and delivery of this Indenture, expressly agree to such terms and provisions and to be bound thereby. However, to the extent any provision of the Note conflicts with the express provisions of this Indenture, the provisions of this Indenture shall govern and be controlling.</w:t>
      </w:r>
    </w:p>
    <w:p>
      <w:pPr>
        <w:spacing w:after="0" w:line="187" w:lineRule="exact"/>
        <w:rPr>
          <w:sz w:val="20"/>
          <w:szCs w:val="20"/>
          <w:color w:val="auto"/>
        </w:rPr>
      </w:pPr>
    </w:p>
    <w:p>
      <w:pPr>
        <w:jc w:val="both"/>
        <w:ind w:firstLine="656"/>
        <w:spacing w:after="0" w:line="270" w:lineRule="auto"/>
        <w:tabs>
          <w:tab w:leader="none" w:pos="1095"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Global Securities</w:t>
      </w:r>
      <w:r>
        <w:rPr>
          <w:rFonts w:ascii="Arial" w:cs="Arial" w:eastAsia="Arial" w:hAnsi="Arial"/>
          <w:sz w:val="17"/>
          <w:szCs w:val="17"/>
          <w:color w:val="auto"/>
        </w:rPr>
        <w:t>. Notes issued in global form shall be substantially in the form of</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i w:val="1"/>
          <w:iCs w:val="1"/>
          <w:color w:val="auto"/>
        </w:rPr>
        <w:t xml:space="preserve"> </w:t>
      </w:r>
      <w:r>
        <w:rPr>
          <w:rFonts w:ascii="Arial" w:cs="Arial" w:eastAsia="Arial" w:hAnsi="Arial"/>
          <w:sz w:val="17"/>
          <w:szCs w:val="17"/>
          <w:color w:val="auto"/>
        </w:rPr>
        <w:t>attached hereto (including the Global Legend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thereon and the “Schedule of Exchanges of Interests in the Global Note” attached thereto). Notes issued in definitive form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(but without the Global Legend thereon and without the “Schedule of Exchanges of Interests in the Global Note” attached thereto). All other Global Securities will be in the form specified in the Supplemental Indenture pursuant to which such Series of Securities is created. Each Global Security shall represent such of the outstanding Securities as will be specified therein and each shall provide that it represents the aggregate principal amount of outstanding Securities from time to time as reflected in the records of the Trustee and that the aggregate principal amount of outstanding Securities represented thereby may from time to time be reduced or increased, as appropriate, to reflect exchanges and redemptions. The Trustee’s records shall be noted to reflect the amount of any increase or decrease in the aggregate principal amount of outstanding Securities represented thereby, in accordance with instructions given by the Holder thereof as required by Section 2.06 hereof.</w:t>
      </w:r>
    </w:p>
    <w:p>
      <w:pPr>
        <w:spacing w:after="0" w:line="180" w:lineRule="exact"/>
        <w:rPr>
          <w:rFonts w:ascii="Arial" w:cs="Arial" w:eastAsia="Arial" w:hAnsi="Arial"/>
          <w:sz w:val="17"/>
          <w:szCs w:val="17"/>
          <w:color w:val="auto"/>
        </w:rPr>
      </w:pPr>
    </w:p>
    <w:p>
      <w:pPr>
        <w:jc w:val="both"/>
        <w:ind w:firstLine="656"/>
        <w:spacing w:after="0" w:line="311" w:lineRule="auto"/>
        <w:tabs>
          <w:tab w:leader="none" w:pos="1105"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Euroclear and Clearstream Procedures Applicable. </w:t>
      </w:r>
      <w:r>
        <w:rPr>
          <w:rFonts w:ascii="Arial" w:cs="Arial" w:eastAsia="Arial" w:hAnsi="Arial"/>
          <w:sz w:val="16"/>
          <w:szCs w:val="16"/>
          <w:color w:val="auto"/>
        </w:rPr>
        <w:t>The provisions of the “Operating Procedures of the Euroclear System” and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Governing Use of Euroclear” and the “General Terms and Conditions of Clearstream Banking” and “Customer Handbook” of Clearstream will be applicable to transfers of beneficial interests in the Regulation S Global Security that are held by Participants through Euroclear or Clearstream.</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6" w:name="page27"/>
    <w:bookmarkEnd w:id="26"/>
    <w:p>
      <w:pPr>
        <w:spacing w:after="0"/>
        <w:tabs>
          <w:tab w:leader="none" w:pos="112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i w:val="1"/>
          <w:iCs w:val="1"/>
          <w:color w:val="auto"/>
        </w:rPr>
        <w:t>Execution and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Officer must sign the Securities for the Company by manual or facsimile 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an Officer whose signature is on a Security no longer holds that office at the time a Security is authenticated, the Security will nevertheless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valid.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Security will not be valid until authenticated by the manual signature of the Trustee. The signature will be conclusive evidence that the Security has been authenticated under this Indenture.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Trustee shall, upon receipt of a written order of the Company signed by at least one Officer (an </w:t>
      </w:r>
      <w:r>
        <w:rPr>
          <w:rFonts w:ascii="Arial" w:cs="Arial" w:eastAsia="Arial" w:hAnsi="Arial"/>
          <w:sz w:val="18"/>
          <w:szCs w:val="18"/>
          <w:i w:val="1"/>
          <w:iCs w:val="1"/>
          <w:color w:val="auto"/>
        </w:rPr>
        <w:t>“Authentication Order”</w:t>
      </w:r>
      <w:r>
        <w:rPr>
          <w:rFonts w:ascii="Arial" w:cs="Arial" w:eastAsia="Arial" w:hAnsi="Arial"/>
          <w:sz w:val="18"/>
          <w:szCs w:val="18"/>
          <w:color w:val="auto"/>
        </w:rPr>
        <w:t>), authenticate Securities for original issue under this Indenture. The aggregate principal amount of Securities outstanding at any time may not exceed the aggregate principal amount of Securities authorized for issuance by the Company pursuant to one or more Authentication Orders, except as provided in Section 2.08 hereof.</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Holders, the Company or an Affiliate of the Company.</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i w:val="1"/>
          <w:iCs w:val="1"/>
          <w:color w:val="auto"/>
        </w:rPr>
        <w:t>Registrar and Paying Agent.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will maintain an office or agency with respect to each Series of Securities issued pursuant to this Indenture, where such securities may be presented for registration of transfer or for exchange (</w:t>
      </w:r>
      <w:r>
        <w:rPr>
          <w:rFonts w:ascii="Arial" w:cs="Arial" w:eastAsia="Arial" w:hAnsi="Arial"/>
          <w:sz w:val="16"/>
          <w:szCs w:val="16"/>
          <w:i w:val="1"/>
          <w:iCs w:val="1"/>
          <w:color w:val="auto"/>
        </w:rPr>
        <w:t>“Registrar”</w:t>
      </w:r>
      <w:r>
        <w:rPr>
          <w:rFonts w:ascii="Arial" w:cs="Arial" w:eastAsia="Arial" w:hAnsi="Arial"/>
          <w:sz w:val="16"/>
          <w:szCs w:val="16"/>
          <w:color w:val="auto"/>
        </w:rPr>
        <w:t>) and an office or agency where such Securities may be presented for payment (</w:t>
      </w:r>
      <w:r>
        <w:rPr>
          <w:rFonts w:ascii="Arial" w:cs="Arial" w:eastAsia="Arial" w:hAnsi="Arial"/>
          <w:sz w:val="16"/>
          <w:szCs w:val="16"/>
          <w:i w:val="1"/>
          <w:iCs w:val="1"/>
          <w:color w:val="auto"/>
        </w:rPr>
        <w:t>“Paying Agent”</w:t>
      </w:r>
      <w:r>
        <w:rPr>
          <w:rFonts w:ascii="Arial" w:cs="Arial" w:eastAsia="Arial" w:hAnsi="Arial"/>
          <w:sz w:val="16"/>
          <w:szCs w:val="16"/>
          <w:color w:val="auto"/>
        </w:rPr>
        <w:t>). The Registrar will keep a register of all such Securities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will notify the Trustee in writing of the name and address of any Agent not a party to this Indenture. If the Company fails to appoint or maintain another entity as Registrar or Paying Agent, the Trustee shall act as such. The Company or any of its Subsidiaries or parent entities may act as Paying Agent or Registrar.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initially appoints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to act as Depositary with respect to the Global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initially appoints the Trustee to act as the Registrar and Paying Agent and to act as Custodian with respect to the Global Notes.</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i w:val="1"/>
          <w:iCs w:val="1"/>
          <w:color w:val="auto"/>
        </w:rPr>
        <w:t>Paying Agent to Hold Money in Trust.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will require each Paying Agent other than the Trustee to agree in writing that the Paying Agent will hold in trust for the benefit of Holders of the Securities for which it is acting as Paying Agent or the Trustee all money held by the Paying Agent for the payment of principal of, premium, if any, and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7" w:name="page28"/>
    <w:bookmarkEnd w:id="27"/>
    <w:p>
      <w:pPr>
        <w:spacing w:after="0"/>
        <w:tabs>
          <w:tab w:leader="none" w:pos="112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i w:val="1"/>
          <w:iCs w:val="1"/>
          <w:color w:val="auto"/>
        </w:rPr>
        <w:t>Holder Lists.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all Holders. If the Trustee is not the Registrar, the Company shall furnish to the Trustee at least seven Business Days before each interest payment date and at such other times as the Trustee may request in writing, a list in such form and as of such date as the Trustee may reasonably require of the names and addresses of the Holders.</w:t>
      </w:r>
    </w:p>
    <w:p>
      <w:pPr>
        <w:spacing w:after="0" w:line="1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i w:val="1"/>
          <w:iCs w:val="1"/>
          <w:color w:val="auto"/>
        </w:rPr>
        <w:t>Transfer and Exchange.</w:t>
      </w:r>
    </w:p>
    <w:p>
      <w:pPr>
        <w:spacing w:after="0" w:line="225" w:lineRule="exact"/>
        <w:rPr>
          <w:sz w:val="20"/>
          <w:szCs w:val="20"/>
          <w:color w:val="auto"/>
        </w:rPr>
      </w:pPr>
    </w:p>
    <w:p>
      <w:pPr>
        <w:jc w:val="both"/>
        <w:ind w:right="20" w:firstLine="656"/>
        <w:spacing w:after="0" w:line="311" w:lineRule="auto"/>
        <w:tabs>
          <w:tab w:leader="none" w:pos="1095"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Transfer and Exchange of Global Securities</w:t>
      </w:r>
      <w:r>
        <w:rPr>
          <w:rFonts w:ascii="Arial" w:cs="Arial" w:eastAsia="Arial" w:hAnsi="Arial"/>
          <w:sz w:val="16"/>
          <w:szCs w:val="16"/>
          <w:color w:val="auto"/>
        </w:rPr>
        <w:t>. A Global Security may not be transferred except as a whole by the Depositary to a nominee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Depositary, by a nominee of the Depositary to the Depositary or to another nominee of the Depositary, or by the Depositary or any such nominee to a successor Depositary or a nominee of such successor Depositary. All Global Securities shall be exchanged by the Company for Definitive Securities if:</w:t>
      </w:r>
    </w:p>
    <w:p>
      <w:pPr>
        <w:spacing w:after="0" w:line="148" w:lineRule="exact"/>
        <w:rPr>
          <w:rFonts w:ascii="Arial" w:cs="Arial" w:eastAsia="Arial" w:hAnsi="Arial"/>
          <w:sz w:val="16"/>
          <w:szCs w:val="16"/>
          <w:color w:val="auto"/>
        </w:rPr>
      </w:pPr>
    </w:p>
    <w:p>
      <w:pPr>
        <w:jc w:val="both"/>
        <w:ind w:left="660" w:firstLine="644"/>
        <w:spacing w:after="0" w:line="263" w:lineRule="auto"/>
        <w:tabs>
          <w:tab w:leader="none" w:pos="1765"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183" w:lineRule="exact"/>
        <w:rPr>
          <w:rFonts w:ascii="Arial" w:cs="Arial" w:eastAsia="Arial" w:hAnsi="Arial"/>
          <w:sz w:val="18"/>
          <w:szCs w:val="18"/>
          <w:color w:val="auto"/>
        </w:rPr>
      </w:pPr>
    </w:p>
    <w:p>
      <w:pPr>
        <w:ind w:left="660" w:firstLine="644"/>
        <w:spacing w:after="0" w:line="277" w:lineRule="auto"/>
        <w:tabs>
          <w:tab w:leader="none" w:pos="1765"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in its sole discretion determines that the Global Securities (in whole but not in part) should be exchanged for Definitive Securities and delivers a written notice to such effect to the Trustee; or</w:t>
      </w:r>
    </w:p>
    <w:p>
      <w:pPr>
        <w:spacing w:after="0" w:line="170" w:lineRule="exact"/>
        <w:rPr>
          <w:rFonts w:ascii="Arial" w:cs="Arial" w:eastAsia="Arial" w:hAnsi="Arial"/>
          <w:sz w:val="18"/>
          <w:szCs w:val="18"/>
          <w:color w:val="auto"/>
        </w:rPr>
      </w:pPr>
    </w:p>
    <w:p>
      <w:pPr>
        <w:ind w:left="1760" w:hanging="456"/>
        <w:spacing w:after="0"/>
        <w:tabs>
          <w:tab w:leader="none" w:pos="17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the occurrence of any of the preceding events in (1), (2) or (3) above, Definitive Securities shall be issued in such names and in any approved denominations as the Depositary shall instruct the Trustee. Global Securities also may be exchanged or replaced, in whole or in part, as provided in Sections 2.08 and 2.11 hereof. Every Security authenticated and delivered in exchange for, or in lieu of, a Global Security or any portion thereof, pursuant to this Section 2.06 or Section 2.08 or 2.11 hereof, shall be authenticated and delivered in the form of, and shall be, a Global Security. A Global Security may not be exchanged for another Security other than as provided in this Section 2.06(a); however, beneficial interests in a Global Security may be transferred and exchanged as provided in Section 2.06(b), (c) or (f) hereof.</w:t>
      </w:r>
    </w:p>
    <w:p>
      <w:pPr>
        <w:spacing w:after="0" w:line="192" w:lineRule="exact"/>
        <w:rPr>
          <w:sz w:val="20"/>
          <w:szCs w:val="20"/>
          <w:color w:val="auto"/>
        </w:rPr>
      </w:pPr>
    </w:p>
    <w:p>
      <w:pPr>
        <w:jc w:val="both"/>
        <w:ind w:firstLine="656"/>
        <w:spacing w:after="0" w:line="259" w:lineRule="auto"/>
        <w:tabs>
          <w:tab w:leader="none" w:pos="110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Securities</w:t>
      </w:r>
      <w:r>
        <w:rPr>
          <w:rFonts w:ascii="Arial" w:cs="Arial" w:eastAsia="Arial" w:hAnsi="Arial"/>
          <w:sz w:val="18"/>
          <w:szCs w:val="18"/>
          <w:color w:val="auto"/>
        </w:rPr>
        <w:t>. The transfer and exchange of beneficial interests in the Global</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shall be effected through the Depositary, in accordance with the provisions of this Indenture and the Applicable Procedures. Transfers of beneficial interests in the Global Securities also will require compliance with either subparagraph (1) or (2) below, as applicable, as well as one or more of the other following subparagraphs, as applicable: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8" w:name="page29"/>
    <w:bookmarkEnd w:id="28"/>
    <w:p>
      <w:pPr>
        <w:jc w:val="both"/>
        <w:ind w:left="-460" w:firstLine="644"/>
        <w:spacing w:after="0" w:line="289" w:lineRule="auto"/>
        <w:tabs>
          <w:tab w:leader="none" w:pos="668"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Transfer of Beneficial Interests in the Same Global Security</w:t>
      </w:r>
      <w:r>
        <w:rPr>
          <w:rFonts w:ascii="Arial" w:cs="Arial" w:eastAsia="Arial" w:hAnsi="Arial"/>
          <w:sz w:val="16"/>
          <w:szCs w:val="16"/>
          <w:color w:val="auto"/>
        </w:rPr>
        <w:t>. Beneficial interests in any Restricted Global Security may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transferred to Persons who take delivery thereof in the form of a beneficial interest in the same Restricted Global Security in accordance with the transfer restrictions set forth in the Private Placement Legend;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the expiration of the Restricted Period, transfers of beneficial interests in the applicable Regulation S Global Security may not be made to a U.S. Person or for the account or benefit of a U.S. Person (other than an Initial Purchaser). Beneficial interests in any Unrestricted Global Security may be transferred to Persons who take delivery thereof in the form of a beneficial interest in an Unrestricted Global Security. Any person who transfers a beneficial interest in the Regulation S Global Security prior to the expiration of the applicable Restricted Period with respect to any Series of Additional Securities shall be deemed to have certified that such transfer was not made to a U.S. Person or for the account or benefit of a U.S. Person (other than an Initial Purchaser). No written orders or instructions shall be required to be delivered to the Registrar to effect the transfers described in this Section 2.06(b)(1).</w:t>
      </w:r>
    </w:p>
    <w:p>
      <w:pPr>
        <w:spacing w:after="0" w:line="166" w:lineRule="exact"/>
        <w:rPr>
          <w:rFonts w:ascii="Arial" w:cs="Arial" w:eastAsia="Arial" w:hAnsi="Arial"/>
          <w:sz w:val="16"/>
          <w:szCs w:val="16"/>
          <w:color w:val="auto"/>
        </w:rPr>
      </w:pPr>
    </w:p>
    <w:p>
      <w:pPr>
        <w:ind w:left="-460" w:firstLine="644"/>
        <w:spacing w:after="0" w:line="342" w:lineRule="auto"/>
        <w:tabs>
          <w:tab w:leader="none" w:pos="668"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All Other Transfers and Exchanges of Beneficial Interests in Global Securities. </w:t>
      </w:r>
      <w:r>
        <w:rPr>
          <w:rFonts w:ascii="Arial" w:cs="Arial" w:eastAsia="Arial" w:hAnsi="Arial"/>
          <w:sz w:val="16"/>
          <w:szCs w:val="16"/>
          <w:color w:val="auto"/>
        </w:rPr>
        <w:t>In connection with all transfers and exchanges of</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interests that are not subject to Section 2.06(b)(1) above, the transferor of such beneficial interest must deliver to the Registrar either:</w:t>
      </w:r>
    </w:p>
    <w:p>
      <w:pPr>
        <w:spacing w:after="0" w:line="123" w:lineRule="exact"/>
        <w:rPr>
          <w:rFonts w:ascii="Arial" w:cs="Arial" w:eastAsia="Arial" w:hAnsi="Arial"/>
          <w:sz w:val="16"/>
          <w:szCs w:val="16"/>
          <w:color w:val="auto"/>
        </w:rPr>
      </w:pPr>
    </w:p>
    <w:p>
      <w:pPr>
        <w:ind w:left="1360" w:hanging="528"/>
        <w:spacing w:after="0"/>
        <w:tabs>
          <w:tab w:leader="none" w:pos="13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both:</w:t>
      </w:r>
    </w:p>
    <w:p>
      <w:pPr>
        <w:spacing w:after="0" w:line="225" w:lineRule="exact"/>
        <w:rPr>
          <w:rFonts w:ascii="Arial" w:cs="Arial" w:eastAsia="Arial" w:hAnsi="Arial"/>
          <w:sz w:val="18"/>
          <w:szCs w:val="18"/>
          <w:color w:val="auto"/>
        </w:rPr>
      </w:pPr>
    </w:p>
    <w:p>
      <w:pPr>
        <w:jc w:val="both"/>
        <w:ind w:left="840" w:firstLine="640"/>
        <w:spacing w:after="0" w:line="263" w:lineRule="auto"/>
        <w:tabs>
          <w:tab w:leader="none" w:pos="1905" w:val="left"/>
        </w:tabs>
        <w:numPr>
          <w:ilvl w:val="2"/>
          <w:numId w:val="32"/>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Security in an amount equal to the beneficial interest to be transferred or exchanged; and</w:t>
      </w:r>
    </w:p>
    <w:p>
      <w:pPr>
        <w:spacing w:after="0" w:line="183" w:lineRule="exact"/>
        <w:rPr>
          <w:rFonts w:ascii="Arial" w:cs="Arial" w:eastAsia="Arial" w:hAnsi="Arial"/>
          <w:sz w:val="18"/>
          <w:szCs w:val="18"/>
          <w:color w:val="auto"/>
        </w:rPr>
      </w:pPr>
    </w:p>
    <w:p>
      <w:pPr>
        <w:ind w:left="840" w:firstLine="640"/>
        <w:spacing w:after="0" w:line="277" w:lineRule="auto"/>
        <w:tabs>
          <w:tab w:leader="none" w:pos="1955" w:val="left"/>
        </w:tabs>
        <w:numPr>
          <w:ilvl w:val="2"/>
          <w:numId w:val="32"/>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 or</w:t>
      </w:r>
    </w:p>
    <w:p>
      <w:pPr>
        <w:spacing w:after="0" w:line="170" w:lineRule="exact"/>
        <w:rPr>
          <w:rFonts w:ascii="Arial" w:cs="Arial" w:eastAsia="Arial" w:hAnsi="Arial"/>
          <w:sz w:val="18"/>
          <w:szCs w:val="18"/>
          <w:color w:val="auto"/>
        </w:rPr>
      </w:pPr>
    </w:p>
    <w:p>
      <w:pPr>
        <w:ind w:left="1340" w:hanging="508"/>
        <w:spacing w:after="0"/>
        <w:tabs>
          <w:tab w:leader="none" w:pos="13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both:</w:t>
      </w:r>
    </w:p>
    <w:p>
      <w:pPr>
        <w:spacing w:after="0" w:line="225" w:lineRule="exact"/>
        <w:rPr>
          <w:rFonts w:ascii="Arial" w:cs="Arial" w:eastAsia="Arial" w:hAnsi="Arial"/>
          <w:sz w:val="18"/>
          <w:szCs w:val="18"/>
          <w:color w:val="auto"/>
        </w:rPr>
      </w:pPr>
    </w:p>
    <w:p>
      <w:pPr>
        <w:jc w:val="both"/>
        <w:ind w:left="840" w:firstLine="640"/>
        <w:spacing w:after="0" w:line="263" w:lineRule="auto"/>
        <w:tabs>
          <w:tab w:leader="none" w:pos="1905" w:val="left"/>
        </w:tabs>
        <w:numPr>
          <w:ilvl w:val="2"/>
          <w:numId w:val="32"/>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cause to be issued a Definitive Security in an amount equal to the beneficial interest to be transferred or exchanged; and</w:t>
      </w:r>
    </w:p>
    <w:p>
      <w:pPr>
        <w:spacing w:after="0" w:line="183" w:lineRule="exact"/>
        <w:rPr>
          <w:rFonts w:ascii="Arial" w:cs="Arial" w:eastAsia="Arial" w:hAnsi="Arial"/>
          <w:sz w:val="18"/>
          <w:szCs w:val="18"/>
          <w:color w:val="auto"/>
        </w:rPr>
      </w:pPr>
    </w:p>
    <w:p>
      <w:pPr>
        <w:ind w:left="840" w:right="20" w:firstLine="640"/>
        <w:spacing w:after="0" w:line="277" w:lineRule="auto"/>
        <w:tabs>
          <w:tab w:leader="none" w:pos="1955" w:val="left"/>
        </w:tabs>
        <w:numPr>
          <w:ilvl w:val="2"/>
          <w:numId w:val="32"/>
        </w:numPr>
        <w:rPr>
          <w:rFonts w:ascii="Arial" w:cs="Arial" w:eastAsia="Arial" w:hAnsi="Arial"/>
          <w:sz w:val="18"/>
          <w:szCs w:val="18"/>
          <w:color w:val="auto"/>
        </w:rPr>
      </w:pPr>
      <w:r>
        <w:rPr>
          <w:rFonts w:ascii="Arial" w:cs="Arial" w:eastAsia="Arial" w:hAnsi="Arial"/>
          <w:sz w:val="18"/>
          <w:szCs w:val="18"/>
          <w:color w:val="auto"/>
        </w:rPr>
        <w:t>instructions given by the Depositary to the Registrar containing information regarding the Person in whose name such Definitive Security shall be registered to effect the transfer or exchange referred to in (1) above.</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668"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Transfer of Beneficial Interests to Another Restricted Global Security. </w:t>
      </w:r>
      <w:r>
        <w:rPr>
          <w:rFonts w:ascii="Arial" w:cs="Arial" w:eastAsia="Arial" w:hAnsi="Arial"/>
          <w:sz w:val="18"/>
          <w:szCs w:val="18"/>
          <w:color w:val="auto"/>
        </w:rPr>
        <w:t>A beneficial interest in any Restricted Global Security may</w:t>
      </w:r>
      <w:r>
        <w:rPr>
          <w:rFonts w:ascii="Arial" w:cs="Arial" w:eastAsia="Arial" w:hAnsi="Arial"/>
          <w:sz w:val="18"/>
          <w:szCs w:val="18"/>
          <w:i w:val="1"/>
          <w:iCs w:val="1"/>
          <w:color w:val="auto"/>
        </w:rPr>
        <w:t xml:space="preserve"> </w:t>
      </w:r>
      <w:r>
        <w:rPr>
          <w:rFonts w:ascii="Arial" w:cs="Arial" w:eastAsia="Arial" w:hAnsi="Arial"/>
          <w:sz w:val="18"/>
          <w:szCs w:val="18"/>
          <w:color w:val="auto"/>
        </w:rPr>
        <w:t>be transferred to a Person who takes delivery thereof in the form of a beneficial interest in another Restricted Global Security if the transfer complies with the requirements of Section 2.06(b)(2) above and the Registrar receives the following:</w:t>
      </w:r>
    </w:p>
    <w:p>
      <w:pPr>
        <w:spacing w:after="0" w:line="183" w:lineRule="exact"/>
        <w:rPr>
          <w:rFonts w:ascii="Arial" w:cs="Arial" w:eastAsia="Arial" w:hAnsi="Arial"/>
          <w:sz w:val="18"/>
          <w:szCs w:val="18"/>
          <w:color w:val="auto"/>
        </w:rPr>
      </w:pPr>
    </w:p>
    <w:p>
      <w:pPr>
        <w:ind w:left="180" w:firstLine="652"/>
        <w:spacing w:after="0" w:line="277" w:lineRule="auto"/>
        <w:tabs>
          <w:tab w:leader="none" w:pos="1325"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if the transferee will take delivery in the form of a beneficial interest in the 144A Global Security,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180" w:firstLine="652"/>
        <w:spacing w:after="0" w:line="277" w:lineRule="auto"/>
        <w:tabs>
          <w:tab w:leader="none" w:pos="1315"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if the transferee will take delivery in the form of a beneficial interest in the Regulation S Global Security,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 and</w:t>
      </w:r>
    </w:p>
    <w:p>
      <w:pPr>
        <w:spacing w:after="0" w:line="25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87" w:right="339" w:bottom="1440" w:gutter="0" w:footer="0" w:header="0"/>
        </w:sectPr>
      </w:pPr>
    </w:p>
    <w:bookmarkStart w:id="29" w:name="page30"/>
    <w:bookmarkEnd w:id="29"/>
    <w:p>
      <w:pPr>
        <w:jc w:val="both"/>
        <w:ind w:left="1300" w:firstLine="652"/>
        <w:spacing w:after="0" w:line="291" w:lineRule="auto"/>
        <w:tabs>
          <w:tab w:leader="none" w:pos="2458"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if the transferee will take delivery in the form of a beneficial interest in the IAI Global Security, then the transferor must deliver a certificate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certificates and Opinion of Counsel required by item</w:t>
      </w:r>
    </w:p>
    <w:p>
      <w:pPr>
        <w:ind w:left="1560" w:hanging="256"/>
        <w:spacing w:after="0"/>
        <w:tabs>
          <w:tab w:leader="none" w:pos="1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thereof, if applicable.</w:t>
      </w:r>
    </w:p>
    <w:p>
      <w:pPr>
        <w:spacing w:after="0" w:line="210" w:lineRule="exact"/>
        <w:rPr>
          <w:rFonts w:ascii="Arial" w:cs="Arial" w:eastAsia="Arial" w:hAnsi="Arial"/>
          <w:sz w:val="18"/>
          <w:szCs w:val="18"/>
          <w:color w:val="auto"/>
        </w:rPr>
      </w:pPr>
    </w:p>
    <w:p>
      <w:pPr>
        <w:jc w:val="both"/>
        <w:ind w:left="660" w:firstLine="644"/>
        <w:spacing w:after="0" w:line="301" w:lineRule="auto"/>
        <w:tabs>
          <w:tab w:leader="none" w:pos="1788"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Transfer and Exchange of Beneficial Interests in a Restricted Global Security for Beneficial Interests in an Unrestricted Global Security. </w:t>
      </w:r>
      <w:r>
        <w:rPr>
          <w:rFonts w:ascii="Arial" w:cs="Arial" w:eastAsia="Arial" w:hAnsi="Arial"/>
          <w:sz w:val="16"/>
          <w:szCs w:val="16"/>
          <w:color w:val="auto"/>
        </w:rPr>
        <w:t>A beneficial interest in any Restricted Global Security may be exchanged by any holder thereof for a beneficial interest in an Unrestricted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Global Security or transferred to a Person who takes delivery thereof in the form of a beneficial interest in an Unrestricted Global Security if the exchange or transfer complies with the requirements of Section 2.06(b)(2) above and the Registrar receives the following:</w:t>
      </w:r>
    </w:p>
    <w:p>
      <w:pPr>
        <w:spacing w:after="0" w:line="157" w:lineRule="exact"/>
        <w:rPr>
          <w:rFonts w:ascii="Arial" w:cs="Arial" w:eastAsia="Arial" w:hAnsi="Arial"/>
          <w:sz w:val="16"/>
          <w:szCs w:val="16"/>
          <w:color w:val="auto"/>
        </w:rPr>
      </w:pPr>
    </w:p>
    <w:p>
      <w:pPr>
        <w:jc w:val="both"/>
        <w:ind w:left="1300" w:firstLine="652"/>
        <w:spacing w:after="0" w:line="263" w:lineRule="auto"/>
        <w:tabs>
          <w:tab w:leader="none" w:pos="24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exchange such beneficial interest for a beneficial interest in an Unrestricted Global Security, a certificate 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(1)(a) thereof; or</w:t>
      </w:r>
    </w:p>
    <w:p>
      <w:pPr>
        <w:spacing w:after="0" w:line="183" w:lineRule="exact"/>
        <w:rPr>
          <w:rFonts w:ascii="Arial" w:cs="Arial" w:eastAsia="Arial" w:hAnsi="Arial"/>
          <w:sz w:val="18"/>
          <w:szCs w:val="18"/>
          <w:color w:val="auto"/>
        </w:rPr>
      </w:pPr>
    </w:p>
    <w:p>
      <w:pPr>
        <w:jc w:val="both"/>
        <w:ind w:left="1300" w:firstLine="652"/>
        <w:spacing w:after="0" w:line="263" w:lineRule="auto"/>
        <w:tabs>
          <w:tab w:leader="none" w:pos="2458"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Security proposes to transfer such beneficial interest to a Person who shall take delivery thereof in the form of a beneficial interest in an Unrestricted Global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84"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and, in each such case of this Section 2.06(b)(4),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If any such transfer is effected pursuant to this Section 2.06(b)(4) at a time when an Unrestricted Global Security has not yet been issued, the Company shall issue and, upon receipt of an Authentication Order in accordance with Section 2.02 hereof, the Trustee shall authenticate one or more Unrestricted Global Securities in an aggregate principal amount equal to the aggregate principal amount of beneficial interests transferred pursuant to this Section 2.06(b)(4).</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Beneficial interests in an Unrestricted Global Security cannot be exchanged for, or transferred to Persons who take delivery thereof in the form of, a beneficial interest in a Restricted Global Security.</w:t>
      </w:r>
    </w:p>
    <w:p>
      <w:pPr>
        <w:spacing w:after="0" w:line="170" w:lineRule="exact"/>
        <w:rPr>
          <w:sz w:val="20"/>
          <w:szCs w:val="20"/>
          <w:color w:val="auto"/>
        </w:rPr>
      </w:pPr>
    </w:p>
    <w:p>
      <w:pPr>
        <w:jc w:val="both"/>
        <w:ind w:firstLine="656"/>
        <w:spacing w:after="0" w:line="263" w:lineRule="auto"/>
        <w:tabs>
          <w:tab w:leader="none" w:pos="1118"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Transfer or Exchange of Beneficial Interests in Global Securities for Definitive Securities. </w:t>
      </w:r>
      <w:r>
        <w:rPr>
          <w:rFonts w:ascii="Arial" w:cs="Arial" w:eastAsia="Arial" w:hAnsi="Arial"/>
          <w:sz w:val="18"/>
          <w:szCs w:val="18"/>
          <w:color w:val="auto"/>
        </w:rPr>
        <w:t>Transfers or exchanges of beneficial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Global Securities for Definitive Securities shall in each case be subject to the satisfaction of any applicable conditions set forth in Section 2.06(b)(2) hereof, and to the requirements set forth below in this Section 2.06(c).</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788"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Beneficial Interests in Restricted Global Securities to Restricted Definitive Securities. </w:t>
      </w:r>
      <w:r>
        <w:rPr>
          <w:rFonts w:ascii="Arial" w:cs="Arial" w:eastAsia="Arial" w:hAnsi="Arial"/>
          <w:sz w:val="18"/>
          <w:szCs w:val="18"/>
          <w:color w:val="auto"/>
        </w:rPr>
        <w:t>If any holder of a beneficial interest in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Global Security proposes to exchange such beneficial interest for a Restricted Definitive Security or to transfer such beneficial interest to a Person who takes delivery thereof in the form of a Restricted Definitive Security, then, upon receipt by the Registrar of the following documentation:</w:t>
      </w:r>
    </w:p>
    <w:p>
      <w:pPr>
        <w:spacing w:after="0" w:line="186" w:lineRule="exact"/>
        <w:rPr>
          <w:rFonts w:ascii="Arial" w:cs="Arial" w:eastAsia="Arial" w:hAnsi="Arial"/>
          <w:sz w:val="18"/>
          <w:szCs w:val="18"/>
          <w:color w:val="auto"/>
        </w:rPr>
      </w:pPr>
    </w:p>
    <w:p>
      <w:pPr>
        <w:jc w:val="both"/>
        <w:ind w:left="1300" w:firstLine="652"/>
        <w:spacing w:after="0" w:line="291" w:lineRule="auto"/>
        <w:tabs>
          <w:tab w:leader="none" w:pos="2468" w:val="left"/>
        </w:tabs>
        <w:numPr>
          <w:ilvl w:val="2"/>
          <w:numId w:val="35"/>
        </w:numPr>
        <w:rPr>
          <w:rFonts w:ascii="Arial" w:cs="Arial" w:eastAsia="Arial" w:hAnsi="Arial"/>
          <w:sz w:val="16"/>
          <w:szCs w:val="16"/>
          <w:color w:val="auto"/>
        </w:rPr>
      </w:pPr>
      <w:r>
        <w:rPr>
          <w:rFonts w:ascii="Arial" w:cs="Arial" w:eastAsia="Arial" w:hAnsi="Arial"/>
          <w:sz w:val="16"/>
          <w:szCs w:val="16"/>
          <w:color w:val="auto"/>
        </w:rPr>
        <w:t xml:space="preserve">if the holder of such beneficial interest in a Restricted Global Security proposes to exchange such beneficial interest for a Restricted Definitive Security, a certificate from such holder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 (2)</w:t>
      </w:r>
    </w:p>
    <w:p>
      <w:pPr>
        <w:ind w:left="1300"/>
        <w:spacing w:after="0"/>
        <w:rPr>
          <w:rFonts w:ascii="Arial" w:cs="Arial" w:eastAsia="Arial" w:hAnsi="Arial"/>
          <w:sz w:val="16"/>
          <w:szCs w:val="16"/>
          <w:color w:val="auto"/>
        </w:rPr>
      </w:pPr>
      <w:r>
        <w:rPr>
          <w:rFonts w:ascii="Arial" w:cs="Arial" w:eastAsia="Arial" w:hAnsi="Arial"/>
          <w:sz w:val="18"/>
          <w:szCs w:val="18"/>
          <w:color w:val="auto"/>
        </w:rPr>
        <w:t>(a) thereof;</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30" w:name="page31"/>
    <w:bookmarkEnd w:id="30"/>
    <w:p>
      <w:pPr>
        <w:ind w:left="640" w:firstLine="652"/>
        <w:spacing w:after="0" w:line="277" w:lineRule="auto"/>
        <w:tabs>
          <w:tab w:leader="none" w:pos="1775"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a QIB in accordance with Rule 144A,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640" w:firstLine="652"/>
        <w:spacing w:after="0" w:line="308" w:lineRule="auto"/>
        <w:tabs>
          <w:tab w:leader="none" w:pos="1775"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if such beneficial interest is being transferred to a Non-U.S. Person in an offshore transaction in accordance with Rule 903 or Rule 904, a certificate to the effect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including the certifications in item (2) thereof;</w:t>
      </w:r>
    </w:p>
    <w:p>
      <w:pPr>
        <w:spacing w:after="0" w:line="146" w:lineRule="exact"/>
        <w:rPr>
          <w:rFonts w:ascii="Arial" w:cs="Arial" w:eastAsia="Arial" w:hAnsi="Arial"/>
          <w:sz w:val="17"/>
          <w:szCs w:val="17"/>
          <w:color w:val="auto"/>
        </w:rPr>
      </w:pPr>
    </w:p>
    <w:p>
      <w:pPr>
        <w:jc w:val="both"/>
        <w:ind w:left="640" w:firstLine="652"/>
        <w:spacing w:after="0" w:line="291" w:lineRule="auto"/>
        <w:tabs>
          <w:tab w:leader="none" w:pos="1785"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if such beneficial interest is being transferred pursuant to an exemption from the registration requirements of the Securities Act in accordance with Rule 144,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w:t>
      </w:r>
    </w:p>
    <w:p>
      <w:pPr>
        <w:ind w:left="880" w:hanging="236"/>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thereof;</w:t>
      </w:r>
    </w:p>
    <w:p>
      <w:pPr>
        <w:spacing w:after="0" w:line="210" w:lineRule="exact"/>
        <w:rPr>
          <w:rFonts w:ascii="Arial" w:cs="Arial" w:eastAsia="Arial" w:hAnsi="Arial"/>
          <w:sz w:val="18"/>
          <w:szCs w:val="18"/>
          <w:color w:val="auto"/>
        </w:rPr>
      </w:pPr>
    </w:p>
    <w:p>
      <w:pPr>
        <w:jc w:val="both"/>
        <w:ind w:left="640" w:firstLine="652"/>
        <w:spacing w:after="0" w:line="311" w:lineRule="auto"/>
        <w:tabs>
          <w:tab w:leader="none" w:pos="1765"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certificates and Opinion of Counsel required by item (3) thereof, if applicable;</w:t>
      </w:r>
    </w:p>
    <w:p>
      <w:pPr>
        <w:spacing w:after="0" w:line="148" w:lineRule="exact"/>
        <w:rPr>
          <w:rFonts w:ascii="Arial" w:cs="Arial" w:eastAsia="Arial" w:hAnsi="Arial"/>
          <w:sz w:val="16"/>
          <w:szCs w:val="16"/>
          <w:color w:val="auto"/>
        </w:rPr>
      </w:pPr>
    </w:p>
    <w:p>
      <w:pPr>
        <w:ind w:left="640" w:firstLine="652"/>
        <w:spacing w:after="0" w:line="277" w:lineRule="auto"/>
        <w:tabs>
          <w:tab w:leader="none" w:pos="1755"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the Company or any of its Subsidiaries,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 or</w:t>
      </w:r>
    </w:p>
    <w:p>
      <w:pPr>
        <w:spacing w:after="0" w:line="170" w:lineRule="exact"/>
        <w:rPr>
          <w:rFonts w:ascii="Arial" w:cs="Arial" w:eastAsia="Arial" w:hAnsi="Arial"/>
          <w:sz w:val="18"/>
          <w:szCs w:val="18"/>
          <w:color w:val="auto"/>
        </w:rPr>
      </w:pPr>
    </w:p>
    <w:p>
      <w:pPr>
        <w:ind w:left="640" w:firstLine="652"/>
        <w:spacing w:after="0" w:line="277" w:lineRule="auto"/>
        <w:tabs>
          <w:tab w:leader="none" w:pos="1785"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pursuant to an effective registration statement under the Securities Act,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(3)(c) thereof,</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Trustee shall cause the aggregate principal amount of the applicable Global Security to be reduced accordingly pursuant to Section 2.06(h) hereof, and the Company shall execute and the Trustee shall authenticate and deliver to the Person designated in the instructions a Definitive Security in the appropriate principal amount. Any Definitive Security issued in exchange for a beneficial interest in a Restricted Global Security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Securities to the Persons in whose names such Securities are so registered. Any Definitive Security issued in exchange for a beneficial interest in a Restricted Global Security pursuant to this Section 2.06(c)(1) shall bear the Private Placement Legend and shall be subject to all restrictions on transfer contained therein.</w:t>
      </w:r>
    </w:p>
    <w:p>
      <w:pPr>
        <w:spacing w:after="0" w:line="178" w:lineRule="exact"/>
        <w:rPr>
          <w:sz w:val="20"/>
          <w:szCs w:val="20"/>
          <w:color w:val="auto"/>
        </w:rPr>
      </w:pPr>
    </w:p>
    <w:p>
      <w:pPr>
        <w:jc w:val="both"/>
        <w:ind w:firstLine="644"/>
        <w:spacing w:after="0" w:line="286" w:lineRule="auto"/>
        <w:tabs>
          <w:tab w:leader="none" w:pos="1128"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Beneficial Interests in Restricted Global Securities to Unrestricted Definitive Securities. </w:t>
      </w:r>
      <w:r>
        <w:rPr>
          <w:rFonts w:ascii="Arial" w:cs="Arial" w:eastAsia="Arial" w:hAnsi="Arial"/>
          <w:sz w:val="17"/>
          <w:szCs w:val="17"/>
          <w:color w:val="auto"/>
        </w:rPr>
        <w:t>A holder of a beneficial interest in a</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Global Security may exchange such beneficial interest for an Unrestricted Definitive Security or may transfer such beneficial interest to a Person who takes delivery thereof in the form of an Unrestricted Definitive Security only if the Registrar receives the following:</w:t>
      </w:r>
    </w:p>
    <w:p>
      <w:pPr>
        <w:spacing w:after="0" w:line="165" w:lineRule="exact"/>
        <w:rPr>
          <w:rFonts w:ascii="Arial" w:cs="Arial" w:eastAsia="Arial" w:hAnsi="Arial"/>
          <w:sz w:val="17"/>
          <w:szCs w:val="17"/>
          <w:color w:val="auto"/>
        </w:rPr>
      </w:pPr>
    </w:p>
    <w:p>
      <w:pPr>
        <w:jc w:val="both"/>
        <w:ind w:left="640" w:right="20" w:firstLine="652"/>
        <w:spacing w:after="0" w:line="291" w:lineRule="auto"/>
        <w:tabs>
          <w:tab w:leader="none" w:pos="1808"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if the holder of such beneficial interest in a Restricted Global Security proposes to exchange such beneficial interest for an Unrestricted Definitive Security, a certificate from such holder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 (1)</w:t>
      </w:r>
    </w:p>
    <w:p>
      <w:pPr>
        <w:ind w:left="640"/>
        <w:spacing w:after="0"/>
        <w:rPr>
          <w:rFonts w:ascii="Arial" w:cs="Arial" w:eastAsia="Arial" w:hAnsi="Arial"/>
          <w:sz w:val="16"/>
          <w:szCs w:val="16"/>
          <w:color w:val="auto"/>
        </w:rPr>
      </w:pPr>
      <w:r>
        <w:rPr>
          <w:rFonts w:ascii="Arial" w:cs="Arial" w:eastAsia="Arial" w:hAnsi="Arial"/>
          <w:sz w:val="18"/>
          <w:szCs w:val="18"/>
          <w:color w:val="auto"/>
        </w:rPr>
        <w:t>(b) thereof; or</w:t>
      </w:r>
    </w:p>
    <w:p>
      <w:pPr>
        <w:spacing w:after="0" w:line="29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23495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787" w:right="339" w:bottom="1440" w:gutter="0" w:footer="0" w:header="0"/>
        </w:sectPr>
      </w:pPr>
    </w:p>
    <w:bookmarkStart w:id="31" w:name="page32"/>
    <w:bookmarkEnd w:id="31"/>
    <w:p>
      <w:pPr>
        <w:jc w:val="both"/>
        <w:ind w:left="644" w:firstLine="652"/>
        <w:spacing w:after="0" w:line="263" w:lineRule="auto"/>
        <w:tabs>
          <w:tab w:leader="none" w:pos="1802"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Security proposes to transfer such beneficial interest to a Person who shall take delivery thereof in the form of an Unrestricted Definitive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84" w:lineRule="exact"/>
        <w:rPr>
          <w:sz w:val="20"/>
          <w:szCs w:val="20"/>
          <w:color w:val="auto"/>
        </w:rPr>
      </w:pPr>
    </w:p>
    <w:p>
      <w:pPr>
        <w:jc w:val="both"/>
        <w:ind w:left="644"/>
        <w:spacing w:after="0" w:line="259" w:lineRule="auto"/>
        <w:rPr>
          <w:sz w:val="20"/>
          <w:szCs w:val="20"/>
          <w:color w:val="auto"/>
        </w:rPr>
      </w:pPr>
      <w:r>
        <w:rPr>
          <w:rFonts w:ascii="Arial" w:cs="Arial" w:eastAsia="Arial" w:hAnsi="Arial"/>
          <w:sz w:val="18"/>
          <w:szCs w:val="18"/>
          <w:color w:val="auto"/>
        </w:rPr>
        <w:t>and, in each such case of this Section 2.06(c)(2),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jc w:val="both"/>
        <w:ind w:left="4" w:firstLine="644"/>
        <w:spacing w:after="0" w:line="287" w:lineRule="auto"/>
        <w:tabs>
          <w:tab w:leader="none" w:pos="1132" w:val="left"/>
        </w:tabs>
        <w:numPr>
          <w:ilvl w:val="1"/>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Beneficial Interests in Unrestricted Global Securities to Unrestricted Definitive Securities. </w:t>
      </w:r>
      <w:r>
        <w:rPr>
          <w:rFonts w:ascii="Arial" w:cs="Arial" w:eastAsia="Arial" w:hAnsi="Arial"/>
          <w:sz w:val="16"/>
          <w:szCs w:val="16"/>
          <w:color w:val="auto"/>
        </w:rPr>
        <w:t>If any holder of a beneficial interest in</w:t>
      </w:r>
      <w:r>
        <w:rPr>
          <w:rFonts w:ascii="Arial" w:cs="Arial" w:eastAsia="Arial" w:hAnsi="Arial"/>
          <w:sz w:val="16"/>
          <w:szCs w:val="16"/>
          <w:i w:val="1"/>
          <w:iCs w:val="1"/>
          <w:color w:val="auto"/>
        </w:rPr>
        <w:t xml:space="preserve"> </w:t>
      </w:r>
      <w:r>
        <w:rPr>
          <w:rFonts w:ascii="Arial" w:cs="Arial" w:eastAsia="Arial" w:hAnsi="Arial"/>
          <w:sz w:val="16"/>
          <w:szCs w:val="16"/>
          <w:color w:val="auto"/>
        </w:rPr>
        <w:t>an Unrestricted Global Security proposes to exchange such beneficial interest for a Definitive Security or to transfer such beneficial interest to a Person who takes delivery thereof in the form of a Definitive Security, then, upon satisfaction of the conditions set forth in Section 2.06(b)</w:t>
      </w:r>
    </w:p>
    <w:p>
      <w:pPr>
        <w:spacing w:after="0" w:line="2" w:lineRule="exact"/>
        <w:rPr>
          <w:rFonts w:ascii="Arial" w:cs="Arial" w:eastAsia="Arial" w:hAnsi="Arial"/>
          <w:sz w:val="16"/>
          <w:szCs w:val="16"/>
          <w:color w:val="auto"/>
        </w:rPr>
      </w:pPr>
    </w:p>
    <w:p>
      <w:pPr>
        <w:jc w:val="both"/>
        <w:ind w:left="4" w:hanging="4"/>
        <w:spacing w:after="0" w:line="288" w:lineRule="auto"/>
        <w:tabs>
          <w:tab w:leader="none" w:pos="291" w:val="left"/>
        </w:tabs>
        <w:numPr>
          <w:ilvl w:val="0"/>
          <w:numId w:val="41"/>
        </w:numPr>
        <w:rPr>
          <w:rFonts w:ascii="Arial" w:cs="Arial" w:eastAsia="Arial" w:hAnsi="Arial"/>
          <w:sz w:val="16"/>
          <w:szCs w:val="16"/>
          <w:color w:val="auto"/>
        </w:rPr>
      </w:pPr>
      <w:r>
        <w:rPr>
          <w:rFonts w:ascii="Arial" w:cs="Arial" w:eastAsia="Arial" w:hAnsi="Arial"/>
          <w:sz w:val="16"/>
          <w:szCs w:val="16"/>
          <w:color w:val="auto"/>
        </w:rPr>
        <w:t>hereof, the Trustee shall cause the aggregate principal amount of the applicable Unrestricted Global Security to be reduced accordingly pursuant to Section 2.06(h) hereof, and the Company shall execute and the Trustee shall authenticate and deliver to the Person designated in the instructions a Definitive Security in the appropriate principal amount. Any Definitive Security issued in exchange for a beneficial interest pursuant to this Section 2.06(c)(3)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Securities to the Persons in whose names such Securities are so registered. Any Definitive Security issued in exchange for a beneficial interest pursuant to this Section 2.06(c)(3) will not bear the Private Placement Legend.</w:t>
      </w:r>
    </w:p>
    <w:p>
      <w:pPr>
        <w:spacing w:after="0" w:line="168" w:lineRule="exact"/>
        <w:rPr>
          <w:sz w:val="20"/>
          <w:szCs w:val="20"/>
          <w:color w:val="auto"/>
        </w:rPr>
      </w:pPr>
    </w:p>
    <w:p>
      <w:pPr>
        <w:ind w:left="464" w:hanging="464"/>
        <w:spacing w:after="0"/>
        <w:tabs>
          <w:tab w:leader="none" w:pos="464"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Securities for Beneficial Interests.</w:t>
      </w:r>
    </w:p>
    <w:p>
      <w:pPr>
        <w:spacing w:after="0" w:line="225" w:lineRule="exact"/>
        <w:rPr>
          <w:rFonts w:ascii="Arial" w:cs="Arial" w:eastAsia="Arial" w:hAnsi="Arial"/>
          <w:sz w:val="18"/>
          <w:szCs w:val="18"/>
          <w:color w:val="auto"/>
        </w:rPr>
      </w:pPr>
    </w:p>
    <w:p>
      <w:pPr>
        <w:jc w:val="both"/>
        <w:ind w:left="4" w:firstLine="644"/>
        <w:spacing w:after="0" w:line="259" w:lineRule="auto"/>
        <w:tabs>
          <w:tab w:leader="none" w:pos="1132"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Securities to Beneficial Interests in Restricted Global Securities. </w:t>
      </w:r>
      <w:r>
        <w:rPr>
          <w:rFonts w:ascii="Arial" w:cs="Arial" w:eastAsia="Arial" w:hAnsi="Arial"/>
          <w:sz w:val="18"/>
          <w:szCs w:val="18"/>
          <w:color w:val="auto"/>
        </w:rPr>
        <w:t>If any Holder of a Restricted Definitive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proposes to exchange such Security for a beneficial interest in a Restricted Global Security or to transfer such Restricted Definitive Securities to a Person who takes delivery thereof in the form of a beneficial interest in a Restricted Global Security, then, upon receipt by the Registrar of the following documentation:</w:t>
      </w:r>
    </w:p>
    <w:p>
      <w:pPr>
        <w:spacing w:after="0" w:line="186" w:lineRule="exact"/>
        <w:rPr>
          <w:rFonts w:ascii="Arial" w:cs="Arial" w:eastAsia="Arial" w:hAnsi="Arial"/>
          <w:sz w:val="18"/>
          <w:szCs w:val="18"/>
          <w:color w:val="auto"/>
        </w:rPr>
      </w:pPr>
    </w:p>
    <w:p>
      <w:pPr>
        <w:jc w:val="both"/>
        <w:ind w:left="644" w:firstLine="652"/>
        <w:spacing w:after="0" w:line="274" w:lineRule="auto"/>
        <w:tabs>
          <w:tab w:leader="none" w:pos="1812" w:val="left"/>
        </w:tabs>
        <w:numPr>
          <w:ilvl w:val="2"/>
          <w:numId w:val="42"/>
        </w:numPr>
        <w:rPr>
          <w:rFonts w:ascii="Arial" w:cs="Arial" w:eastAsia="Arial" w:hAnsi="Arial"/>
          <w:sz w:val="17"/>
          <w:szCs w:val="17"/>
          <w:color w:val="auto"/>
        </w:rPr>
      </w:pPr>
      <w:r>
        <w:rPr>
          <w:rFonts w:ascii="Arial" w:cs="Arial" w:eastAsia="Arial" w:hAnsi="Arial"/>
          <w:sz w:val="17"/>
          <w:szCs w:val="17"/>
          <w:color w:val="auto"/>
        </w:rPr>
        <w:t xml:space="preserve">if the Holder of such Restricted Definitive Security proposes to exchange such Security for a beneficial interest in a Restricted Global Security, a certificate from such Holder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including the certifications in item (2)</w:t>
      </w:r>
    </w:p>
    <w:p>
      <w:pPr>
        <w:ind w:left="644"/>
        <w:spacing w:after="0"/>
        <w:rPr>
          <w:rFonts w:ascii="Arial" w:cs="Arial" w:eastAsia="Arial" w:hAnsi="Arial"/>
          <w:sz w:val="17"/>
          <w:szCs w:val="17"/>
          <w:color w:val="auto"/>
        </w:rPr>
      </w:pPr>
      <w:r>
        <w:rPr>
          <w:rFonts w:ascii="Arial" w:cs="Arial" w:eastAsia="Arial" w:hAnsi="Arial"/>
          <w:sz w:val="18"/>
          <w:szCs w:val="18"/>
          <w:color w:val="auto"/>
        </w:rPr>
        <w:t>(b) thereof;</w:t>
      </w:r>
    </w:p>
    <w:p>
      <w:pPr>
        <w:spacing w:after="0" w:line="210" w:lineRule="exact"/>
        <w:rPr>
          <w:rFonts w:ascii="Arial" w:cs="Arial" w:eastAsia="Arial" w:hAnsi="Arial"/>
          <w:sz w:val="17"/>
          <w:szCs w:val="17"/>
          <w:color w:val="auto"/>
        </w:rPr>
      </w:pPr>
    </w:p>
    <w:p>
      <w:pPr>
        <w:ind w:left="644" w:firstLine="652"/>
        <w:spacing w:after="0" w:line="277" w:lineRule="auto"/>
        <w:tabs>
          <w:tab w:leader="none" w:pos="1802" w:val="left"/>
        </w:tabs>
        <w:numPr>
          <w:ilvl w:val="2"/>
          <w:numId w:val="42"/>
        </w:numPr>
        <w:rPr>
          <w:rFonts w:ascii="Arial" w:cs="Arial" w:eastAsia="Arial" w:hAnsi="Arial"/>
          <w:sz w:val="18"/>
          <w:szCs w:val="18"/>
          <w:color w:val="auto"/>
        </w:rPr>
      </w:pPr>
      <w:r>
        <w:rPr>
          <w:rFonts w:ascii="Arial" w:cs="Arial" w:eastAsia="Arial" w:hAnsi="Arial"/>
          <w:sz w:val="18"/>
          <w:szCs w:val="18"/>
          <w:color w:val="auto"/>
        </w:rPr>
        <w:t xml:space="preserve">if such Restricted Definitive Security is being transferred to a QIB in accordance with Rule 144A,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644" w:right="20" w:firstLine="652"/>
        <w:spacing w:after="0" w:line="342" w:lineRule="auto"/>
        <w:tabs>
          <w:tab w:leader="none" w:pos="1802" w:val="left"/>
        </w:tabs>
        <w:numPr>
          <w:ilvl w:val="2"/>
          <w:numId w:val="42"/>
        </w:numPr>
        <w:rPr>
          <w:rFonts w:ascii="Arial" w:cs="Arial" w:eastAsia="Arial" w:hAnsi="Arial"/>
          <w:sz w:val="16"/>
          <w:szCs w:val="16"/>
          <w:color w:val="auto"/>
        </w:rPr>
      </w:pPr>
      <w:r>
        <w:rPr>
          <w:rFonts w:ascii="Arial" w:cs="Arial" w:eastAsia="Arial" w:hAnsi="Arial"/>
          <w:sz w:val="16"/>
          <w:szCs w:val="16"/>
          <w:color w:val="auto"/>
        </w:rPr>
        <w:t xml:space="preserve">if such Restricted Definitive Security is being transferred to a Non-U.S. Person in an offshore transaction in accordance with Rule 903 or Rule 904,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(2) thereof;</w:t>
      </w:r>
    </w:p>
    <w:p>
      <w:pPr>
        <w:spacing w:after="0" w:line="20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23495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787" w:right="339" w:bottom="1440" w:gutter="0" w:footer="0" w:header="0"/>
        </w:sectPr>
      </w:pPr>
    </w:p>
    <w:bookmarkStart w:id="32" w:name="page33"/>
    <w:bookmarkEnd w:id="32"/>
    <w:p>
      <w:pPr>
        <w:jc w:val="both"/>
        <w:ind w:left="644" w:firstLine="652"/>
        <w:spacing w:after="0" w:line="291" w:lineRule="auto"/>
        <w:tabs>
          <w:tab w:leader="none" w:pos="1812"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if such Restricted Definitive Security is being transferred pursuant to an exemption from the registration requirements of the Securities Act in accordance with Rule 144,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w:t>
      </w:r>
    </w:p>
    <w:p>
      <w:pPr>
        <w:ind w:left="644"/>
        <w:spacing w:after="0"/>
        <w:rPr>
          <w:rFonts w:ascii="Arial" w:cs="Arial" w:eastAsia="Arial" w:hAnsi="Arial"/>
          <w:sz w:val="16"/>
          <w:szCs w:val="16"/>
          <w:color w:val="auto"/>
        </w:rPr>
      </w:pPr>
      <w:r>
        <w:rPr>
          <w:rFonts w:ascii="Arial" w:cs="Arial" w:eastAsia="Arial" w:hAnsi="Arial"/>
          <w:sz w:val="18"/>
          <w:szCs w:val="18"/>
          <w:color w:val="auto"/>
        </w:rPr>
        <w:t>(3)(a) thereof;</w:t>
      </w:r>
    </w:p>
    <w:p>
      <w:pPr>
        <w:spacing w:after="0" w:line="210" w:lineRule="exact"/>
        <w:rPr>
          <w:rFonts w:ascii="Arial" w:cs="Arial" w:eastAsia="Arial" w:hAnsi="Arial"/>
          <w:sz w:val="16"/>
          <w:szCs w:val="16"/>
          <w:color w:val="auto"/>
        </w:rPr>
      </w:pPr>
    </w:p>
    <w:p>
      <w:pPr>
        <w:jc w:val="both"/>
        <w:ind w:left="644" w:firstLine="652"/>
        <w:spacing w:after="0" w:line="271" w:lineRule="auto"/>
        <w:tabs>
          <w:tab w:leader="none" w:pos="1814"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if such Restricted Definitive Security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including the certifications, certificates and Opinion of Counsel required by item</w:t>
      </w:r>
    </w:p>
    <w:p>
      <w:pPr>
        <w:ind w:left="904" w:hanging="256"/>
        <w:spacing w:after="0"/>
        <w:tabs>
          <w:tab w:leader="none" w:pos="9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thereof, if applicable;</w:t>
      </w:r>
    </w:p>
    <w:p>
      <w:pPr>
        <w:spacing w:after="0" w:line="210" w:lineRule="exact"/>
        <w:rPr>
          <w:rFonts w:ascii="Arial" w:cs="Arial" w:eastAsia="Arial" w:hAnsi="Arial"/>
          <w:sz w:val="18"/>
          <w:szCs w:val="18"/>
          <w:color w:val="auto"/>
        </w:rPr>
      </w:pPr>
    </w:p>
    <w:p>
      <w:pPr>
        <w:ind w:left="644" w:firstLine="652"/>
        <w:spacing w:after="0" w:line="277" w:lineRule="auto"/>
        <w:tabs>
          <w:tab w:leader="none" w:pos="1804"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if such Restricted Definitive Security is being transferred to the Company or any of its Subsidiaries,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 or</w:t>
      </w:r>
    </w:p>
    <w:p>
      <w:pPr>
        <w:spacing w:after="0" w:line="170" w:lineRule="exact"/>
        <w:rPr>
          <w:rFonts w:ascii="Arial" w:cs="Arial" w:eastAsia="Arial" w:hAnsi="Arial"/>
          <w:sz w:val="18"/>
          <w:szCs w:val="18"/>
          <w:color w:val="auto"/>
        </w:rPr>
      </w:pPr>
    </w:p>
    <w:p>
      <w:pPr>
        <w:ind w:left="644" w:right="20" w:firstLine="652"/>
        <w:spacing w:after="0" w:line="277" w:lineRule="auto"/>
        <w:tabs>
          <w:tab w:leader="none" w:pos="1834"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if such Restricted Definitive Security is being transferred pursuant to an effective registration statement under the Securities Act,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(3)(c) thereof,</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Trustee will cancel the Restricted Definitive Security, increase or cause to be increased the aggregate principal amount of, in the case of clause</w:t>
      </w:r>
    </w:p>
    <w:p>
      <w:pPr>
        <w:spacing w:after="0" w:line="46" w:lineRule="exact"/>
        <w:rPr>
          <w:sz w:val="20"/>
          <w:szCs w:val="20"/>
          <w:color w:val="auto"/>
        </w:rPr>
      </w:pPr>
    </w:p>
    <w:p>
      <w:pPr>
        <w:ind w:left="4" w:hanging="4"/>
        <w:spacing w:after="0" w:line="260" w:lineRule="auto"/>
        <w:tabs>
          <w:tab w:leader="none" w:pos="30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above, the appropriate Restricted Global Security, in the case of clause (B) above, the 144A Global Security, in the case of clause (C) above, the Regulation S Global Security, and in all other cases, the IAI Global Security.</w:t>
      </w:r>
    </w:p>
    <w:p>
      <w:pPr>
        <w:spacing w:after="0" w:line="185" w:lineRule="exact"/>
        <w:rPr>
          <w:rFonts w:ascii="Arial" w:cs="Arial" w:eastAsia="Arial" w:hAnsi="Arial"/>
          <w:sz w:val="18"/>
          <w:szCs w:val="18"/>
          <w:color w:val="auto"/>
        </w:rPr>
      </w:pPr>
    </w:p>
    <w:p>
      <w:pPr>
        <w:jc w:val="both"/>
        <w:ind w:left="4" w:firstLine="644"/>
        <w:spacing w:after="0" w:line="259" w:lineRule="auto"/>
        <w:tabs>
          <w:tab w:leader="none" w:pos="1132"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Securities to Beneficial Interests in Unrestricted Global Securities. </w:t>
      </w:r>
      <w:r>
        <w:rPr>
          <w:rFonts w:ascii="Arial" w:cs="Arial" w:eastAsia="Arial" w:hAnsi="Arial"/>
          <w:sz w:val="18"/>
          <w:szCs w:val="18"/>
          <w:color w:val="auto"/>
        </w:rPr>
        <w:t>A Holder of a Restricted Definitive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may exchange such Security for a beneficial interest in an Unrestricted Global Security or transfer such Restricted Definitive Security to a Person who takes delivery thereof in the form of a beneficial interest in an Unrestricted Global Security only if the Registrar receives the following:</w:t>
      </w:r>
    </w:p>
    <w:p>
      <w:pPr>
        <w:spacing w:after="0" w:line="186" w:lineRule="exact"/>
        <w:rPr>
          <w:rFonts w:ascii="Arial" w:cs="Arial" w:eastAsia="Arial" w:hAnsi="Arial"/>
          <w:sz w:val="18"/>
          <w:szCs w:val="18"/>
          <w:color w:val="auto"/>
        </w:rPr>
      </w:pPr>
    </w:p>
    <w:p>
      <w:pPr>
        <w:jc w:val="both"/>
        <w:ind w:left="644" w:firstLine="652"/>
        <w:spacing w:after="0" w:line="274" w:lineRule="auto"/>
        <w:tabs>
          <w:tab w:leader="none" w:pos="1834" w:val="left"/>
        </w:tabs>
        <w:numPr>
          <w:ilvl w:val="2"/>
          <w:numId w:val="45"/>
        </w:numPr>
        <w:rPr>
          <w:rFonts w:ascii="Arial" w:cs="Arial" w:eastAsia="Arial" w:hAnsi="Arial"/>
          <w:sz w:val="17"/>
          <w:szCs w:val="17"/>
          <w:color w:val="auto"/>
        </w:rPr>
      </w:pPr>
      <w:r>
        <w:rPr>
          <w:rFonts w:ascii="Arial" w:cs="Arial" w:eastAsia="Arial" w:hAnsi="Arial"/>
          <w:sz w:val="17"/>
          <w:szCs w:val="17"/>
          <w:color w:val="auto"/>
        </w:rPr>
        <w:t xml:space="preserve">if the Holder of such Restricted Definitive Securities proposes to exchange such Notes for a beneficial interest in the Unrestricted Global Security, a certificate from such Holder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including the certifications in item (1)</w:t>
      </w:r>
    </w:p>
    <w:p>
      <w:pPr>
        <w:ind w:left="644"/>
        <w:spacing w:after="0"/>
        <w:rPr>
          <w:rFonts w:ascii="Arial" w:cs="Arial" w:eastAsia="Arial" w:hAnsi="Arial"/>
          <w:sz w:val="17"/>
          <w:szCs w:val="17"/>
          <w:color w:val="auto"/>
        </w:rPr>
      </w:pPr>
      <w:r>
        <w:rPr>
          <w:rFonts w:ascii="Arial" w:cs="Arial" w:eastAsia="Arial" w:hAnsi="Arial"/>
          <w:sz w:val="18"/>
          <w:szCs w:val="18"/>
          <w:color w:val="auto"/>
        </w:rPr>
        <w:t>(c) thereof; or</w:t>
      </w:r>
    </w:p>
    <w:p>
      <w:pPr>
        <w:spacing w:after="0" w:line="210" w:lineRule="exact"/>
        <w:rPr>
          <w:rFonts w:ascii="Arial" w:cs="Arial" w:eastAsia="Arial" w:hAnsi="Arial"/>
          <w:sz w:val="17"/>
          <w:szCs w:val="17"/>
          <w:color w:val="auto"/>
        </w:rPr>
      </w:pPr>
    </w:p>
    <w:p>
      <w:pPr>
        <w:jc w:val="both"/>
        <w:ind w:left="644" w:firstLine="652"/>
        <w:spacing w:after="0" w:line="263" w:lineRule="auto"/>
        <w:tabs>
          <w:tab w:leader="none" w:pos="1824" w:val="left"/>
        </w:tabs>
        <w:numPr>
          <w:ilvl w:val="2"/>
          <w:numId w:val="45"/>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Securities proposes to transfer such Securities to a Person who shall take delivery thereof in the form of a beneficial interest in the Unrestricted Global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84" w:lineRule="exact"/>
        <w:rPr>
          <w:sz w:val="20"/>
          <w:szCs w:val="20"/>
          <w:color w:val="auto"/>
        </w:rPr>
      </w:pPr>
    </w:p>
    <w:p>
      <w:pPr>
        <w:jc w:val="both"/>
        <w:ind w:left="644"/>
        <w:spacing w:after="0" w:line="259" w:lineRule="auto"/>
        <w:rPr>
          <w:sz w:val="20"/>
          <w:szCs w:val="20"/>
          <w:color w:val="auto"/>
        </w:rPr>
      </w:pPr>
      <w:r>
        <w:rPr>
          <w:rFonts w:ascii="Arial" w:cs="Arial" w:eastAsia="Arial" w:hAnsi="Arial"/>
          <w:sz w:val="18"/>
          <w:szCs w:val="18"/>
          <w:color w:val="auto"/>
        </w:rPr>
        <w:t>and, in each such case set forth in this Section 2.06(d)(2),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left="4" w:right="20" w:firstLine="648"/>
        <w:spacing w:after="0" w:line="277" w:lineRule="auto"/>
        <w:rPr>
          <w:sz w:val="20"/>
          <w:szCs w:val="20"/>
          <w:color w:val="auto"/>
        </w:rPr>
      </w:pPr>
      <w:r>
        <w:rPr>
          <w:rFonts w:ascii="Arial" w:cs="Arial" w:eastAsia="Arial" w:hAnsi="Arial"/>
          <w:sz w:val="18"/>
          <w:szCs w:val="18"/>
          <w:color w:val="auto"/>
        </w:rPr>
        <w:t>Upon satisfaction of the conditions of this Section 2.06(d)(2), the Trustee will cancel the Restricted Definitive Securities and increase or cause to be increased the aggregate principal amount of the Unrestricted Global Security.</w:t>
      </w:r>
    </w:p>
    <w:p>
      <w:pPr>
        <w:spacing w:after="0" w:line="25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23495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787" w:right="339" w:bottom="1440" w:gutter="0" w:footer="0" w:header="0"/>
        </w:sectPr>
      </w:pPr>
    </w:p>
    <w:bookmarkStart w:id="33" w:name="page34"/>
    <w:bookmarkEnd w:id="33"/>
    <w:p>
      <w:pPr>
        <w:jc w:val="both"/>
        <w:ind w:left="660" w:firstLine="644"/>
        <w:spacing w:after="0" w:line="257" w:lineRule="auto"/>
        <w:tabs>
          <w:tab w:leader="none" w:pos="1788"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Securities to Beneficial Interests in Unrestricted Global Securities. </w:t>
      </w:r>
      <w:r>
        <w:rPr>
          <w:rFonts w:ascii="Arial" w:cs="Arial" w:eastAsia="Arial" w:hAnsi="Arial"/>
          <w:sz w:val="18"/>
          <w:szCs w:val="18"/>
          <w:color w:val="auto"/>
        </w:rPr>
        <w:t>A Holder of an Unrestricted Definitive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may exchange such Security for a beneficial interest in an Unrestricted Global Security or transfer such Definitive Securities to a Person who takes delivery thereof in the form of a beneficial interest in an Unrestricted Global Security at any time. Upon receipt of a request for such an exchange or transfer, the Trustee will cancel the applicable Unrestricted Definitive Security and increase or cause to be increased the aggregate principal amount of one of the Unrestricted Global Securities.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such exchange or transfer from a Definitive Security to a beneficial interest is effected pursuant to subparagraphs (2)(B), (2)(D) or (3) above at a time when an Unrestricted Global Security has not yet been issued, the Company will issue and, upon receipt of an Authentication Order in accordance with Section 2.02 hereof, the Trustee will authenticate one or more Unrestricted Global Securities in an aggregate principal amount equal to the principal amount of Definitive Securities so transferred.</w:t>
      </w:r>
    </w:p>
    <w:p>
      <w:pPr>
        <w:spacing w:after="0" w:line="187" w:lineRule="exact"/>
        <w:rPr>
          <w:sz w:val="20"/>
          <w:szCs w:val="20"/>
          <w:color w:val="auto"/>
        </w:rPr>
      </w:pPr>
    </w:p>
    <w:p>
      <w:pPr>
        <w:jc w:val="both"/>
        <w:ind w:firstLine="656"/>
        <w:spacing w:after="0" w:line="255" w:lineRule="auto"/>
        <w:tabs>
          <w:tab w:leader="none" w:pos="1095"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Transfer and Exchange of Definitive Securities for Definitive Securities. </w:t>
      </w:r>
      <w:r>
        <w:rPr>
          <w:rFonts w:ascii="Arial" w:cs="Arial" w:eastAsia="Arial" w:hAnsi="Arial"/>
          <w:sz w:val="18"/>
          <w:szCs w:val="18"/>
          <w:color w:val="auto"/>
        </w:rPr>
        <w:t>Upon request by a Holder of Definitive Securities and such</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compliance with the provisions of this Section 2.06(e), the Registrar shall register the transfer or exchange of Definitive Securities. Prior to such registration of transfer or exchange, the requesting Holder must present or surrender to the Registrar the Definitive Securities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92" w:lineRule="exact"/>
        <w:rPr>
          <w:rFonts w:ascii="Arial" w:cs="Arial" w:eastAsia="Arial" w:hAnsi="Arial"/>
          <w:sz w:val="18"/>
          <w:szCs w:val="18"/>
          <w:color w:val="auto"/>
        </w:rPr>
      </w:pPr>
    </w:p>
    <w:p>
      <w:pPr>
        <w:ind w:left="660" w:firstLine="644"/>
        <w:spacing w:after="0" w:line="342" w:lineRule="auto"/>
        <w:tabs>
          <w:tab w:leader="none" w:pos="1788" w:val="left"/>
        </w:tabs>
        <w:numPr>
          <w:ilvl w:val="1"/>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Securities to Restricted Definitive Securities. </w:t>
      </w:r>
      <w:r>
        <w:rPr>
          <w:rFonts w:ascii="Arial" w:cs="Arial" w:eastAsia="Arial" w:hAnsi="Arial"/>
          <w:sz w:val="16"/>
          <w:szCs w:val="16"/>
          <w:color w:val="auto"/>
        </w:rPr>
        <w:t>Any Restricted Definitive Security may be transferred to and</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registered in the name of Persons who take delivery thereof in the form of a Restricted Definitive Security if the Registrar receives the following:</w:t>
      </w:r>
    </w:p>
    <w:p>
      <w:pPr>
        <w:spacing w:after="0" w:line="123" w:lineRule="exact"/>
        <w:rPr>
          <w:rFonts w:ascii="Arial" w:cs="Arial" w:eastAsia="Arial" w:hAnsi="Arial"/>
          <w:sz w:val="16"/>
          <w:szCs w:val="16"/>
          <w:color w:val="auto"/>
        </w:rPr>
      </w:pPr>
    </w:p>
    <w:p>
      <w:pPr>
        <w:ind w:left="1300" w:firstLine="652"/>
        <w:spacing w:after="0" w:line="277" w:lineRule="auto"/>
        <w:tabs>
          <w:tab w:leader="none" w:pos="2445" w:val="left"/>
        </w:tabs>
        <w:numPr>
          <w:ilvl w:val="2"/>
          <w:numId w:val="47"/>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Rule 144A,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1300" w:firstLine="652"/>
        <w:spacing w:after="0" w:line="277" w:lineRule="auto"/>
        <w:tabs>
          <w:tab w:leader="none" w:pos="2435" w:val="left"/>
        </w:tabs>
        <w:numPr>
          <w:ilvl w:val="2"/>
          <w:numId w:val="47"/>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Rule 903 or Rule 904,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 and</w:t>
      </w:r>
    </w:p>
    <w:p>
      <w:pPr>
        <w:spacing w:after="0" w:line="170" w:lineRule="exact"/>
        <w:rPr>
          <w:rFonts w:ascii="Arial" w:cs="Arial" w:eastAsia="Arial" w:hAnsi="Arial"/>
          <w:sz w:val="18"/>
          <w:szCs w:val="18"/>
          <w:color w:val="auto"/>
        </w:rPr>
      </w:pPr>
    </w:p>
    <w:p>
      <w:pPr>
        <w:jc w:val="both"/>
        <w:ind w:left="1300" w:firstLine="652"/>
        <w:spacing w:after="0" w:line="263" w:lineRule="auto"/>
        <w:tabs>
          <w:tab w:leader="none" w:pos="2435" w:val="left"/>
        </w:tabs>
        <w:numPr>
          <w:ilvl w:val="2"/>
          <w:numId w:val="47"/>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any other exemption from the registration requirements of the Securities Act,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certificates and Opinion of Counsel required by item (3) thereof, if applicable.</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Securities to Unrestricted Definitive Securities. </w:t>
      </w:r>
      <w:r>
        <w:rPr>
          <w:rFonts w:ascii="Arial" w:cs="Arial" w:eastAsia="Arial" w:hAnsi="Arial"/>
          <w:sz w:val="18"/>
          <w:szCs w:val="18"/>
          <w:color w:val="auto"/>
        </w:rPr>
        <w:t>Any Restricted Definitive Security may be exchanged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thereof for an Unrestricted Definitive Security or transferred to a Person or Persons who take delivery thereof in the form of an Unrestricted Definitive Security if the Registrar receives the following:</w:t>
      </w:r>
    </w:p>
    <w:p>
      <w:pPr>
        <w:spacing w:after="0" w:line="183" w:lineRule="exact"/>
        <w:rPr>
          <w:rFonts w:ascii="Arial" w:cs="Arial" w:eastAsia="Arial" w:hAnsi="Arial"/>
          <w:sz w:val="18"/>
          <w:szCs w:val="18"/>
          <w:color w:val="auto"/>
        </w:rPr>
      </w:pPr>
    </w:p>
    <w:p>
      <w:pPr>
        <w:ind w:left="1300" w:firstLine="652"/>
        <w:spacing w:after="0" w:line="308" w:lineRule="auto"/>
        <w:tabs>
          <w:tab w:leader="none" w:pos="2445" w:val="left"/>
        </w:tabs>
        <w:numPr>
          <w:ilvl w:val="2"/>
          <w:numId w:val="47"/>
        </w:numPr>
        <w:rPr>
          <w:rFonts w:ascii="Arial" w:cs="Arial" w:eastAsia="Arial" w:hAnsi="Arial"/>
          <w:sz w:val="17"/>
          <w:szCs w:val="17"/>
          <w:color w:val="auto"/>
        </w:rPr>
      </w:pPr>
      <w:r>
        <w:rPr>
          <w:rFonts w:ascii="Arial" w:cs="Arial" w:eastAsia="Arial" w:hAnsi="Arial"/>
          <w:sz w:val="17"/>
          <w:szCs w:val="17"/>
          <w:color w:val="auto"/>
        </w:rPr>
        <w:t xml:space="preserve">if the Holder of such Restricted Definitive Securities proposes to exchange such Securities for an Unrestricted Definitive Security, a certificate from such Holder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including the certifications in item (1)(d) thereof; or</w:t>
      </w:r>
    </w:p>
    <w:p>
      <w:pPr>
        <w:spacing w:after="0" w:line="146" w:lineRule="exact"/>
        <w:rPr>
          <w:rFonts w:ascii="Arial" w:cs="Arial" w:eastAsia="Arial" w:hAnsi="Arial"/>
          <w:sz w:val="17"/>
          <w:szCs w:val="17"/>
          <w:color w:val="auto"/>
        </w:rPr>
      </w:pPr>
    </w:p>
    <w:p>
      <w:pPr>
        <w:jc w:val="both"/>
        <w:ind w:left="1300" w:firstLine="652"/>
        <w:spacing w:after="0" w:line="263" w:lineRule="auto"/>
        <w:tabs>
          <w:tab w:leader="none" w:pos="2435" w:val="left"/>
        </w:tabs>
        <w:numPr>
          <w:ilvl w:val="2"/>
          <w:numId w:val="47"/>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Securities proposes to transfer such Securities to a Person who shall take delivery thereof in the form of an Unrestricted Definitive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34" w:name="page35"/>
    <w:bookmarkEnd w:id="34"/>
    <w:p>
      <w:pPr>
        <w:jc w:val="both"/>
        <w:ind w:left="1300"/>
        <w:spacing w:after="0" w:line="259" w:lineRule="auto"/>
        <w:rPr>
          <w:sz w:val="20"/>
          <w:szCs w:val="20"/>
          <w:color w:val="auto"/>
        </w:rPr>
      </w:pPr>
      <w:r>
        <w:rPr>
          <w:rFonts w:ascii="Arial" w:cs="Arial" w:eastAsia="Arial" w:hAnsi="Arial"/>
          <w:sz w:val="18"/>
          <w:szCs w:val="18"/>
          <w:color w:val="auto"/>
        </w:rPr>
        <w:t>and, in each such case set forth in this Section 2.06(e)(2),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jc w:val="both"/>
        <w:ind w:left="660" w:firstLine="644"/>
        <w:spacing w:after="0" w:line="286" w:lineRule="auto"/>
        <w:tabs>
          <w:tab w:leader="none" w:pos="1765" w:val="left"/>
        </w:tabs>
        <w:numPr>
          <w:ilvl w:val="1"/>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Unrestricted Definitive Securities to Unrestricted Definitive Securities. </w:t>
      </w:r>
      <w:r>
        <w:rPr>
          <w:rFonts w:ascii="Arial" w:cs="Arial" w:eastAsia="Arial" w:hAnsi="Arial"/>
          <w:sz w:val="17"/>
          <w:szCs w:val="17"/>
          <w:color w:val="auto"/>
        </w:rPr>
        <w:t>A Holder of Unrestricted Definitive Securities may transfer</w:t>
      </w:r>
      <w:r>
        <w:rPr>
          <w:rFonts w:ascii="Arial" w:cs="Arial" w:eastAsia="Arial" w:hAnsi="Arial"/>
          <w:sz w:val="17"/>
          <w:szCs w:val="17"/>
          <w:i w:val="1"/>
          <w:iCs w:val="1"/>
          <w:color w:val="auto"/>
        </w:rPr>
        <w:t xml:space="preserve"> </w:t>
      </w:r>
      <w:r>
        <w:rPr>
          <w:rFonts w:ascii="Arial" w:cs="Arial" w:eastAsia="Arial" w:hAnsi="Arial"/>
          <w:sz w:val="17"/>
          <w:szCs w:val="17"/>
          <w:color w:val="auto"/>
        </w:rPr>
        <w:t>such Securities to a Person who takes delivery thereof in the form of an Unrestricted Definitive Security. Upon receipt of a request to register such a transfer, the Registrar shall register the Unrestricted Definitive Securities pursuant to the instructions from the Holder thereof.</w:t>
      </w:r>
    </w:p>
    <w:p>
      <w:pPr>
        <w:spacing w:after="0" w:line="165" w:lineRule="exact"/>
        <w:rPr>
          <w:rFonts w:ascii="Arial" w:cs="Arial" w:eastAsia="Arial" w:hAnsi="Arial"/>
          <w:sz w:val="17"/>
          <w:szCs w:val="17"/>
          <w:color w:val="auto"/>
        </w:rPr>
      </w:pPr>
    </w:p>
    <w:p>
      <w:pPr>
        <w:ind w:left="1100" w:hanging="444"/>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038"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Legends. </w:t>
      </w:r>
      <w:r>
        <w:rPr>
          <w:rFonts w:ascii="Arial" w:cs="Arial" w:eastAsia="Arial" w:hAnsi="Arial"/>
          <w:sz w:val="18"/>
          <w:szCs w:val="18"/>
          <w:color w:val="auto"/>
        </w:rPr>
        <w:t>The following legends will appear on the face of all Global Notes and Definitive Notes issued under this Indenture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stated otherwise in the applicable provisions of this Indenture. Additional Securities will bear the legends, if any, provided for in the Supplemental Indenture pursuant to which such Series of Additional Securities is created.</w:t>
      </w:r>
    </w:p>
    <w:p>
      <w:pPr>
        <w:spacing w:after="0" w:line="183" w:lineRule="exact"/>
        <w:rPr>
          <w:rFonts w:ascii="Arial" w:cs="Arial" w:eastAsia="Arial" w:hAnsi="Arial"/>
          <w:sz w:val="18"/>
          <w:szCs w:val="18"/>
          <w:color w:val="auto"/>
        </w:rPr>
      </w:pPr>
    </w:p>
    <w:p>
      <w:pPr>
        <w:ind w:left="1760" w:hanging="456"/>
        <w:spacing w:after="0"/>
        <w:tabs>
          <w:tab w:leader="none" w:pos="1760"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Private Placement Legend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firstLine="652"/>
        <w:spacing w:after="0" w:line="277" w:lineRule="auto"/>
        <w:tabs>
          <w:tab w:leader="none" w:pos="2468" w:val="left"/>
        </w:tabs>
        <w:numPr>
          <w:ilvl w:val="2"/>
          <w:numId w:val="49"/>
        </w:numPr>
        <w:rPr>
          <w:rFonts w:ascii="Arial" w:cs="Arial" w:eastAsia="Arial" w:hAnsi="Arial"/>
          <w:sz w:val="18"/>
          <w:szCs w:val="18"/>
          <w:color w:val="auto"/>
        </w:rPr>
      </w:pPr>
      <w:r>
        <w:rPr>
          <w:rFonts w:ascii="Arial" w:cs="Arial" w:eastAsia="Arial" w:hAnsi="Arial"/>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NOTE HAS NOT BEEN REGISTERED UNDER THE U.S. SECURITIES ACT OF 1933, AS AMENDED (THE “SECURITIES ACT”), OR THE SECURITIES LAWS OF ANY STATE OR OTHER JURISDICTION AND, ACCORDINGLY, MAY NOT BE OFFERED OR SOLD WITHIN THE UNITED STATES OR TO, OR FOR THE ACCOUNT OR BENEFIT OF, U.S. PERSONS EXCEPT AS SET FORTH BELOW. BY ITS ACQUISITION HEREOF, THE HOLDER (1) REPRESENTS THAT (A) IT IS A “QUALIFIED INSTITUTIONAL BUYER” (AS DEFINED IN RULE 144A UNDER THE SECURITIES ACT) OR (B) IT IS NOT A U.S. PERSON AND IS ACQUIRING THIS NOTE IN AN OFFSHORE TRANSACTION IN COMPLIANCE WITH REGULATION S UNDER THE SECURITIES ACT, (2) AGREES THAT IT WILL NOT WITHIN [IN THE CASE OF RULE 144A NOTES: ONE YEAR OR SUCH SHORTER PERIOD UNDER APPLICABLE LAW] [IN THE CASE OF REGULATION S NOTES: 40 DAYS] AFTER THE LATER OF THE ORIGINAL ISSUE DATE HEREOF AND THE LAST DATE ON WHICH THE ISSUER OR ANY AFFILIATE OF THE ISSUER WAS THE OWNER OF THIS NOTE (OR ANY PREDECESSOR OF SUCH NOTE) RESELL OR OTHERWISE TRANSFER THIS NOTE EXCEPT (A) TO THE ISSUER OR ANY SUBSIDIARY THEREOF, (B) INSIDE THE UNITED STATES TO A QUALIFIED INSTITUTIONAL BUYER IN COMPLIANCE WITH RULE 144A UNDER THE SECURITIES ACT, (C) OUTSIDE THE UNITED STATES IN AN OFFSHORE TRANSACTION IN COMPLIANCE WITH RULE 903 OR RULE 904 UNDER THE SECURITIES ACT, (D) PURSUANT TO THE EXEMPTION FROM REGISTRATION PROVIDED BY RULE 144 UNDER THE SECURITIES ACT (IF AVAILABLE), (E) IN ACCORDANCE WITH ANOTHER EXEMPTION FROM THE REGISTRATION REQUIREMENTS OF THE SECURITIES ACT (AND BASED UPON AN OPINION OF COUNSEL IF THE ISSUER SO REQUESTS), OR (F) PURSUANT TO AN EFFECTIVE REGISTRATION STATEMENT UNDER THE SECURITIES ACT AND</w:t>
      </w:r>
    </w:p>
    <w:p>
      <w:pPr>
        <w:spacing w:after="0" w:line="5" w:lineRule="exact"/>
        <w:rPr>
          <w:sz w:val="20"/>
          <w:szCs w:val="20"/>
          <w:color w:val="auto"/>
        </w:rPr>
      </w:pPr>
    </w:p>
    <w:p>
      <w:pPr>
        <w:jc w:val="both"/>
        <w:ind w:firstLine="8"/>
        <w:spacing w:after="0" w:line="255" w:lineRule="auto"/>
        <w:tabs>
          <w:tab w:leader="none" w:pos="2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AGREES THAT IT WILL GIVE TO EACH PERSON TO WHOM THIS NOTE IS TRANSFERRED A NOTICE SUBSTANTIALLY TO THE EFFECT OF THIS LEGEND. AS USED HEREIN, THE TERMS “OFFSHORE TRANSACTION,” “UNITED STATES” AND “U.S. PERSON” HAVE THE MEANING GIVEN TO THEM BY REGULATION S UNDER THE SECURITIES ACT.”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35" w:name="page36"/>
    <w:bookmarkEnd w:id="35"/>
    <w:p>
      <w:pPr>
        <w:ind w:left="2460" w:hanging="508"/>
        <w:spacing w:after="0"/>
        <w:tabs>
          <w:tab w:leader="none" w:pos="24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Notwithstanding the foregoing, any Global Note or Definitive Note issued pursuant to subparagraphs (b)(4), (c)(2), (c)</w:t>
      </w:r>
    </w:p>
    <w:p>
      <w:pPr>
        <w:spacing w:after="0" w:line="46" w:lineRule="exact"/>
        <w:rPr>
          <w:rFonts w:ascii="Arial" w:cs="Arial" w:eastAsia="Arial" w:hAnsi="Arial"/>
          <w:sz w:val="16"/>
          <w:szCs w:val="16"/>
          <w:color w:val="auto"/>
        </w:rPr>
      </w:pPr>
    </w:p>
    <w:p>
      <w:pPr>
        <w:ind w:left="1300"/>
        <w:spacing w:after="0" w:line="260" w:lineRule="auto"/>
        <w:rPr>
          <w:rFonts w:ascii="Arial" w:cs="Arial" w:eastAsia="Arial" w:hAnsi="Arial"/>
          <w:sz w:val="16"/>
          <w:szCs w:val="16"/>
          <w:color w:val="auto"/>
        </w:rPr>
      </w:pPr>
      <w:r>
        <w:rPr>
          <w:rFonts w:ascii="Arial" w:cs="Arial" w:eastAsia="Arial" w:hAnsi="Arial"/>
          <w:sz w:val="18"/>
          <w:szCs w:val="18"/>
          <w:color w:val="auto"/>
        </w:rPr>
        <w:t>(3), (d)(2), (d)(3), (e)(2), (e)(3) or (f) of this Section 2.06 (and all Notes issued in exchange therefor or substitution thereof) will not bear the Private Placement Legend.</w:t>
      </w:r>
    </w:p>
    <w:p>
      <w:pPr>
        <w:spacing w:after="0" w:line="185" w:lineRule="exact"/>
        <w:rPr>
          <w:rFonts w:ascii="Arial" w:cs="Arial" w:eastAsia="Arial" w:hAnsi="Arial"/>
          <w:sz w:val="16"/>
          <w:szCs w:val="16"/>
          <w:color w:val="auto"/>
        </w:rPr>
      </w:pPr>
    </w:p>
    <w:p>
      <w:pPr>
        <w:ind w:left="1740" w:hanging="436"/>
        <w:spacing w:after="0"/>
        <w:tabs>
          <w:tab w:leader="none" w:pos="174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Global Legend</w:t>
      </w:r>
      <w:r>
        <w:rPr>
          <w:rFonts w:ascii="Arial" w:cs="Arial" w:eastAsia="Arial" w:hAnsi="Arial"/>
          <w:sz w:val="18"/>
          <w:szCs w:val="18"/>
          <w:color w:val="auto"/>
        </w:rPr>
        <w:t>. Each Global Security will bear a legend in substantially the following form:</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2.12 OF THE INDENTURE AND (4) THIS GLOBAL NOTE MAY BE TRANSFERRED TO A SUCCESSOR DEPOSITARY WITH THE PRIOR WRITTEN CONSENT OF CLEARWAY ENERGY OPERATING LLC.</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ind w:left="660" w:firstLine="644"/>
        <w:spacing w:after="0" w:line="277" w:lineRule="auto"/>
        <w:tabs>
          <w:tab w:leader="none" w:pos="1743"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Original Issue Discount Legend</w:t>
      </w:r>
      <w:r>
        <w:rPr>
          <w:rFonts w:ascii="Arial" w:cs="Arial" w:eastAsia="Arial" w:hAnsi="Arial"/>
          <w:sz w:val="18"/>
          <w:szCs w:val="18"/>
          <w:color w:val="auto"/>
        </w:rPr>
        <w:t>. Each Note issued with original issue discount, if any, will bear a legend in substantially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form: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PURPOSES OF SECTIONS 1272, 1273 AND 1275 OF THE INTERNAL REVENUE CODE OF 1986, AS AMENDED, THIS SECURITY IS BEING ISSUED WITH ORIGINAL ISSUE DISCOUNT; FOR EACH $1,000 IN AGGREGATE PRINCIPAL AMOUNT OF THIS SECURITY, THE ISSUE PRICE IS $[ ], THE AMOUNT OF ORIGINAL ISSUE DISCOUNT IS $[ ], THE ISSUE DATE IS [ ], 201[ ] AND THE YIELD TO MATURITY IS [ ]% PER ANNUM.”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left="-20" w:firstLine="656"/>
        <w:spacing w:after="0" w:line="270" w:lineRule="auto"/>
        <w:tabs>
          <w:tab w:leader="none" w:pos="104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Cancellation and/or Adjustment of Global Securities. </w:t>
      </w:r>
      <w:r>
        <w:rPr>
          <w:rFonts w:ascii="Arial" w:cs="Arial" w:eastAsia="Arial" w:hAnsi="Arial"/>
          <w:sz w:val="17"/>
          <w:szCs w:val="17"/>
          <w:color w:val="auto"/>
        </w:rPr>
        <w:t>At such time as all beneficial interests in a particular Global Security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exchanged for Definitive Securities or a particular Global Security has been redeemed, repurchased or canceled in whole and not in part, each such Global Security shall be returned to or retained and canceled by the Trustee in accordance with Section 2.12 hereof. At any time prior to such cancellation, if any beneficial interest in a Global Security is exchanged for or transferred to a Person who will take delivery thereof in the form of a beneficial interest in another Global Security or for Definitive Securities, the principal amount of Securities represented by such Global Security will be reduced accordingly and a notation will be made on the records maintained by the Trustee or by the Depositary at the direction of the Trustee to reflect such reduction; and if the beneficial interest is being exchanged for or transferred to a Person who will take delivery thereof in the form of a beneficial interest in another Global Security, such other Global Security will be increased accordingly and a notation will be made on the records maintained by the Trustee or by the Depositary at the direction of the Trustee to reflect such increase.</w:t>
      </w:r>
    </w:p>
    <w:p>
      <w:pPr>
        <w:spacing w:after="0" w:line="180" w:lineRule="exact"/>
        <w:rPr>
          <w:rFonts w:ascii="Arial" w:cs="Arial" w:eastAsia="Arial" w:hAnsi="Arial"/>
          <w:sz w:val="17"/>
          <w:szCs w:val="17"/>
          <w:color w:val="auto"/>
        </w:rPr>
      </w:pPr>
    </w:p>
    <w:p>
      <w:pPr>
        <w:ind w:left="1080" w:hanging="44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p>
    <w:p>
      <w:pPr>
        <w:spacing w:after="0" w:line="225" w:lineRule="exact"/>
        <w:rPr>
          <w:rFonts w:ascii="Arial" w:cs="Arial" w:eastAsia="Arial" w:hAnsi="Arial"/>
          <w:sz w:val="18"/>
          <w:szCs w:val="18"/>
          <w:color w:val="auto"/>
        </w:rPr>
      </w:pPr>
    </w:p>
    <w:p>
      <w:pPr>
        <w:ind w:left="640" w:firstLine="644"/>
        <w:spacing w:after="0" w:line="342" w:lineRule="auto"/>
        <w:tabs>
          <w:tab w:leader="none" w:pos="1742" w:val="left"/>
        </w:tabs>
        <w:numPr>
          <w:ilvl w:val="1"/>
          <w:numId w:val="54"/>
        </w:numPr>
        <w:rPr>
          <w:rFonts w:ascii="Arial" w:cs="Arial" w:eastAsia="Arial" w:hAnsi="Arial"/>
          <w:sz w:val="16"/>
          <w:szCs w:val="16"/>
          <w:color w:val="auto"/>
        </w:rPr>
      </w:pPr>
      <w:r>
        <w:rPr>
          <w:rFonts w:ascii="Arial" w:cs="Arial" w:eastAsia="Arial" w:hAnsi="Arial"/>
          <w:sz w:val="16"/>
          <w:szCs w:val="16"/>
          <w:color w:val="auto"/>
        </w:rPr>
        <w:t>To permit registrations of transfers and exchanges, the Company shall execute and the Trustee shall authenticate Global Securities and Definitive Securities upon receipt of an Authentication Order in accordance with Section 2.02 hereof or at the Registrar’s request.</w:t>
      </w:r>
    </w:p>
    <w:p>
      <w:pPr>
        <w:spacing w:after="0" w:line="123" w:lineRule="exact"/>
        <w:rPr>
          <w:rFonts w:ascii="Arial" w:cs="Arial" w:eastAsia="Arial" w:hAnsi="Arial"/>
          <w:sz w:val="16"/>
          <w:szCs w:val="16"/>
          <w:color w:val="auto"/>
        </w:rPr>
      </w:pPr>
    </w:p>
    <w:p>
      <w:pPr>
        <w:jc w:val="both"/>
        <w:ind w:left="640" w:firstLine="644"/>
        <w:spacing w:after="0" w:line="259" w:lineRule="auto"/>
        <w:tabs>
          <w:tab w:leader="none" w:pos="1745" w:val="left"/>
        </w:tabs>
        <w:numPr>
          <w:ilvl w:val="1"/>
          <w:numId w:val="54"/>
        </w:numPr>
        <w:rPr>
          <w:rFonts w:ascii="Arial" w:cs="Arial" w:eastAsia="Arial" w:hAnsi="Arial"/>
          <w:sz w:val="18"/>
          <w:szCs w:val="18"/>
          <w:color w:val="auto"/>
        </w:rPr>
      </w:pPr>
      <w:r>
        <w:rPr>
          <w:rFonts w:ascii="Arial" w:cs="Arial" w:eastAsia="Arial" w:hAnsi="Arial"/>
          <w:sz w:val="18"/>
          <w:szCs w:val="18"/>
          <w:color w:val="auto"/>
        </w:rPr>
        <w:t>No service charge shall be made to a holder of a beneficial interest in a Global Security or to a Holder of a Definitive Security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2.11, 3.06, 4.09 and 9.05 hereof).</w:t>
      </w:r>
    </w:p>
    <w:p>
      <w:pPr>
        <w:spacing w:after="0" w:line="186" w:lineRule="exact"/>
        <w:rPr>
          <w:rFonts w:ascii="Arial" w:cs="Arial" w:eastAsia="Arial" w:hAnsi="Arial"/>
          <w:sz w:val="18"/>
          <w:szCs w:val="18"/>
          <w:color w:val="auto"/>
        </w:rPr>
      </w:pPr>
    </w:p>
    <w:p>
      <w:pPr>
        <w:ind w:left="640" w:firstLine="644"/>
        <w:spacing w:after="0" w:line="277" w:lineRule="auto"/>
        <w:tabs>
          <w:tab w:leader="none" w:pos="1742"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Registrar shall not be required to register the transfer of or exchange of any Security selected for redemption in whole or in part, except the unredeemed portion of any Note being redeemed in part.</w:t>
      </w:r>
    </w:p>
    <w:p>
      <w:pPr>
        <w:spacing w:after="0" w:line="170" w:lineRule="exact"/>
        <w:rPr>
          <w:rFonts w:ascii="Arial" w:cs="Arial" w:eastAsia="Arial" w:hAnsi="Arial"/>
          <w:sz w:val="18"/>
          <w:szCs w:val="18"/>
          <w:color w:val="auto"/>
        </w:rPr>
      </w:pPr>
    </w:p>
    <w:p>
      <w:pPr>
        <w:jc w:val="both"/>
        <w:ind w:left="640" w:firstLine="644"/>
        <w:spacing w:after="0" w:line="263" w:lineRule="auto"/>
        <w:tabs>
          <w:tab w:leader="none" w:pos="169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Global Securities and Definitive Securities issued upon any registration of transfer or exchange of Global Securities or Definitive Securities shall be the valid obligations of the Company, evidencing the same debt, and entitled to the same benefits under this Indenture, as the Global Securities or Definitive Securities surrendered upon such registration of transfer or exchange.</w:t>
      </w:r>
    </w:p>
    <w:p>
      <w:pPr>
        <w:spacing w:after="0" w:line="183" w:lineRule="exact"/>
        <w:rPr>
          <w:rFonts w:ascii="Arial" w:cs="Arial" w:eastAsia="Arial" w:hAnsi="Arial"/>
          <w:sz w:val="18"/>
          <w:szCs w:val="18"/>
          <w:color w:val="auto"/>
        </w:rPr>
      </w:pPr>
    </w:p>
    <w:p>
      <w:pPr>
        <w:ind w:left="1740" w:hanging="456"/>
        <w:spacing w:after="0"/>
        <w:tabs>
          <w:tab w:leader="none" w:pos="17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shall not be required:</w:t>
      </w:r>
    </w:p>
    <w:p>
      <w:pPr>
        <w:spacing w:after="0" w:line="225" w:lineRule="exact"/>
        <w:rPr>
          <w:rFonts w:ascii="Arial" w:cs="Arial" w:eastAsia="Arial" w:hAnsi="Arial"/>
          <w:sz w:val="18"/>
          <w:szCs w:val="18"/>
          <w:color w:val="auto"/>
        </w:rPr>
      </w:pPr>
    </w:p>
    <w:p>
      <w:pPr>
        <w:ind w:left="1280" w:firstLine="652"/>
        <w:spacing w:after="0" w:line="342" w:lineRule="auto"/>
        <w:tabs>
          <w:tab w:leader="none" w:pos="2448" w:val="left"/>
        </w:tabs>
        <w:numPr>
          <w:ilvl w:val="2"/>
          <w:numId w:val="54"/>
        </w:numPr>
        <w:rPr>
          <w:rFonts w:ascii="Arial" w:cs="Arial" w:eastAsia="Arial" w:hAnsi="Arial"/>
          <w:sz w:val="16"/>
          <w:szCs w:val="16"/>
          <w:color w:val="auto"/>
        </w:rPr>
      </w:pPr>
      <w:r>
        <w:rPr>
          <w:rFonts w:ascii="Arial" w:cs="Arial" w:eastAsia="Arial" w:hAnsi="Arial"/>
          <w:sz w:val="16"/>
          <w:szCs w:val="16"/>
          <w:color w:val="auto"/>
        </w:rPr>
        <w:t>to issue, to register the transfer of or to exchange any Securities during a period beginning at the opening of business 10 days before the day of any selection of Securities for redemption and ending at the close of business on the day of selection;</w:t>
      </w:r>
    </w:p>
    <w:p>
      <w:pPr>
        <w:spacing w:after="0" w:line="123" w:lineRule="exact"/>
        <w:rPr>
          <w:rFonts w:ascii="Arial" w:cs="Arial" w:eastAsia="Arial" w:hAnsi="Arial"/>
          <w:sz w:val="16"/>
          <w:szCs w:val="16"/>
          <w:color w:val="auto"/>
        </w:rPr>
      </w:pPr>
    </w:p>
    <w:p>
      <w:pPr>
        <w:ind w:left="1280" w:right="20" w:firstLine="652"/>
        <w:spacing w:after="0" w:line="277" w:lineRule="auto"/>
        <w:tabs>
          <w:tab w:leader="none" w:pos="2438"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register the transfer of or to exchange any Security selected for redemption in whole or in part, except the unredeemed portion of any Security being redeemed in part; or</w:t>
      </w:r>
    </w:p>
    <w:p>
      <w:pPr>
        <w:spacing w:after="0" w:line="170" w:lineRule="exact"/>
        <w:rPr>
          <w:rFonts w:ascii="Arial" w:cs="Arial" w:eastAsia="Arial" w:hAnsi="Arial"/>
          <w:sz w:val="18"/>
          <w:szCs w:val="18"/>
          <w:color w:val="auto"/>
        </w:rPr>
      </w:pPr>
    </w:p>
    <w:p>
      <w:pPr>
        <w:ind w:left="2440" w:hanging="508"/>
        <w:spacing w:after="0"/>
        <w:tabs>
          <w:tab w:leader="none" w:pos="2440" w:val="left"/>
        </w:tabs>
        <w:numPr>
          <w:ilvl w:val="2"/>
          <w:numId w:val="54"/>
        </w:numPr>
        <w:rPr>
          <w:rFonts w:ascii="Arial" w:cs="Arial" w:eastAsia="Arial" w:hAnsi="Arial"/>
          <w:sz w:val="16"/>
          <w:szCs w:val="16"/>
          <w:color w:val="auto"/>
        </w:rPr>
      </w:pPr>
      <w:r>
        <w:rPr>
          <w:rFonts w:ascii="Arial" w:cs="Arial" w:eastAsia="Arial" w:hAnsi="Arial"/>
          <w:sz w:val="16"/>
          <w:szCs w:val="16"/>
          <w:color w:val="auto"/>
        </w:rPr>
        <w:t>to register the transfer of or to exchange a Security between a record date and the next succeeding interest payment date.</w:t>
      </w:r>
    </w:p>
    <w:p>
      <w:pPr>
        <w:spacing w:after="0" w:line="248" w:lineRule="exact"/>
        <w:rPr>
          <w:rFonts w:ascii="Arial" w:cs="Arial" w:eastAsia="Arial" w:hAnsi="Arial"/>
          <w:sz w:val="16"/>
          <w:szCs w:val="16"/>
          <w:color w:val="auto"/>
        </w:rPr>
      </w:pPr>
    </w:p>
    <w:p>
      <w:pPr>
        <w:jc w:val="both"/>
        <w:ind w:left="640" w:firstLine="644"/>
        <w:spacing w:after="0" w:line="259" w:lineRule="auto"/>
        <w:tabs>
          <w:tab w:leader="none" w:pos="1745" w:val="left"/>
        </w:tabs>
        <w:numPr>
          <w:ilvl w:val="1"/>
          <w:numId w:val="54"/>
        </w:numPr>
        <w:rPr>
          <w:rFonts w:ascii="Arial" w:cs="Arial" w:eastAsia="Arial" w:hAnsi="Arial"/>
          <w:sz w:val="18"/>
          <w:szCs w:val="18"/>
          <w:color w:val="auto"/>
        </w:rPr>
      </w:pPr>
      <w:r>
        <w:rPr>
          <w:rFonts w:ascii="Arial" w:cs="Arial" w:eastAsia="Arial" w:hAnsi="Arial"/>
          <w:sz w:val="18"/>
          <w:szCs w:val="18"/>
          <w:color w:val="auto"/>
        </w:rPr>
        <w:t>Prior to due presentment for the registration of a transfer of any Security, the Trustee, any Agent and the Company may deem and treat the Person in whose name any Security is registered as the absolute owner of such Security for the purpose of receiving payment of principal of and interest on such Securities and for all other purposes, and none of the Trustee, any Agent or the Company shall be affected by notice to the contrary.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7" w:name="page38"/>
    <w:bookmarkEnd w:id="37"/>
    <w:p>
      <w:pPr>
        <w:ind w:left="1760" w:hanging="456"/>
        <w:spacing w:after="0"/>
        <w:tabs>
          <w:tab w:leader="none" w:pos="1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Trustee shall authenticate Global Securities and Definitive Securities in accordance with the provisions of Section 2.02 hereof.</w:t>
      </w:r>
    </w:p>
    <w:p>
      <w:pPr>
        <w:spacing w:after="0" w:line="248" w:lineRule="exact"/>
        <w:rPr>
          <w:rFonts w:ascii="Arial" w:cs="Arial" w:eastAsia="Arial" w:hAnsi="Arial"/>
          <w:sz w:val="16"/>
          <w:szCs w:val="16"/>
          <w:color w:val="auto"/>
        </w:rPr>
      </w:pPr>
    </w:p>
    <w:p>
      <w:pPr>
        <w:ind w:left="660" w:firstLine="644"/>
        <w:spacing w:after="0" w:line="277" w:lineRule="auto"/>
        <w:tabs>
          <w:tab w:leader="none" w:pos="17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orders, certifications, certificates and Opinions of Counsel required to be submitted to the Registrar pursuant to this Section 2.06 to effect a registration of transfer or exchange may be submitted by facsimile or electronic format (e.g. “pdf” or “tif”).</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i w:val="1"/>
          <w:iCs w:val="1"/>
          <w:color w:val="auto"/>
        </w:rPr>
        <w:t>Issuance of Additional Notes.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The Company shall be entitled, upon delivery to the Trustee of an Officers’ Certificate, Opinion of Counsel and Authentication Order, to issue Additional Notes under this Indenture which shall have identical terms as the Initial Notes issued on the Issue Date, other than with respect to the date of issuance and issue price. The Initial Notes issued on the Issue Date and any Additional Notes issued shall be treated as a single class for all purposes under this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Additional Notes that are not fungible with the Initial Notes for United States federal income tax purposes will be issued with a different CUSIP number than the CUSIP number issued with respect to the Initial Notes.</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With respect to any Additional Notes, the Company shall set forth in a Board Resolution and an Officers’ Certificate, a copy of each which shall be delivered to the Trustee, the following information:</w:t>
      </w:r>
    </w:p>
    <w:p>
      <w:pPr>
        <w:spacing w:after="0" w:line="170" w:lineRule="exact"/>
        <w:rPr>
          <w:sz w:val="20"/>
          <w:szCs w:val="20"/>
          <w:color w:val="auto"/>
        </w:rPr>
      </w:pPr>
    </w:p>
    <w:p>
      <w:pPr>
        <w:ind w:left="1100" w:hanging="444"/>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aggregate principal amount of such Additional Notes to be authenticated and delivered pursuant to this Indenture; and</w:t>
      </w:r>
    </w:p>
    <w:p>
      <w:pPr>
        <w:spacing w:after="0" w:line="225" w:lineRule="exact"/>
        <w:rPr>
          <w:rFonts w:ascii="Arial" w:cs="Arial" w:eastAsia="Arial" w:hAnsi="Arial"/>
          <w:sz w:val="18"/>
          <w:szCs w:val="18"/>
          <w:color w:val="auto"/>
        </w:rPr>
      </w:pPr>
    </w:p>
    <w:p>
      <w:pPr>
        <w:ind w:left="1120" w:hanging="464"/>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issue price, the issue date and the CUSIP number of such Additional Notes.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5"/>
          <w:szCs w:val="15"/>
          <w:i w:val="1"/>
          <w:iCs w:val="1"/>
          <w:color w:val="auto"/>
        </w:rPr>
        <w:t>Replacement Securities.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any mutilated Security is surrendered to the Trustee or the Company and the Trustee receives evidence to its satisfaction of the destruction, loss or theft of any Security, the Company will issue and the Trustee, upon receipt of an Authentication Order, will authenticate a replacement Security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Security is replaced. The Company may charge for its expenses in replacing a Security.</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Every replacement Security is an additional obligation of the Company and will be entitled to all of the benefits of this Indenture equally and proportionately with all other Securities duly issued hereunder.</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i w:val="1"/>
          <w:iCs w:val="1"/>
          <w:color w:val="auto"/>
        </w:rPr>
        <w:t>Outstanding Securities.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Securities outstanding at any time are all the Notes authenticated by the Trustee except for those canceled by it, those delivered to it for cancellation, those reductions in the interest in a Global Security effected by the Trustee in accordance with the provisions hereof, and those described in this Section 2.09 as not outstanding. Except as set forth in Section 2.10 hereof, a Security does not cease to be outstanding because the Company or an Affiliate of the Company holds the Security; however, Securities held by the Company or a Subsidiary of the Company shall not be deemed to be outstanding for purposes of Section 3.07(a) hereof.</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Security is replaced pursuant to Section 2.08 hereof, it ceases to be outstanding unless the Trustee receives proof satisfactory to it that the replaced Security is held by a protected purchaser.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left="660"/>
        <w:spacing w:after="0"/>
        <w:rPr>
          <w:sz w:val="20"/>
          <w:szCs w:val="20"/>
          <w:color w:val="auto"/>
        </w:rPr>
      </w:pPr>
      <w:r>
        <w:rPr>
          <w:rFonts w:ascii="Arial" w:cs="Arial" w:eastAsia="Arial" w:hAnsi="Arial"/>
          <w:sz w:val="16"/>
          <w:szCs w:val="16"/>
          <w:color w:val="auto"/>
        </w:rPr>
        <w:t>If the principal amount of any Security is considered paid under Section 4.01 hereof, it ceases to be outstanding and interest on it ceases to accrue.</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Paying Agent (other than the Company, a Subsidiary or an Affiliate of any thereof) holds, on a redemption date or maturity date, money sufficient to pay Securities payable on that date, then on and after that date such Securities will be deemed to be no longer outstanding and will cease to accrue interest.</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5"/>
          <w:szCs w:val="15"/>
          <w:i w:val="1"/>
          <w:iCs w:val="1"/>
          <w:color w:val="auto"/>
        </w:rPr>
        <w:t>Treasury Securities.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determining whether the Holders of the required principal amount of Notes have concurred in any direction, waiver or consent, Securities owned by the Company or any Guarantor, or by any Person directly or indirectly controlling or controlled by or under direct or indirect common control with the Company or any Guarantor, will be considered as though not outstanding, except that for the purposes of determining whether the Trustee will be protected in relying on any such direction, waiver or consent, only such Notes that the Trustee has received written notice from the Company or any Guarantor, as applicable, certifying that the relevant Notes are owned by either the Company or any Guarantor, as applicable, will be so disregarded.</w:t>
      </w:r>
    </w:p>
    <w:p>
      <w:pPr>
        <w:spacing w:after="0" w:line="16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i w:val="1"/>
          <w:iCs w:val="1"/>
          <w:color w:val="auto"/>
        </w:rPr>
        <w:t>Temporary Securities.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Until certificates representing Securities are ready for delivery, the Company may prepare and the Trustee, upon receipt of an Authentication Order, will authenticate temporary Securities. Temporary Securities will be substantially in the form of certificated Securities but may have variations that the Company considers appropriate for temporary Securities and as may be reasonably acceptable to the Trustee. Without unreasonable delay, the Company will prepare and the Trustee will authenticate definitive Securities in exchange for temporary Securities.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of temporary Notes will be entitled to all of the benefits of this Indenture.</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i w:val="1"/>
          <w:iCs w:val="1"/>
          <w:color w:val="auto"/>
        </w:rPr>
        <w:t>Cancellation.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at any time may deliver Securities to the Trustee for cancellation. The Registrar and Paying Agent will forward to the Trustee any Securities surrendered to them for registration of transfer, exchange or payment. Upon receipt of written direction from the Company, the Trustee and no one else will cancel all Securities surrendered for registration of transfer, exchange, payment, replacement or cancellation and will destroy canceled Securities (subject to the record retention requirements of the Exchange Act). Certification of the destruction of all canceled Securities will be delivered to the Company. The Company may not issue new Securities to replace Securities that it has paid or that have been delivered to the Trustee for cancellation.</w:t>
      </w:r>
    </w:p>
    <w:p>
      <w:pPr>
        <w:spacing w:after="0" w:line="16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i w:val="1"/>
          <w:iCs w:val="1"/>
          <w:color w:val="auto"/>
        </w:rPr>
        <w:t>Defaulted Interest.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At least 10 days before the special record date, the Company (or, upon the written request of the Company, the Trustee in the name and at the expense of the Company) will mail or cause to be mailed or delivered electronically to Holders a notice that states the special record date, the related payment date and the amount of such interest to be paid.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right="20" w:firstLine="648"/>
        <w:spacing w:after="0" w:line="277" w:lineRule="auto"/>
        <w:rPr>
          <w:sz w:val="20"/>
          <w:szCs w:val="20"/>
          <w:color w:val="auto"/>
        </w:rPr>
      </w:pPr>
      <w:r>
        <w:rPr>
          <w:rFonts w:ascii="Arial" w:cs="Arial" w:eastAsia="Arial" w:hAnsi="Arial"/>
          <w:sz w:val="18"/>
          <w:szCs w:val="18"/>
          <w:color w:val="auto"/>
        </w:rPr>
        <w:t>Default interest will be payable with respect to Additional Securities on the terms provided in the Supplemental Indenture pursuant to which such Series of Additional Securities is created.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 AND PREPAYMENT</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purposes of the Notes, Article 3 hereof provides the terms upon which redemption and prepayment may occur. For purposes of any Additional Securities issued under this Indenture, the Supplemental Indenture in respect of such Additional Securities will specify the terms upon which redemption and prepayment may occur, which may include some, all or none of the terms contained in this Article 3 hereof.</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i w:val="1"/>
          <w:iCs w:val="1"/>
          <w:color w:val="auto"/>
        </w:rPr>
        <w:t>Notices to Trustee.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the Company elects to redeem Notes pursuant to the optional redemption provisions of Section 3.07 hereof, it must furnish to the Trustee, at least 10 days but not more than 60 days before a redemption date, an Officers’ Certificate setting forth:</w:t>
      </w:r>
    </w:p>
    <w:p>
      <w:pPr>
        <w:spacing w:after="0" w:line="170" w:lineRule="exact"/>
        <w:rPr>
          <w:sz w:val="20"/>
          <w:szCs w:val="20"/>
          <w:color w:val="auto"/>
        </w:rPr>
      </w:pPr>
    </w:p>
    <w:p>
      <w:pPr>
        <w:ind w:left="1760" w:hanging="456"/>
        <w:spacing w:after="0"/>
        <w:tabs>
          <w:tab w:leader="none" w:pos="1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clause of this Indenture pursuant to which the redemption shall occur;</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principal amount of Notes to be redeemed; and</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redemption price or, where the redemption price cannot be calculated at the time of such notice, the method of calculation</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i w:val="1"/>
          <w:iCs w:val="1"/>
          <w:color w:val="auto"/>
        </w:rPr>
        <w:t>Selection of Notes to Be Redeemed or Purchased.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If less than all of the Notes are to be redeemed at any time, the Trustee shall select Notes for redemption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among all outstanding Notes or, if the Notes are listed on any national securities exchange, in compliance with the requirements of the principal national securities exchange on which the Notes are listed, in either case, unless otherwise required by law or depositary requirements.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the event of partial redemption by lot, the particular Notes to be redeemed or purchased shall be selected, unless otherwise provided herein, not less than 10 nor more than 60 days prior to the redemption by the Trustee from the outstanding Notes not previously called for redemption.</w:t>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Trustee shall promptly notify the Company in writing of the Notes selected for redemption and, in the case of any Note selected for partial redemption, the principal amount thereof to be redeemed. Notes and portions of Notes selected shall be in amounts of $2,000 or whole multiples of $1,000 in excess of $2,000; except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also apply to portions of Notes called for redemption.</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Notes of $2,000 or less shall be redeemed in part. Notices of redemption shall be mailed by first class mail or delivered electronically at least 10 but not more than 60 days before the redemption date to each Holder of Notes to be redeemed at its registered address, except that redemption notices may be mailed or delivered electronically more than 60 days prior to a redemption date if the notice is issued in connection with a defeasance of the Notes or a satisfaction and discharge of this Indenture.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firstLine="648"/>
        <w:spacing w:after="0" w:line="275" w:lineRule="auto"/>
        <w:rPr>
          <w:sz w:val="20"/>
          <w:szCs w:val="20"/>
          <w:color w:val="auto"/>
        </w:rPr>
      </w:pPr>
      <w:r>
        <w:rPr>
          <w:rFonts w:ascii="Arial" w:cs="Arial" w:eastAsia="Arial" w:hAnsi="Arial"/>
          <w:sz w:val="17"/>
          <w:szCs w:val="17"/>
          <w:color w:val="auto"/>
        </w:rPr>
        <w:t>If any Note is to be redeemed in part only, the notice of redemption that relates to that Note shall state the portion of the principal amount of that Note that is to be redeemed. A new Note in principal amount equal to the unredeemed portion of the original Note shall be issued in the name of the Holder of Notes upon cancellation of the original Note. Notes called for redemption become due on the date fixed for redemption. On and after the redemption date, interest ceases to accrue on Notes or portions of them called for redemption, so long as the Company has deposited with the Paying Agent funds sufficient to pay the principal of, plus accrued and unpaid interest and premium, if any, on, the Notes to be redeemed.</w:t>
      </w:r>
    </w:p>
    <w:p>
      <w:pPr>
        <w:spacing w:after="0" w:line="17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i w:val="1"/>
          <w:iCs w:val="1"/>
          <w:color w:val="auto"/>
        </w:rPr>
        <w:t>Notice of Redemption.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least 10 days but not more than 60 days before a redemption date, the Company shall mail or cause to be mailed, by first class mail or delivered electronically, a notice of redemption to each Holder whose Notes are to be redeemed at its registered address, except that redemption notices may be mailed or delivered more than 60 days prior to a redemption date if the notice is issued in connection with a defeasance of the Notes or a satisfaction and discharge of this Indenture pursuant to Articles 8 or 11 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will identify the Notes to be redeemed and will state:</w:t>
      </w:r>
    </w:p>
    <w:p>
      <w:pPr>
        <w:spacing w:after="0" w:line="225" w:lineRule="exact"/>
        <w:rPr>
          <w:sz w:val="20"/>
          <w:szCs w:val="20"/>
          <w:color w:val="auto"/>
        </w:rPr>
      </w:pPr>
    </w:p>
    <w:p>
      <w:pPr>
        <w:ind w:left="1760" w:hanging="456"/>
        <w:spacing w:after="0"/>
        <w:tabs>
          <w:tab w:leader="none" w:pos="1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redemption price or, where the redemption price cannot be calculated at the time of such notice, the method of calculation</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jc w:val="both"/>
        <w:ind w:left="660" w:firstLine="644"/>
        <w:spacing w:after="0" w:line="263" w:lineRule="auto"/>
        <w:tabs>
          <w:tab w:leader="none" w:pos="176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w:t>
      </w:r>
    </w:p>
    <w:p>
      <w:pPr>
        <w:spacing w:after="0" w:line="183" w:lineRule="exact"/>
        <w:rPr>
          <w:rFonts w:ascii="Arial" w:cs="Arial" w:eastAsia="Arial" w:hAnsi="Arial"/>
          <w:sz w:val="18"/>
          <w:szCs w:val="18"/>
          <w:color w:val="auto"/>
        </w:rPr>
      </w:pPr>
    </w:p>
    <w:p>
      <w:pPr>
        <w:ind w:left="1760" w:hanging="456"/>
        <w:spacing w:after="0"/>
        <w:tabs>
          <w:tab w:leader="none" w:pos="1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76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on Notes called for redemption ceases to accrue on and after the redemption date;</w:t>
      </w:r>
    </w:p>
    <w:p>
      <w:pPr>
        <w:spacing w:after="0" w:line="170" w:lineRule="exact"/>
        <w:rPr>
          <w:rFonts w:ascii="Arial" w:cs="Arial" w:eastAsia="Arial" w:hAnsi="Arial"/>
          <w:sz w:val="18"/>
          <w:szCs w:val="18"/>
          <w:color w:val="auto"/>
        </w:rPr>
      </w:pPr>
    </w:p>
    <w:p>
      <w:pPr>
        <w:ind w:left="1760" w:hanging="456"/>
        <w:spacing w:after="0"/>
        <w:tabs>
          <w:tab w:leader="none" w:pos="17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paragraph of the Notes and/or Section of this Indenture pursuant to which the Notes called for redemption are being redeemed;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760" w:hanging="456"/>
        <w:spacing w:after="0"/>
        <w:tabs>
          <w:tab w:leader="none" w:pos="17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 printed on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At the Company’s request, the Trustee shall give the notice of redemption in the Company’s name and at its expense;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has delivered to the Trustee, at least four (4) Business Days prior to the date such notice of redemption is to be distributed to the Holders (or such shorter period as the Trustee in its sole discretion may allow), an Officers’ Certificate requesting that the Trustee give such notice and setting forth the information to be stated in such notice as provided in the preceding paragraph.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648"/>
        <w:spacing w:after="0" w:line="279" w:lineRule="auto"/>
        <w:rPr>
          <w:sz w:val="20"/>
          <w:szCs w:val="20"/>
          <w:color w:val="auto"/>
        </w:rPr>
      </w:pPr>
      <w:r>
        <w:rPr>
          <w:rFonts w:ascii="Arial" w:cs="Arial" w:eastAsia="Arial" w:hAnsi="Arial"/>
          <w:sz w:val="17"/>
          <w:szCs w:val="17"/>
          <w:color w:val="auto"/>
        </w:rPr>
        <w:t>Any redemption and notice thereof may, in the Company’s discretion, be subject to the satisfaction of one or more conditions precedent. If a redemption notice is subject to satisfaction of one or more conditions precedent, such notice will state that, at the Company’s discretion, the redemption date may be delayed until such time as any or all such conditions are satisfied, or such redemption may not occur and such notice may be rescinded in the event that any or all such conditions have not been satisfied by the redemption date, or by the redemption date so delayed.</w:t>
      </w:r>
    </w:p>
    <w:p>
      <w:pPr>
        <w:spacing w:after="0" w:line="17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i w:val="1"/>
          <w:iCs w:val="1"/>
          <w:color w:val="auto"/>
        </w:rPr>
        <w:t>Effect of Notice of Redemption.</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Once notice of redemption is mailed or delivered in accordance with Section 3.03 hereof, Notes called for redemption become, subject to any conditions precedent set forth in the notice of redemption, irrevocably due and payable on the redemption date at the redemption price.</w:t>
      </w:r>
    </w:p>
    <w:p>
      <w:pPr>
        <w:spacing w:after="0" w:line="1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i w:val="1"/>
          <w:iCs w:val="1"/>
          <w:color w:val="auto"/>
        </w:rPr>
        <w:t>Deposit of Redemption or Purchase Price.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later than 10:00 a.m. Eastern time on the redemption or purchase date, the Company shall deposit with the Trustee or with the Paying Agent money sufficient to pay the redemption or purchase price of, accrued interest and premium, if any, on all Notes to be redeemed or purchased on that date. Promptly after the Company’s written request, the Trustee or the Paying Agent shall promptly return to the Company any money deposited with the Trustee or the Paying Agent by the Company in excess of the amounts necessary to pay the redemption or purchase price of accrued interest and premium, if any, on, all Notes to be redeemed or purchased.</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9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i w:val="1"/>
          <w:iCs w:val="1"/>
          <w:color w:val="auto"/>
        </w:rPr>
        <w:t>Notes Redeemed or Purchased in Part.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surrender of a Note that is redeemed or purchased in part, the Company shall issue and, upon receipt of an Authentication Order, the Trustee shall authenticate for the Holder at the expense of the Company a new Note equal in principal amount to the unredeemed or unpurchased portion of the Note surrendered.</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i w:val="1"/>
          <w:iCs w:val="1"/>
          <w:color w:val="auto"/>
        </w:rPr>
        <w:t>Optional Redemption.</w:t>
      </w:r>
    </w:p>
    <w:p>
      <w:pPr>
        <w:spacing w:after="0" w:line="225" w:lineRule="exact"/>
        <w:rPr>
          <w:sz w:val="20"/>
          <w:szCs w:val="20"/>
          <w:color w:val="auto"/>
        </w:rPr>
      </w:pPr>
    </w:p>
    <w:p>
      <w:pPr>
        <w:jc w:val="both"/>
        <w:ind w:firstLine="656"/>
        <w:spacing w:after="0" w:line="257" w:lineRule="auto"/>
        <w:tabs>
          <w:tab w:leader="none" w:pos="1063"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At any time prior to February 15, 2024, the Company may on any one or more occasions redeem up to 40% of the aggregate principal amount of the Notes, upon not less than 10 nor more than 60 days’ prior notice, at a redemption price equal to 103.750%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7" w:lineRule="exact"/>
        <w:rPr>
          <w:rFonts w:ascii="Arial" w:cs="Arial" w:eastAsia="Arial" w:hAnsi="Arial"/>
          <w:sz w:val="18"/>
          <w:szCs w:val="18"/>
          <w:color w:val="auto"/>
        </w:rPr>
      </w:pPr>
    </w:p>
    <w:p>
      <w:pPr>
        <w:ind w:left="660" w:firstLine="644"/>
        <w:spacing w:after="0" w:line="277" w:lineRule="auto"/>
        <w:tabs>
          <w:tab w:leader="none" w:pos="176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at least 50% of the aggregate principal amount of Notes originally issued under this Indenture (excluding Notes held by the Company, its Subsidiaries and parent entities) remains outstanding immediately after the occurrence of such redemption; and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ind w:left="1740" w:hanging="456"/>
        <w:spacing w:after="0"/>
        <w:tabs>
          <w:tab w:leader="none" w:pos="17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redemption occurs within 180 days of the date of the closing of such equity offering.</w:t>
      </w:r>
    </w:p>
    <w:p>
      <w:pPr>
        <w:spacing w:after="0" w:line="225" w:lineRule="exact"/>
        <w:rPr>
          <w:rFonts w:ascii="Arial" w:cs="Arial" w:eastAsia="Arial" w:hAnsi="Arial"/>
          <w:sz w:val="18"/>
          <w:szCs w:val="18"/>
          <w:color w:val="auto"/>
        </w:rPr>
      </w:pPr>
    </w:p>
    <w:p>
      <w:pPr>
        <w:jc w:val="both"/>
        <w:ind w:left="-20" w:firstLine="656"/>
        <w:spacing w:after="0" w:line="259" w:lineRule="auto"/>
        <w:tabs>
          <w:tab w:leader="none" w:pos="10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any time prior to February 15, 2026, the Company may on any one or more occasions redeem all or a part of the Notes, upon not less than 10 nor more than 60 days’ prior notice, at a redemption price equal to 100% of the principal amount of the Notes redeemed, plus the Applicable Premium as of, and accrued and unpaid interest, if any, to the applicable redemption date, subject to the rights of Holders on the relevant record date to receive interest due on the relevant interest payment date.</w:t>
      </w:r>
    </w:p>
    <w:p>
      <w:pPr>
        <w:spacing w:after="0" w:line="186" w:lineRule="exact"/>
        <w:rPr>
          <w:rFonts w:ascii="Arial" w:cs="Arial" w:eastAsia="Arial" w:hAnsi="Arial"/>
          <w:sz w:val="18"/>
          <w:szCs w:val="18"/>
          <w:color w:val="auto"/>
        </w:rPr>
      </w:pPr>
    </w:p>
    <w:p>
      <w:pPr>
        <w:ind w:left="1080" w:hanging="444"/>
        <w:spacing w:after="0"/>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Except pursuant to the preceding paragraphs, the Notes will not be redeemable at the Company’s option prior to February 15, 2026.</w:t>
      </w:r>
    </w:p>
    <w:p>
      <w:pPr>
        <w:spacing w:after="0" w:line="236" w:lineRule="exact"/>
        <w:rPr>
          <w:rFonts w:ascii="Arial" w:cs="Arial" w:eastAsia="Arial" w:hAnsi="Arial"/>
          <w:sz w:val="17"/>
          <w:szCs w:val="17"/>
          <w:color w:val="auto"/>
        </w:rPr>
      </w:pPr>
    </w:p>
    <w:p>
      <w:pPr>
        <w:jc w:val="both"/>
        <w:ind w:left="-20" w:firstLine="656"/>
        <w:spacing w:after="0" w:line="279" w:lineRule="auto"/>
        <w:tabs>
          <w:tab w:leader="none" w:pos="1085" w:val="left"/>
        </w:tabs>
        <w:numPr>
          <w:ilvl w:val="0"/>
          <w:numId w:val="62"/>
        </w:numPr>
        <w:rPr>
          <w:rFonts w:ascii="Arial" w:cs="Arial" w:eastAsia="Arial" w:hAnsi="Arial"/>
          <w:sz w:val="17"/>
          <w:szCs w:val="17"/>
          <w:color w:val="auto"/>
        </w:rPr>
      </w:pPr>
      <w:r>
        <w:rPr>
          <w:rFonts w:ascii="Arial" w:cs="Arial" w:eastAsia="Arial" w:hAnsi="Arial"/>
          <w:sz w:val="17"/>
          <w:szCs w:val="17"/>
          <w:color w:val="auto"/>
        </w:rPr>
        <w:t>On or after February 15, 2026, the Company may on any one or more occasions redeem all or a part of the Notes, upon not less than 10 nor more than 60 days’ prior notice, at the redemption prices (expressed as percentages of principal amount) set forth below, plus accrued and unpaid interest, if any, on the Notes redeemed, to the applicable date of redemption, if redeemed during the 12-month period beginning on February 15 of the years indicated below, subject to the rights of Holders on the relevant record date to receive interest on the relevant interest payment date:</w:t>
      </w:r>
    </w:p>
    <w:p>
      <w:pPr>
        <w:spacing w:after="0" w:line="185"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w:t>
            </w:r>
          </w:p>
        </w:tc>
        <w:tc>
          <w:tcPr>
            <w:tcW w:w="20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Percentage</w:t>
            </w:r>
          </w:p>
        </w:tc>
        <w:tc>
          <w:tcPr>
            <w:tcW w:w="160" w:type="dxa"/>
            <w:vAlign w:val="bottom"/>
            <w:tcBorders>
              <w:bottom w:val="single" w:sz="8" w:color="CCEEFF"/>
            </w:tcBorders>
          </w:tcPr>
          <w:p>
            <w:pPr>
              <w:spacing w:after="0"/>
              <w:rPr>
                <w:sz w:val="20"/>
                <w:szCs w:val="20"/>
                <w:color w:val="auto"/>
              </w:rPr>
            </w:pPr>
          </w:p>
        </w:tc>
      </w:tr>
      <w:tr>
        <w:trPr>
          <w:trHeight w:val="209"/>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101.875%</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18"/>
                <w:szCs w:val="18"/>
                <w:color w:val="auto"/>
              </w:rPr>
            </w:pP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101.250%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100.625%</w:t>
            </w: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2029 and thereafter</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r>
    </w:tbl>
    <w:p>
      <w:pPr>
        <w:spacing w:after="0" w:line="187" w:lineRule="exact"/>
        <w:rPr>
          <w:sz w:val="20"/>
          <w:szCs w:val="20"/>
          <w:color w:val="auto"/>
        </w:rPr>
      </w:pPr>
    </w:p>
    <w:p>
      <w:pPr>
        <w:ind w:left="1080" w:hanging="44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redemption pursuant to this Section 3.07 shall be made pursuant to the provisions of Sections 3.01 through 3.06 hereof.</w:t>
      </w:r>
    </w:p>
    <w:p>
      <w:pPr>
        <w:spacing w:after="0" w:line="225" w:lineRule="exact"/>
        <w:rPr>
          <w:rFonts w:ascii="Arial" w:cs="Arial" w:eastAsia="Arial" w:hAnsi="Arial"/>
          <w:sz w:val="18"/>
          <w:szCs w:val="18"/>
          <w:color w:val="auto"/>
        </w:rPr>
      </w:pPr>
    </w:p>
    <w:p>
      <w:pPr>
        <w:ind w:left="-20" w:firstLine="656"/>
        <w:spacing w:after="0" w:line="277" w:lineRule="auto"/>
        <w:tabs>
          <w:tab w:leader="none" w:pos="10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provisions of this Article 3 do not prohibit the Company or its affiliates from acquiring the Notes in market transactions by means other than a redemption, whether pursuant to a tender offer or otherwise.</w:t>
      </w:r>
    </w:p>
    <w:p>
      <w:pPr>
        <w:spacing w:after="0" w:line="170" w:lineRule="exact"/>
        <w:rPr>
          <w:rFonts w:ascii="Arial" w:cs="Arial" w:eastAsia="Arial" w:hAnsi="Arial"/>
          <w:sz w:val="18"/>
          <w:szCs w:val="18"/>
          <w:color w:val="auto"/>
        </w:rPr>
      </w:pPr>
    </w:p>
    <w:p>
      <w:pPr>
        <w:jc w:val="both"/>
        <w:ind w:left="-20" w:firstLine="656"/>
        <w:spacing w:after="0" w:line="288" w:lineRule="auto"/>
        <w:tabs>
          <w:tab w:leader="none" w:pos="1063"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Article 3, in connection with any tender offer for, or other offer to purchase, the Notes, if Holders of not less than 90.0% in aggregate principal amount of the outstanding Notes validly tender and do not withdraw such Notes in such tender offer (or other offer to purchase) and the Company, or any third party making such a tender offer (or other offer to purchase) in lieu of the Company, purchases all of the Notes validly tendered and not withdrawn by such Holders, the Company will have the right, upon not less than 10 nor more than 60 days’ prior notice, given not more than 30 days following such tender offer expiration date (or purchase date pursuant to such other offer), to redeem all Notes that remain outstanding following such purchase at a redemption price in cash equal to the price paid to each other Holder (excluding any early tender, incentive or similar fee) in such tender offer (or other offer to purchase), plus, to the extent not included in the tender offer payment (or payment pursuant to another offer to purchase), accrued and unpaid interest, if any, to the date of redemption. In determining whether the Holders of at least 90.0% of the aggregate principal of the then outstanding Notes have validly tendered and not withdrawn such Notes in a tender offer or other offer to purchase, such calculation shall include all Notes owned by an Affiliate of the Company (notwithstanding any provision of this Indenture to the contrary).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43" w:name="page44"/>
    <w:bookmarkEnd w:id="43"/>
    <w:p>
      <w:pPr>
        <w:spacing w:after="0"/>
        <w:tabs>
          <w:tab w:leader="none" w:pos="112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i w:val="1"/>
          <w:iCs w:val="1"/>
          <w:color w:val="auto"/>
        </w:rPr>
        <w:t>Mandatory Redemption.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not required to make mandatory redemption or sinking fund payments with respect to the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purposes of the Notes, Article 4 hereof provides the terms of the various covenants to which the Notes are subject. For purposes of any Additional Securities issued under this Indenture, the Supplemental Indenture in respect of such Additional Securities will specify the terms of the covenants to which such Additional Securities are subject, which may include some, all or none of the covenants contained in this Article 4 hereof.</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5"/>
          <w:szCs w:val="15"/>
          <w:i w:val="1"/>
          <w:iCs w:val="1"/>
          <w:color w:val="auto"/>
        </w:rPr>
        <w:t>Payment of Notes.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shall pay or cause to be paid the principal of, premium, if any, and interest on, the Notes on the dates and in the manner provided in the Notes. Principal, premium, if any, and interest will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then due.</w:t>
      </w:r>
    </w:p>
    <w:p>
      <w:pPr>
        <w:spacing w:after="0" w:line="1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i w:val="1"/>
          <w:iCs w:val="1"/>
          <w:color w:val="auto"/>
        </w:rPr>
        <w:t>Maintenance of Office or Agency.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will maintain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may also from time to time designate one or more other offices or agencies where the Notes may be presented or surrendered for any or all such purposes and may from time to time rescind such designations. The Company will give prompt written notice to the Trustee of any such designation or rescission and of any change in the location of any such other office or agency.</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hereby designates the Corporate Trust Office of the Trustee as one such office or agency of the Company in accordance with Section 2.03 hereof.</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5"/>
          <w:szCs w:val="15"/>
          <w:i w:val="1"/>
          <w:iCs w:val="1"/>
          <w:color w:val="auto"/>
        </w:rPr>
        <w:t>Reports.</w:t>
      </w:r>
    </w:p>
    <w:p>
      <w:pPr>
        <w:spacing w:after="0" w:line="225" w:lineRule="exact"/>
        <w:rPr>
          <w:sz w:val="20"/>
          <w:szCs w:val="20"/>
          <w:color w:val="auto"/>
        </w:rPr>
      </w:pPr>
    </w:p>
    <w:p>
      <w:pPr>
        <w:ind w:firstLine="656"/>
        <w:spacing w:after="0" w:line="277" w:lineRule="auto"/>
        <w:tabs>
          <w:tab w:leader="none" w:pos="10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or not required by the SEC’s rules and regulations, so long as any Notes are outstanding, the Company shall furnish or cause to be furnished to Holders, within the time periods (including any extensions thereof) specified in the SEC’s rules and regulations:</w:t>
      </w:r>
    </w:p>
    <w:p>
      <w:pPr>
        <w:spacing w:after="0" w:line="170" w:lineRule="exact"/>
        <w:rPr>
          <w:rFonts w:ascii="Arial" w:cs="Arial" w:eastAsia="Arial" w:hAnsi="Arial"/>
          <w:sz w:val="18"/>
          <w:szCs w:val="18"/>
          <w:color w:val="auto"/>
        </w:rPr>
      </w:pPr>
    </w:p>
    <w:p>
      <w:pPr>
        <w:ind w:left="660" w:firstLine="644"/>
        <w:spacing w:after="0" w:line="277" w:lineRule="auto"/>
        <w:tabs>
          <w:tab w:leader="none" w:pos="1765"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the Company were required to file such reports;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current reports that would be required to be filed with the SEC on Form 8-K if the Company were required to file such reports.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firstLine="648"/>
        <w:spacing w:after="0" w:line="259" w:lineRule="auto"/>
        <w:rPr>
          <w:sz w:val="20"/>
          <w:szCs w:val="20"/>
          <w:color w:val="auto"/>
        </w:rPr>
      </w:pPr>
      <w:r>
        <w:rPr>
          <w:rFonts w:ascii="Arial" w:cs="Arial" w:eastAsia="Arial" w:hAnsi="Arial"/>
          <w:sz w:val="18"/>
          <w:szCs w:val="18"/>
          <w:color w:val="auto"/>
        </w:rPr>
        <w:t>All such reports shall be prepared in all material respects in accordance with all of the rules and regulations applicable to such reports. Each annual report on Form 10-K will include a report on the Company’s consolidated financial statements by the Company’s independent registered public accounting firm. To the extent the reports referred to in clauses (1) and (2) above are filed with the SEC for public availability, the reports will be deemed to be furnished to the Trustee and Holders of Notes.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the Company is no longer subject to the periodic reporting requirements of the Exchange Act for any reason, the Company shall nevertheless continue filing the reports specified in this Section 4.03(a) with the SEC within the time periods specified above unless the SEC will not accept such a filing. The Company agrees that it shall not take any action for the purpose of causing the SEC not to accept any such filings. If, notwithstanding the foregoing, the SEC will not accept the Company’s filings for any reason, the Company shall post the reports referred to in this Section 4.03(a) on the website of Clearway Energy, Inc. within the time periods that would apply if the Company were required to file those reports with the SEC.</w:t>
      </w:r>
    </w:p>
    <w:p>
      <w:pPr>
        <w:spacing w:after="0" w:line="161" w:lineRule="exact"/>
        <w:rPr>
          <w:sz w:val="20"/>
          <w:szCs w:val="20"/>
          <w:color w:val="auto"/>
        </w:rPr>
      </w:pPr>
    </w:p>
    <w:p>
      <w:pPr>
        <w:jc w:val="both"/>
        <w:ind w:firstLine="656"/>
        <w:spacing w:after="0" w:line="311" w:lineRule="auto"/>
        <w:tabs>
          <w:tab w:leader="none" w:pos="1105" w:val="left"/>
        </w:tabs>
        <w:numPr>
          <w:ilvl w:val="0"/>
          <w:numId w:val="65"/>
        </w:numPr>
        <w:rPr>
          <w:rFonts w:ascii="Arial" w:cs="Arial" w:eastAsia="Arial" w:hAnsi="Arial"/>
          <w:sz w:val="16"/>
          <w:szCs w:val="16"/>
          <w:color w:val="auto"/>
        </w:rPr>
      </w:pPr>
      <w:r>
        <w:rPr>
          <w:rFonts w:ascii="Arial" w:cs="Arial" w:eastAsia="Arial" w:hAnsi="Arial"/>
          <w:sz w:val="16"/>
          <w:szCs w:val="16"/>
          <w:color w:val="auto"/>
        </w:rPr>
        <w:t>So long as the Parent Guarantor continues to own, directly or indirectly, all of the Equity Interests of the Company, the Parent Guarantor may elect to prepare and file and furnish the quarterly, annual and current reports and consolidated financial statements referred to above in respect of the Parent Guarantor and such reports and consolidated financial statements will be deemed to satisfy the obligations of the Company under this Section 4.03.</w:t>
      </w:r>
    </w:p>
    <w:p>
      <w:pPr>
        <w:spacing w:after="0" w:line="148" w:lineRule="exact"/>
        <w:rPr>
          <w:rFonts w:ascii="Arial" w:cs="Arial" w:eastAsia="Arial" w:hAnsi="Arial"/>
          <w:sz w:val="16"/>
          <w:szCs w:val="16"/>
          <w:color w:val="auto"/>
        </w:rPr>
      </w:pPr>
    </w:p>
    <w:p>
      <w:pPr>
        <w:jc w:val="both"/>
        <w:ind w:firstLine="656"/>
        <w:spacing w:after="0" w:line="286" w:lineRule="auto"/>
        <w:tabs>
          <w:tab w:leader="none" w:pos="1095"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 addition, the Company and the Guarantors agree that, for so long as any Notes remain outstanding, at any time they are not required to file the reports required by the preceding paragraphs with the Commission, they shall furnish to the Holders and to securities analysts and prospective investors, upon their request, the information required to be delivered pursuant to Rule 144A(d)(4) under the Securities Act.</w:t>
      </w:r>
    </w:p>
    <w:p>
      <w:pPr>
        <w:spacing w:after="0" w:line="16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i w:val="1"/>
          <w:iCs w:val="1"/>
          <w:color w:val="auto"/>
        </w:rPr>
        <w:t>Compliance Certificate.</w:t>
      </w:r>
    </w:p>
    <w:p>
      <w:pPr>
        <w:spacing w:after="0" w:line="225" w:lineRule="exact"/>
        <w:rPr>
          <w:sz w:val="20"/>
          <w:szCs w:val="20"/>
          <w:color w:val="auto"/>
        </w:rPr>
      </w:pPr>
    </w:p>
    <w:p>
      <w:pPr>
        <w:jc w:val="both"/>
        <w:ind w:firstLine="656"/>
        <w:spacing w:after="0" w:line="270" w:lineRule="auto"/>
        <w:tabs>
          <w:tab w:leader="none" w:pos="1092"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Company shall deliver to the Trustee, within 90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premium, if any, and interest, if any, on the Notes is prohibited or if such event has occurred, a description of the event and what action the Company is taking or proposes to take with respect thereto.</w:t>
      </w:r>
    </w:p>
    <w:p>
      <w:pPr>
        <w:spacing w:after="0" w:line="180" w:lineRule="exact"/>
        <w:rPr>
          <w:rFonts w:ascii="Arial" w:cs="Arial" w:eastAsia="Arial" w:hAnsi="Arial"/>
          <w:sz w:val="17"/>
          <w:szCs w:val="17"/>
          <w:color w:val="auto"/>
        </w:rPr>
      </w:pPr>
    </w:p>
    <w:p>
      <w:pPr>
        <w:jc w:val="both"/>
        <w:ind w:firstLine="656"/>
        <w:spacing w:after="0" w:line="263" w:lineRule="auto"/>
        <w:tabs>
          <w:tab w:leader="none" w:pos="11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So long as any of the Notes are outstanding, the Company shall deliver to the Trustee, promptly after any Officer becoming aware of any Default or Event of Default, an Officers’ Certificate specifying such Default or Event of Default and what action the Company is taking or proposes to take with respect thereto.</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spacing w:after="0"/>
        <w:tabs>
          <w:tab w:leader="none" w:pos="112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3"/>
          <w:szCs w:val="13"/>
          <w:i w:val="1"/>
          <w:iCs w:val="1"/>
          <w:color w:val="auto"/>
        </w:rPr>
        <w:t>Taxes.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shall pay, and shall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w:t>
      </w:r>
    </w:p>
    <w:p>
      <w:pPr>
        <w:spacing w:after="0" w:line="18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i w:val="1"/>
          <w:iCs w:val="1"/>
          <w:color w:val="auto"/>
        </w:rPr>
        <w:t>Stay, Extension and Usury Laws.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and each of the Guarantors covenants (to the extent that it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the Indenture; and the Company and each of the Guarantors (to the extent that they may lawfully do so) hereby expressly waive all benefit or advantage of any such law, and covenant that they shall not, by resort to any such law, hinder, delay or impede the execution of any power herein granted to the Trustee, but shall suffer and permit the execution of every such power as though no such law has been enacted.</w:t>
      </w:r>
    </w:p>
    <w:p>
      <w:pPr>
        <w:spacing w:after="0" w:line="1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5"/>
          <w:szCs w:val="15"/>
          <w:i w:val="1"/>
          <w:iCs w:val="1"/>
          <w:color w:val="auto"/>
        </w:rPr>
        <w:t>Liens.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The Company will not, and will not permit any Subsidiary Guarantor, to create or permit to exist any Lien upon any Principal Property owned by the Company or any Subsidiary Guarantor or upon any Equity Interests issued by, or Indebtedness of, any direct or indirect Subsidiary of the Company that directly or indirectly owns Principal Property to secure any Indebtedness of the Company or any Subsidiary Guarantor without providing for the Notes to be equally and ratably secured with (or prior to) any and all such Indebtedness and any other Indebtedness similarly entitled to be equally and ratably secured for so long as such Indebtedness is so secured;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restriction will not apply to, or prevent the creation or existence of:</w:t>
      </w:r>
    </w:p>
    <w:p>
      <w:pPr>
        <w:spacing w:after="0" w:line="161" w:lineRule="exact"/>
        <w:rPr>
          <w:sz w:val="20"/>
          <w:szCs w:val="20"/>
          <w:color w:val="auto"/>
        </w:rPr>
      </w:pPr>
    </w:p>
    <w:p>
      <w:pPr>
        <w:jc w:val="both"/>
        <w:ind w:left="660" w:firstLine="644"/>
        <w:spacing w:after="0" w:line="286" w:lineRule="auto"/>
        <w:tabs>
          <w:tab w:leader="none" w:pos="1788" w:val="left"/>
        </w:tabs>
        <w:numPr>
          <w:ilvl w:val="1"/>
          <w:numId w:val="67"/>
        </w:numPr>
        <w:rPr>
          <w:rFonts w:ascii="Arial" w:cs="Arial" w:eastAsia="Arial" w:hAnsi="Arial"/>
          <w:sz w:val="17"/>
          <w:szCs w:val="17"/>
          <w:color w:val="auto"/>
        </w:rPr>
      </w:pPr>
      <w:r>
        <w:rPr>
          <w:rFonts w:ascii="Arial" w:cs="Arial" w:eastAsia="Arial" w:hAnsi="Arial"/>
          <w:sz w:val="17"/>
          <w:szCs w:val="17"/>
          <w:color w:val="auto"/>
        </w:rPr>
        <w:t>Liens securing Indebtedness of the Company or any Subsidiary Guarantor under one or more Credit Facilities in an aggregate principal amount pursuant to this clause (1), measured as of the date of creation of any such Lien and the date of incurrence of any such Indebtedness, not exceeding the greatest of (a) 20% of Total Assets, (b) $1.0 billion and (c) 2.5 times Adjusted LTM CAFD;</w:t>
      </w:r>
    </w:p>
    <w:p>
      <w:pPr>
        <w:spacing w:after="0" w:line="165" w:lineRule="exact"/>
        <w:rPr>
          <w:rFonts w:ascii="Arial" w:cs="Arial" w:eastAsia="Arial" w:hAnsi="Arial"/>
          <w:sz w:val="17"/>
          <w:szCs w:val="17"/>
          <w:color w:val="auto"/>
        </w:rPr>
      </w:pPr>
    </w:p>
    <w:p>
      <w:pPr>
        <w:ind w:left="1820" w:hanging="516"/>
        <w:spacing w:after="0"/>
        <w:tabs>
          <w:tab w:leader="none" w:pos="18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Existing Liens;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Liens securing Indebtedness of any Person that (a) is acquired by the Company or any of its Subsidiaries after the date hereof,</w:t>
      </w:r>
    </w:p>
    <w:p>
      <w:pPr>
        <w:spacing w:after="0" w:line="46" w:lineRule="exact"/>
        <w:rPr>
          <w:rFonts w:ascii="Arial" w:cs="Arial" w:eastAsia="Arial" w:hAnsi="Arial"/>
          <w:sz w:val="16"/>
          <w:szCs w:val="16"/>
          <w:color w:val="auto"/>
        </w:rPr>
      </w:pPr>
    </w:p>
    <w:p>
      <w:pPr>
        <w:jc w:val="both"/>
        <w:ind w:left="660" w:hanging="4"/>
        <w:spacing w:after="0" w:line="271" w:lineRule="auto"/>
        <w:tabs>
          <w:tab w:leader="none" w:pos="915"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is merged or amalgamated with or into the Company or any of its Subsidiaries after the date hereof or (c) becomes consolidated in the financial statements of the Company or any of its Subsidiaries after the date hereof in accordance with GAAP;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each case contemplated by this clause (3), such Indebtedness was not incurred in contemplation of such acquisition, merger, amalgamation or consolidation and is only secured by Liens on the Equity Interests and assets of, the Person (and Subsidiaries of the Person) acquired by, or merged or amalgamated with or into, or consolidated in the financial statements of, the Company or any of its Subsidiaries;</w:t>
      </w:r>
    </w:p>
    <w:p>
      <w:pPr>
        <w:spacing w:after="0" w:line="178" w:lineRule="exact"/>
        <w:rPr>
          <w:rFonts w:ascii="Arial" w:cs="Arial" w:eastAsia="Arial" w:hAnsi="Arial"/>
          <w:sz w:val="17"/>
          <w:szCs w:val="17"/>
          <w:color w:val="auto"/>
        </w:rPr>
      </w:pPr>
    </w:p>
    <w:p>
      <w:pPr>
        <w:jc w:val="both"/>
        <w:ind w:left="660" w:firstLine="644"/>
        <w:spacing w:after="0" w:line="296" w:lineRule="auto"/>
        <w:tabs>
          <w:tab w:leader="none" w:pos="1788"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Liens securing Indebtedness of the Company or any Subsidiary Guarantor incurred to finance (whether prior to or within 365 days after) the acquisition, construction or improvement of assets (whether through the direct purchase of assets or through the purchase of the Equity Interests of any Person owning such assets or through an acquisition of any such Person by merger);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Indebtedness is only secured by Liens on the Equity Interests and assets acquired, constructed or improved in such financing (and related contracts, intangibles, and other assets that are incidental thereto or arise therefrom (including accessions thereto and replacements or proceeds thereof));</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left="1760" w:hanging="456"/>
        <w:spacing w:after="0"/>
        <w:tabs>
          <w:tab w:leader="none" w:pos="1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Liens in favor of the Company or any of its Subsidiaries;</w:t>
      </w:r>
    </w:p>
    <w:p>
      <w:pPr>
        <w:spacing w:after="0" w:line="225" w:lineRule="exact"/>
        <w:rPr>
          <w:rFonts w:ascii="Arial" w:cs="Arial" w:eastAsia="Arial" w:hAnsi="Arial"/>
          <w:sz w:val="18"/>
          <w:szCs w:val="18"/>
          <w:color w:val="auto"/>
        </w:rPr>
      </w:pPr>
    </w:p>
    <w:p>
      <w:pPr>
        <w:ind w:left="660" w:firstLine="644"/>
        <w:spacing w:after="0" w:line="277" w:lineRule="auto"/>
        <w:tabs>
          <w:tab w:leader="none" w:pos="17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Liens securing Hedging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agreements were not entered into for speculative purposes (as determined by the Company in its reasonable discretion acting in good faith);</w:t>
      </w:r>
    </w:p>
    <w:p>
      <w:pPr>
        <w:spacing w:after="0" w:line="170" w:lineRule="exact"/>
        <w:rPr>
          <w:rFonts w:ascii="Arial" w:cs="Arial" w:eastAsia="Arial" w:hAnsi="Arial"/>
          <w:sz w:val="18"/>
          <w:szCs w:val="18"/>
          <w:color w:val="auto"/>
        </w:rPr>
      </w:pPr>
    </w:p>
    <w:p>
      <w:pPr>
        <w:ind w:left="1760" w:hanging="456"/>
        <w:spacing w:after="0"/>
        <w:tabs>
          <w:tab w:leader="none" w:pos="1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Liens relating to current or future escrow arrangements securing Indebtedness of the Company or any Guarantor;</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7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Liens to secure Environmental CapEx Debt or Necessary CapEx Debt that encumber only the assets purchased, installed or otherwise acquired with the proceeds of such Environmental CapEx Debt or Necessary CapEx Debt;</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the Company or any Guarantor, including rights of offset and set-off;</w:t>
      </w:r>
    </w:p>
    <w:p>
      <w:pPr>
        <w:spacing w:after="0" w:line="170" w:lineRule="exact"/>
        <w:rPr>
          <w:rFonts w:ascii="Arial" w:cs="Arial" w:eastAsia="Arial" w:hAnsi="Arial"/>
          <w:sz w:val="18"/>
          <w:szCs w:val="18"/>
          <w:color w:val="auto"/>
        </w:rPr>
      </w:pPr>
    </w:p>
    <w:p>
      <w:pPr>
        <w:ind w:left="1800" w:hanging="496"/>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Refinancing Liens;</w:t>
      </w:r>
    </w:p>
    <w:p>
      <w:pPr>
        <w:spacing w:after="0" w:line="225" w:lineRule="exact"/>
        <w:rPr>
          <w:rFonts w:ascii="Arial" w:cs="Arial" w:eastAsia="Arial" w:hAnsi="Arial"/>
          <w:sz w:val="18"/>
          <w:szCs w:val="18"/>
          <w:color w:val="auto"/>
        </w:rPr>
      </w:pPr>
    </w:p>
    <w:p>
      <w:pPr>
        <w:ind w:left="1800" w:hanging="496"/>
        <w:spacing w:after="0"/>
        <w:tabs>
          <w:tab w:leader="none" w:pos="18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Liens on the stock or assets of Project Subsidiaries securing Project Debt or Tax Equity Financing of one or more Project</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jc w:val="both"/>
        <w:ind w:left="660" w:firstLine="644"/>
        <w:spacing w:after="0" w:line="257" w:lineRule="auto"/>
        <w:tabs>
          <w:tab w:leader="none" w:pos="181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Liens on cash and cash equivalents securing Indebtedness incurred to finance an acquisition of assets or a business or multiple businesses;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within 180 days from the date the related Indebtedness was Incurred, such cash or cash equivalents are used to (a) fund the acquisition (or a similar transaction), including any related fees and expenses, and the related Indebtedness is (1) secured by Liens otherwise permitted under this Section 4.07 or (2) unsecured; or (b) retire or repay the Indebtedness that it secures and to pay any related fees and expenses; and</w:t>
      </w:r>
    </w:p>
    <w:p>
      <w:pPr>
        <w:spacing w:after="0" w:line="187" w:lineRule="exact"/>
        <w:rPr>
          <w:rFonts w:ascii="Arial" w:cs="Arial" w:eastAsia="Arial" w:hAnsi="Arial"/>
          <w:sz w:val="18"/>
          <w:szCs w:val="18"/>
          <w:color w:val="auto"/>
        </w:rPr>
      </w:pPr>
    </w:p>
    <w:p>
      <w:pPr>
        <w:jc w:val="both"/>
        <w:ind w:left="660" w:firstLine="644"/>
        <w:spacing w:after="0" w:line="263" w:lineRule="auto"/>
        <w:tabs>
          <w:tab w:leader="none" w:pos="181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other Liens, in addition to those permitted in clauses (1) through (12) above, securing Indebtedness of the Company or any Subsidiary Guarantor having an aggregate principal amount, measured as of the date of creation of any such Lien and the date of incurrence of any such Indebtedness, not to exceed the greater of (i) 2.0% of Total Assets and (ii) $100.0 million.</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Liens securing Indebtedness under the Credit Agreement existing on the date of this Indenture will be deemed to have been incurred on such date in reliance on the exception provided by clause (1) above. For purposes of determining compliance with this Section 4.07, in the event that a proposed Lien meets the criteria of more than one of the categories of Liens described in clauses (1) through (13) above, the Company (a) will be permitted (i) to classify such Lien on the date of its incurrence, or later reclassify all or a portion of such Lien, in any manner that complies with this Section 4.07 and (ii) divide and redivide the amount of such Lien arising among more than one of such clauses and (b) will only be required to include such Lien in one of any such clauses.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the Company or any Subsidiary Guarantor proposes to create or permit to exist any Lien upon any Principal Property owned by the Company or any Subsidiary Guarantor or upon any Equity Interests or Indebtedness of any direct or indirect Subsidiary of the Company that directly or indirectly owns Principal Property to secure any Indebtedness, other than as permitted by clauses (1) through (13) of the previous paragraph, the Company will give prior written notice thereof to the Trustee, who will give notice to the Holders of the Notes, and the Company will further agree, prior to or simultaneously with the creation of such Lien, effectively to secure all the Notes equally and ratably with (or prior to) such other Indebtedness, for so long as such other Indebtedness is so secured.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spacing w:after="0"/>
        <w:tabs>
          <w:tab w:leader="none" w:pos="114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i w:val="1"/>
          <w:iCs w:val="1"/>
          <w:color w:val="auto"/>
        </w:rPr>
        <w:t>Limited Liability Company Existence.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Article 5 hereof, the Company shall do or cause to be done all things necessary to preserve and keep in full force and effect:</w:t>
      </w:r>
    </w:p>
    <w:p>
      <w:pPr>
        <w:spacing w:after="0" w:line="237" w:lineRule="exact"/>
        <w:rPr>
          <w:sz w:val="20"/>
          <w:szCs w:val="20"/>
          <w:color w:val="auto"/>
        </w:rPr>
      </w:pPr>
    </w:p>
    <w:p>
      <w:pPr>
        <w:jc w:val="both"/>
        <w:ind w:left="660" w:firstLine="644"/>
        <w:spacing w:after="0" w:line="263" w:lineRule="auto"/>
        <w:tabs>
          <w:tab w:leader="none" w:pos="1788" w:val="left"/>
        </w:tabs>
        <w:numPr>
          <w:ilvl w:val="0"/>
          <w:numId w:val="70"/>
        </w:numPr>
        <w:rPr>
          <w:rFonts w:ascii="Arial" w:cs="Arial" w:eastAsia="Arial" w:hAnsi="Arial"/>
          <w:sz w:val="18"/>
          <w:szCs w:val="18"/>
          <w:color w:val="auto"/>
        </w:rPr>
      </w:pPr>
      <w:r>
        <w:rPr>
          <w:rFonts w:ascii="Arial" w:cs="Arial" w:eastAsia="Arial" w:hAnsi="Arial"/>
          <w:sz w:val="18"/>
          <w:szCs w:val="18"/>
          <w:color w:val="auto"/>
        </w:rPr>
        <w:t>its limited liability company existence, and the corporate, partnership or other existence, as applicable, of the Parent Guarantor and each of its Subsidiaries, in accordance with the respective organizational documents (as the same may be amended from time to time) of the Company, the Parent Guarantor or any such Subsidiary; and</w:t>
      </w:r>
    </w:p>
    <w:p>
      <w:pPr>
        <w:spacing w:after="0" w:line="183" w:lineRule="exact"/>
        <w:rPr>
          <w:rFonts w:ascii="Arial" w:cs="Arial" w:eastAsia="Arial" w:hAnsi="Arial"/>
          <w:sz w:val="18"/>
          <w:szCs w:val="18"/>
          <w:color w:val="auto"/>
        </w:rPr>
      </w:pPr>
    </w:p>
    <w:p>
      <w:pPr>
        <w:jc w:val="both"/>
        <w:ind w:left="660" w:firstLine="644"/>
        <w:spacing w:after="0" w:line="296" w:lineRule="auto"/>
        <w:tabs>
          <w:tab w:leader="none" w:pos="1765"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the rights (charter and statutory), licenses and franchises of the Company, the Parent Guarantor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required to preserve any such right, license or franchise, or the corporate, partnership or other existence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Parent Guarantor or any of its Subsidiaries, if (a) the Company shall determine that the preservation thereof is no longer desirable in the conduct of the business of the Company, the Parent Guarantor and its Subsidiaries, taken as a whole, and that the loss thereof is not adverse in any material respect to the Holders of the Notes or (b) if a Subsidiary is to be dissolved, such Subsidiary has no assets.</w:t>
      </w:r>
    </w:p>
    <w:p>
      <w:pPr>
        <w:spacing w:after="0" w:line="16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6"/>
          <w:szCs w:val="16"/>
          <w:i w:val="1"/>
          <w:iCs w:val="1"/>
          <w:color w:val="auto"/>
        </w:rPr>
        <w:t>Offer to Repurchase Upon Change of Control Triggering Event.</w:t>
      </w:r>
    </w:p>
    <w:p>
      <w:pPr>
        <w:spacing w:after="0" w:line="225" w:lineRule="exact"/>
        <w:rPr>
          <w:sz w:val="20"/>
          <w:szCs w:val="20"/>
          <w:color w:val="auto"/>
        </w:rPr>
      </w:pPr>
    </w:p>
    <w:p>
      <w:pPr>
        <w:jc w:val="both"/>
        <w:ind w:firstLine="656"/>
        <w:spacing w:after="0" w:line="273" w:lineRule="auto"/>
        <w:tabs>
          <w:tab w:leader="none" w:pos="1095"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Upon the occurrence of a Change of Control Triggering Event, the Company will make an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xml:space="preserve">) to each Holder to repurchase all or any part (equal to $2,000 or an integral multiple of $1,000 in excess of $2,000) of that Holder’s Notes at a 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Arial" w:cs="Arial" w:eastAsia="Arial" w:hAnsi="Arial"/>
          <w:sz w:val="17"/>
          <w:szCs w:val="17"/>
          <w:i w:val="1"/>
          <w:iCs w:val="1"/>
          <w:color w:val="auto"/>
        </w:rPr>
        <w:t>“Change</w:t>
      </w:r>
      <w:r>
        <w:rPr>
          <w:rFonts w:ascii="Arial" w:cs="Arial" w:eastAsia="Arial" w:hAnsi="Arial"/>
          <w:sz w:val="17"/>
          <w:szCs w:val="17"/>
          <w:color w:val="auto"/>
        </w:rPr>
        <w:t xml:space="preserve"> </w:t>
      </w:r>
      <w:r>
        <w:rPr>
          <w:rFonts w:ascii="Arial" w:cs="Arial" w:eastAsia="Arial" w:hAnsi="Arial"/>
          <w:sz w:val="17"/>
          <w:szCs w:val="17"/>
          <w:i w:val="1"/>
          <w:iCs w:val="1"/>
          <w:color w:val="auto"/>
        </w:rPr>
        <w:t>of Control Payment”</w:t>
      </w:r>
      <w:r>
        <w:rPr>
          <w:rFonts w:ascii="Arial" w:cs="Arial" w:eastAsia="Arial" w:hAnsi="Arial"/>
          <w:sz w:val="17"/>
          <w:szCs w:val="17"/>
          <w:color w:val="auto"/>
        </w:rPr>
        <w:t>). Within 30 days following any Change of Control Triggering Event, the Company will mail (or deliver electronically) a notice to</w:t>
      </w:r>
      <w:r>
        <w:rPr>
          <w:rFonts w:ascii="Arial" w:cs="Arial" w:eastAsia="Arial" w:hAnsi="Arial"/>
          <w:sz w:val="17"/>
          <w:szCs w:val="17"/>
          <w:i w:val="1"/>
          <w:iCs w:val="1"/>
          <w:color w:val="auto"/>
        </w:rPr>
        <w:t xml:space="preserve"> </w:t>
      </w:r>
      <w:r>
        <w:rPr>
          <w:rFonts w:ascii="Arial" w:cs="Arial" w:eastAsia="Arial" w:hAnsi="Arial"/>
          <w:sz w:val="17"/>
          <w:szCs w:val="17"/>
          <w:color w:val="auto"/>
        </w:rPr>
        <w:t>each Holder describing the transaction or transactions that constitute the Change of Control and stating:</w:t>
      </w:r>
    </w:p>
    <w:p>
      <w:pPr>
        <w:spacing w:after="0" w:line="177" w:lineRule="exact"/>
        <w:rPr>
          <w:rFonts w:ascii="Arial" w:cs="Arial" w:eastAsia="Arial" w:hAnsi="Arial"/>
          <w:sz w:val="17"/>
          <w:szCs w:val="17"/>
          <w:color w:val="auto"/>
        </w:rPr>
      </w:pPr>
    </w:p>
    <w:p>
      <w:pPr>
        <w:ind w:left="1760" w:hanging="456"/>
        <w:spacing w:after="0"/>
        <w:tabs>
          <w:tab w:leader="none" w:pos="1760"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that the Change of Control Offer is being made pursuant to this Section 4.09 and that all Notes tendered will be accepted for</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payment;</w:t>
      </w:r>
    </w:p>
    <w:p>
      <w:pPr>
        <w:spacing w:after="0" w:line="210" w:lineRule="exact"/>
        <w:rPr>
          <w:rFonts w:ascii="Arial" w:cs="Arial" w:eastAsia="Arial" w:hAnsi="Arial"/>
          <w:sz w:val="17"/>
          <w:szCs w:val="17"/>
          <w:color w:val="auto"/>
        </w:rPr>
      </w:pPr>
    </w:p>
    <w:p>
      <w:pPr>
        <w:jc w:val="both"/>
        <w:ind w:left="660" w:firstLine="644"/>
        <w:spacing w:after="0" w:line="263" w:lineRule="auto"/>
        <w:tabs>
          <w:tab w:leader="none" w:pos="1765"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the purchase price and the purchase date, which shall be no earlier than 10 days (or such longer period required by applicable securities laws and regulations) and no later than 60 days from the date such notice is mailed or delivered (the </w:t>
      </w:r>
      <w:r>
        <w:rPr>
          <w:rFonts w:ascii="Arial" w:cs="Arial" w:eastAsia="Arial" w:hAnsi="Arial"/>
          <w:sz w:val="18"/>
          <w:szCs w:val="18"/>
          <w:i w:val="1"/>
          <w:iCs w:val="1"/>
          <w:color w:val="auto"/>
        </w:rPr>
        <w:t>“Change of Control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760" w:hanging="456"/>
        <w:spacing w:after="0"/>
        <w:tabs>
          <w:tab w:leader="none" w:pos="17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225" w:lineRule="exact"/>
        <w:rPr>
          <w:rFonts w:ascii="Arial" w:cs="Arial" w:eastAsia="Arial" w:hAnsi="Arial"/>
          <w:sz w:val="18"/>
          <w:szCs w:val="18"/>
          <w:color w:val="auto"/>
        </w:rPr>
      </w:pPr>
    </w:p>
    <w:p>
      <w:pPr>
        <w:ind w:left="660" w:firstLine="644"/>
        <w:spacing w:after="0" w:line="277" w:lineRule="auto"/>
        <w:tabs>
          <w:tab w:leader="none" w:pos="1765"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that, unless the Company defaults in the payment of the Change of Control Payment, all Notes accepted for payment pursuant to the Change of Control Offer will cease to accrue interest after the Change of Control Payment Date;</w:t>
      </w:r>
    </w:p>
    <w:p>
      <w:pPr>
        <w:spacing w:after="0" w:line="170" w:lineRule="exact"/>
        <w:rPr>
          <w:rFonts w:ascii="Arial" w:cs="Arial" w:eastAsia="Arial" w:hAnsi="Arial"/>
          <w:sz w:val="18"/>
          <w:szCs w:val="18"/>
          <w:color w:val="auto"/>
        </w:rPr>
      </w:pPr>
    </w:p>
    <w:p>
      <w:pPr>
        <w:jc w:val="both"/>
        <w:ind w:left="660" w:firstLine="644"/>
        <w:spacing w:after="0" w:line="286" w:lineRule="auto"/>
        <w:tabs>
          <w:tab w:leader="none" w:pos="1765"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that Holders electing to have any Notes purchased pursuant to a Change of Control Offer shall be required to surrender the Notes, with the form entitled “Option of Holder to Elect Purchase” on the reverse of the Notes completed, to the Paying Agent at the address specified in the notice prior to the close of business on the third Business Day preceding the Change of Control Payment Date;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left="660" w:firstLine="644"/>
        <w:spacing w:after="0" w:line="311" w:lineRule="auto"/>
        <w:tabs>
          <w:tab w:leader="none" w:pos="1788"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that Holders will be entitled to withdraw their election if the Paying Agent receives, not later than the close of business on the second Business Day preceding the Change of Control Payment Date, facsimile transmission or letter setting forth the name of the Holder, the principal amount of Notes delivered for purchase, and a statement that such Holder is withdrawing his election to have the Notes purchased; and</w:t>
      </w:r>
    </w:p>
    <w:p>
      <w:pPr>
        <w:spacing w:after="0" w:line="148" w:lineRule="exact"/>
        <w:rPr>
          <w:rFonts w:ascii="Arial" w:cs="Arial" w:eastAsia="Arial" w:hAnsi="Arial"/>
          <w:sz w:val="16"/>
          <w:szCs w:val="16"/>
          <w:color w:val="auto"/>
        </w:rPr>
      </w:pPr>
    </w:p>
    <w:p>
      <w:pPr>
        <w:jc w:val="both"/>
        <w:ind w:left="660" w:firstLine="644"/>
        <w:spacing w:after="0" w:line="263" w:lineRule="auto"/>
        <w:tabs>
          <w:tab w:leader="none" w:pos="18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that Holders whose Notes are being purchased only in part will be issued new Notes equal in principal amount to the unpurchased portion of the Notes surrendered, which unpurchased portion must be equal to $2,000 in principal amount or an integral multiple of $1,000 in excess of $2,000.</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shall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provisions of this Section 4.09, the Company shall comply with the applicable securities laws and regulations and shall not be deemed to have breached its obligations under this Section 4.09 by virtue of such compliance.</w:t>
      </w:r>
    </w:p>
    <w:p>
      <w:pPr>
        <w:spacing w:after="0" w:line="157" w:lineRule="exact"/>
        <w:rPr>
          <w:sz w:val="20"/>
          <w:szCs w:val="20"/>
          <w:color w:val="auto"/>
        </w:rPr>
      </w:pPr>
    </w:p>
    <w:p>
      <w:pPr>
        <w:ind w:left="1120" w:hanging="464"/>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shall, to the extent lawful:</w:t>
      </w:r>
    </w:p>
    <w:p>
      <w:pPr>
        <w:spacing w:after="0" w:line="225" w:lineRule="exact"/>
        <w:rPr>
          <w:rFonts w:ascii="Arial" w:cs="Arial" w:eastAsia="Arial" w:hAnsi="Arial"/>
          <w:sz w:val="18"/>
          <w:szCs w:val="18"/>
          <w:color w:val="auto"/>
        </w:rPr>
      </w:pPr>
    </w:p>
    <w:p>
      <w:pPr>
        <w:ind w:left="1800" w:hanging="496"/>
        <w:spacing w:after="0"/>
        <w:tabs>
          <w:tab w:leader="none" w:pos="18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25" w:lineRule="exact"/>
        <w:rPr>
          <w:rFonts w:ascii="Arial" w:cs="Arial" w:eastAsia="Arial" w:hAnsi="Arial"/>
          <w:sz w:val="18"/>
          <w:szCs w:val="18"/>
          <w:color w:val="auto"/>
        </w:rPr>
      </w:pPr>
    </w:p>
    <w:p>
      <w:pPr>
        <w:ind w:left="660" w:firstLine="644"/>
        <w:spacing w:after="0" w:line="277" w:lineRule="auto"/>
        <w:tabs>
          <w:tab w:leader="none" w:pos="1743"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43"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Company.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Paying Agent shall promptly distribute to each Holder of Notes properly tendered the Change of Control Payment for the Notes, and the Trustee shall promptly authenticate and deliver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shall be in a principal amount of $2,000 or an integral multiple of $1,000 in excess thereof. The Company shall publicly announce the results of the Change of Control Offer on or as soon as practicable after the Change of Control Payment Date.</w:t>
      </w:r>
    </w:p>
    <w:p>
      <w:pPr>
        <w:spacing w:after="0" w:line="188" w:lineRule="exact"/>
        <w:rPr>
          <w:sz w:val="20"/>
          <w:szCs w:val="20"/>
          <w:color w:val="auto"/>
        </w:rPr>
      </w:pPr>
    </w:p>
    <w:p>
      <w:pPr>
        <w:jc w:val="both"/>
        <w:ind w:firstLine="656"/>
        <w:spacing w:after="0" w:line="263" w:lineRule="auto"/>
        <w:tabs>
          <w:tab w:leader="none" w:pos="109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provisions described in Sections 4.09(a) and (b) shall apply whether or not any other provisions of this Indenture are applicable. Except as described in Sections 4.09(a) and (b) hereof, Holders of Notes shall not be permitted to require that the Company repurchase or redeem the Notes in the event of a takeover, recapitalization or similar transaction.</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1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4.09, the Company shall not be required to make a Change of Control Offer upon a Change of Control Triggering Event if (1) a third party makes the Change of Control Offer in the manner, at the times and otherwise in compliance with the requirements set forth in this Section 4.09 and purchases all Notes properly tendered and not withdrawn under the Change of Control Offer, or (2) notice of redemption has been given pursuant to Section 3.07 hereof, unless and until there is a default in payment of the applicable redemption price. A Change of Control Offer may be made in advance of a Change of Control Triggering Event, with the obligation to pay and the timing of payment conditioned upon the occurrence of a Change of Control Triggering Event, if a definitive agreement to effect a Change of Control is in place at the time the Change of Control Offer is made.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firstLine="656"/>
        <w:spacing w:after="0" w:line="270" w:lineRule="auto"/>
        <w:tabs>
          <w:tab w:leader="none" w:pos="1095" w:val="left"/>
        </w:tabs>
        <w:numPr>
          <w:ilvl w:val="0"/>
          <w:numId w:val="75"/>
        </w:numPr>
        <w:rPr>
          <w:rFonts w:ascii="Arial" w:cs="Arial" w:eastAsia="Arial" w:hAnsi="Arial"/>
          <w:sz w:val="17"/>
          <w:szCs w:val="17"/>
          <w:color w:val="auto"/>
        </w:rPr>
      </w:pPr>
      <w:r>
        <w:rPr>
          <w:rFonts w:ascii="Arial" w:cs="Arial" w:eastAsia="Arial" w:hAnsi="Arial"/>
          <w:sz w:val="17"/>
          <w:szCs w:val="17"/>
          <w:color w:val="auto"/>
        </w:rPr>
        <w:t>If Holders of not less than 90.0% in aggregate principal amount of the outstanding Notes validly tender and not withdraw such Notes in a Change of Control Offer and the Company, or any third party making a Change of Control Offer in lieu of the Company as described above, purchases all of the Notes validly tendered and not withdrawn by such Holders, all of the Holders of the Notes will be deemed to have validly tendered their notes and not withdrawn and, accordingly, the Company will have the right, upon not less than 10 nor more than 60 days’ prior notice, given not more than 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accrued and unpaid interest, if any, to the date of redemption. In determining whether the Holders of at least 90.0% of the aggregate principal of the then outstanding Notes have validly tendered and not withdrawn such Notes in a tender offer or other offer to purchase, such calculation shall include all Notes owned by an Affiliate of the Company (notwithstanding any provision of this Indenture to the contrary).</w:t>
      </w:r>
    </w:p>
    <w:p>
      <w:pPr>
        <w:spacing w:after="0" w:line="18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i w:val="1"/>
          <w:iCs w:val="1"/>
          <w:color w:val="auto"/>
        </w:rPr>
        <w:t>Additional Subsidiary Guarantees.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660" w:firstLine="644"/>
        <w:spacing w:after="0" w:line="277" w:lineRule="auto"/>
        <w:tabs>
          <w:tab w:leader="none" w:pos="178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or any of its Subsidiaries acquires or creates another Wholly Owned Subsidiary after the Issue Date and such Wholly Owned Subsidiary Guarantees any Obligations of the Company under the Credit Agreement, or</w:t>
      </w:r>
    </w:p>
    <w:p>
      <w:pPr>
        <w:spacing w:after="0" w:line="170"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Wholly Owned Subsidiary that does not Guarantee any Obligations of the Company under the Credit Agreement as of the date of the Indenture subsequently Guarantees any Obligations of the Company under the Credit Agreement, or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there is no Indebtedness of the Company outstanding under the Credit Agreement at that time, any Wholly Owned Subsidiary of the Company (including any newly acquired or created Wholly Owned Subsidiary) Guarantees any Obligations with respect to any other Material Indebtedness of the Company,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then such newly acquired or created Wholly Owned Subsidiary or Wholly Owned Subsidiary that subsequently fully and unconditionally Guarantees Obligations under the Credit Agreement or other Material Indebtedness of the Company, as the case may be, will become a Guarantor of the Notes and execute a supplemental indenture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and deliver an Opinion of Counsel satisfactory to the trustee within 60 business days of the date on which it was acquired or created or guaranteed other Material Indebtedness of the Company, as the case may be.</w:t>
      </w:r>
    </w:p>
    <w:p>
      <w:pPr>
        <w:spacing w:after="0" w:line="17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i w:val="1"/>
          <w:iCs w:val="1"/>
          <w:color w:val="auto"/>
        </w:rPr>
        <w:t>Holding Company Status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Parent Guarantor will not engage in any business, activity or transaction or own any interest (fee, leasehold or otherwise) in any real property, or incur, assume, or suffer to exist any Indebtedness other than:</w:t>
      </w:r>
    </w:p>
    <w:p>
      <w:pPr>
        <w:spacing w:after="0" w:line="170" w:lineRule="exact"/>
        <w:rPr>
          <w:sz w:val="20"/>
          <w:szCs w:val="20"/>
          <w:color w:val="auto"/>
        </w:rPr>
      </w:pPr>
    </w:p>
    <w:p>
      <w:pPr>
        <w:ind w:left="1780" w:hanging="476"/>
        <w:spacing w:after="0"/>
        <w:tabs>
          <w:tab w:leader="none" w:pos="1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ownership of debt or Equity Interests in the Company;</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maintaining its corporate existence;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ind w:left="1780" w:hanging="476"/>
        <w:spacing w:after="0"/>
        <w:tabs>
          <w:tab w:leader="none" w:pos="1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participating in tax, accounting and other administrative activities as the parent of a consolidated group of companies, including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ind w:left="1780" w:hanging="476"/>
        <w:spacing w:after="0"/>
        <w:tabs>
          <w:tab w:leader="none" w:pos="1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making distributions to holders of its debt or Equity Interests or contributions to the Company or any Subsidiary of the Company;</w:t>
      </w:r>
    </w:p>
    <w:p>
      <w:pPr>
        <w:spacing w:after="0" w:line="248" w:lineRule="exact"/>
        <w:rPr>
          <w:rFonts w:ascii="Arial" w:cs="Arial" w:eastAsia="Arial" w:hAnsi="Arial"/>
          <w:sz w:val="16"/>
          <w:szCs w:val="16"/>
          <w:color w:val="auto"/>
        </w:rPr>
      </w:pPr>
    </w:p>
    <w:p>
      <w:pPr>
        <w:ind w:left="1780" w:hanging="476"/>
        <w:spacing w:after="0"/>
        <w:tabs>
          <w:tab w:leader="none" w:pos="1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performance of its obligations under the Exchange Agreement and similar agreements;</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43" w:val="left"/>
        </w:tabs>
        <w:numPr>
          <w:ilvl w:val="0"/>
          <w:numId w:val="78"/>
        </w:numPr>
        <w:rPr>
          <w:rFonts w:ascii="Arial" w:cs="Arial" w:eastAsia="Arial" w:hAnsi="Arial"/>
          <w:sz w:val="18"/>
          <w:szCs w:val="18"/>
          <w:color w:val="auto"/>
        </w:rPr>
      </w:pPr>
      <w:r>
        <w:rPr>
          <w:rFonts w:ascii="Arial" w:cs="Arial" w:eastAsia="Arial" w:hAnsi="Arial"/>
          <w:sz w:val="18"/>
          <w:szCs w:val="18"/>
          <w:color w:val="auto"/>
        </w:rPr>
        <w:t>issuing a Guarantee in respect of, or otherwise becoming liable with respect to, Indebtedness incurred by Clearway Energy, Inc., the Company or any Subsidiary of the Company and the execution and delivery of any agreements related to the foregoing, including credit agreements, indentures, security agreements, and notes;</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issuing equity securities and/or issuing or incurring Indebtedness, including to finance acquisitions; and</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activities incidental to the businesses or activities described in clauses (1) through (7) above.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purposes of the Notes, Article 5 hereof provides the terms upon which a Person can succeed the Obligations of the Company or the Guarantors. For purposes of any Additional Securities issued under this Indenture, the Supplemental Indenture in respect of such Additional Securities will specify the terms upon which a Person can succeed the obligations of the Company or the Guarantors, if any, to such Additional Securities, which may include some, all or none of the terms contained in this Article 5 hereof.</w:t>
      </w:r>
    </w:p>
    <w:p>
      <w:pPr>
        <w:spacing w:after="0" w:line="1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i w:val="1"/>
          <w:iCs w:val="1"/>
          <w:color w:val="auto"/>
        </w:rPr>
        <w:t>Merger, Consolidation or Sale of Assets.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Neither the Parent Guarantor nor the Company shall, directly or indirectly: (1) consolidate or merge with or into another Person (whether or not the Parent Guarantor or the Company is the surviving Person); or (2) sell, assign, transfer, convey or otherwise dispose of all or substantially all of the properties or assets of the Parent Guarantor or the Parent Guarantor and its Subsidiaries taken as a whole or the Company or the Company and its Subsidiaries taken as a whole, in one or more related transactions, to another Person, unless:</w:t>
      </w:r>
    </w:p>
    <w:p>
      <w:pPr>
        <w:spacing w:after="0" w:line="187" w:lineRule="exact"/>
        <w:rPr>
          <w:sz w:val="20"/>
          <w:szCs w:val="20"/>
          <w:color w:val="auto"/>
        </w:rPr>
      </w:pPr>
    </w:p>
    <w:p>
      <w:pPr>
        <w:ind w:left="1780" w:hanging="476"/>
        <w:spacing w:after="0"/>
        <w:tabs>
          <w:tab w:leader="none" w:pos="1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2480" w:hanging="528"/>
        <w:spacing w:after="0"/>
        <w:tabs>
          <w:tab w:leader="none" w:pos="24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Parent Guarantor or the Company, as the case may be, is the surviving Person; or</w:t>
      </w:r>
    </w:p>
    <w:p>
      <w:pPr>
        <w:spacing w:after="0" w:line="225" w:lineRule="exact"/>
        <w:rPr>
          <w:rFonts w:ascii="Arial" w:cs="Arial" w:eastAsia="Arial" w:hAnsi="Arial"/>
          <w:sz w:val="18"/>
          <w:szCs w:val="18"/>
          <w:color w:val="auto"/>
        </w:rPr>
      </w:pPr>
    </w:p>
    <w:p>
      <w:pPr>
        <w:jc w:val="both"/>
        <w:ind w:left="1300" w:firstLine="652"/>
        <w:spacing w:after="0" w:line="254" w:lineRule="auto"/>
        <w:tabs>
          <w:tab w:leader="none" w:pos="2458"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the Person formed by or surviving any such consolidation or merger (if other than the Parent Guarantor or the Company, as the case may be) or to which such sale, assignment, transfer, conveyance or other disposition has been made is a corporation, partnership or limited liability company organized or existing under the laws of the United States, any state of the United States or the District of Columbia;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Person is a partnership or limited liability company, then a corporation wholly owned by such Person organized or existing under the laws of the United States, any state of the United States or the District of Columbia that does not and will not have any material assets or operations shall become a co-issuer of the Notes pursuant to a supplemental indenture duly executed by the Trustee;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ind w:left="660" w:firstLine="644"/>
        <w:spacing w:after="0" w:line="259" w:lineRule="auto"/>
        <w:tabs>
          <w:tab w:leader="none" w:pos="178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Parent Guarantor or the Company, as the case may be) or the Person to which such sale, assignment, transfer, conveyance or other disposition has been made assumes all the obligations of the Parent Guarantor or the Company, as the case may be, under the Notes and this Indenture pursuant to a supplemental indenture or other documents and agreements reasonably satisfactory to the Trustee; and</w:t>
      </w:r>
    </w:p>
    <w:p>
      <w:pPr>
        <w:spacing w:after="0" w:line="186" w:lineRule="exact"/>
        <w:rPr>
          <w:rFonts w:ascii="Arial" w:cs="Arial" w:eastAsia="Arial" w:hAnsi="Arial"/>
          <w:sz w:val="18"/>
          <w:szCs w:val="18"/>
          <w:color w:val="auto"/>
        </w:rPr>
      </w:pPr>
    </w:p>
    <w:p>
      <w:pPr>
        <w:ind w:left="1800" w:hanging="496"/>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neither the Parent Guarantor nor the Company will, directly or indirectly, lease all or substantially all of its and its respective Subsidiaries’ properties or assets taken as a whole, in one or more related transactions, to any other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Section 5.01 shall not apply to:</w:t>
      </w:r>
    </w:p>
    <w:p>
      <w:pPr>
        <w:spacing w:after="0" w:line="225" w:lineRule="exact"/>
        <w:rPr>
          <w:sz w:val="20"/>
          <w:szCs w:val="20"/>
          <w:color w:val="auto"/>
        </w:rPr>
      </w:pPr>
    </w:p>
    <w:p>
      <w:pPr>
        <w:jc w:val="both"/>
        <w:ind w:left="660" w:firstLine="644"/>
        <w:spacing w:after="0" w:line="263" w:lineRule="auto"/>
        <w:tabs>
          <w:tab w:leader="none" w:pos="178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merger of the Parent Guarantor or the Company, as the case may be, with an Affiliate solely for the purpose of reforming the Parent Guarantor or the Company, as the case may be, in another jurisdiction or forming a direct or indirect holding company of the Company that is a Wholly Owned Subsidiary of the Parent Guarantor; and</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1743"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sale, transfer, assignment, conveyance, lease or other disposition of assets between or among the Parent Guarantor, the Company and their respective Subsidiaries, including by way of merger or consolidation.</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5"/>
          <w:szCs w:val="15"/>
          <w:i w:val="1"/>
          <w:iCs w:val="1"/>
          <w:color w:val="auto"/>
        </w:rPr>
        <w:t>Successor Entity Substituted.</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Upon any consolidation or merger, or any sale, assignment, transfer, lease, conveyance or other disposition of all or substantially all of the properties or assets of the Parent Guarantor, the Company and their respective Subsidiaries taken as a whole in a transaction that is subject to, and that complies with the provisions of, Section 5.01 hereof, the successor Person formed by such consolidation or into or with which the Parent Guarantor or the Company, as the case may be, is merged or to which such sale, assignment, transfer, conveyance or other disposition is made shall succeed to, and be substituted for (so that from and after the date of such consolidation, merger, sale, assignment, transfer, conveyance or other disposition, the provisions of this Indenture referring to the “Company” shall refer instead to the successor Person and not to the Company or, as the case may be, the provisions of this Indenture referring to the “Parent Guarantor” shall refer instead to the successor Person and not to the Parent Guarantor), and may exercise every right and power of the Parent Guarantor or the Company, as the case may be, under this Indenture with the same effect as if such successor Person had been named as the Parent Guarantor or the Company, as the case may be, herein;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predecessor Company shall not be relieved from the obligation to pay the principal of, premium, if any, and interest on, the Notes and that the predecessor Parent Guarantor shall not be relieved from its obligations under its Guarantee except in the case of a sale of all of the Company’s or the Parent Guarantors assets, as the case may be, in a transaction that is subject to, and that complies with the provisions of, Section 5.01 hereof.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the Notes, Article 6 hereof provides the terms of defaults and remedies. For purposes of any Additional Securities issued under this Indenture, the Supplement Indenture in respect of such Additional Securities will specify the terms of defaults and remedies for such Additional Securities, which may include some, all or none of the terms contained in this Article 6 hereof.</w:t>
      </w:r>
    </w:p>
    <w:p>
      <w:pPr>
        <w:spacing w:after="0" w:line="18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Events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225" w:lineRule="exact"/>
        <w:rPr>
          <w:sz w:val="20"/>
          <w:szCs w:val="20"/>
          <w:color w:val="auto"/>
        </w:rPr>
      </w:pPr>
    </w:p>
    <w:p>
      <w:pPr>
        <w:ind w:left="1740" w:hanging="436"/>
        <w:spacing w:after="0"/>
        <w:tabs>
          <w:tab w:leader="none" w:pos="1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default in the payment when due of the principal of, or premium, if any, on the Notes;</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failure by the Company or any Guarantor for 60 days (or, in the case of any failure to comply with Section 4.03 of this Indenture, 120 days) after written notice to the Company given by the Trustee or the Holders of at least 30% in aggregate principal amount of the Notes that are then outstanding, to comply with any of the agreements in this Indenture (other than a default referred to in clause (1) or (2) of this Section 6.01);</w:t>
      </w:r>
    </w:p>
    <w:p>
      <w:pPr>
        <w:spacing w:after="0" w:line="186" w:lineRule="exact"/>
        <w:rPr>
          <w:rFonts w:ascii="Arial" w:cs="Arial" w:eastAsia="Arial" w:hAnsi="Arial"/>
          <w:sz w:val="18"/>
          <w:szCs w:val="18"/>
          <w:color w:val="auto"/>
        </w:rPr>
      </w:pPr>
    </w:p>
    <w:p>
      <w:pPr>
        <w:jc w:val="both"/>
        <w:ind w:left="660" w:firstLine="644"/>
        <w:spacing w:after="0" w:line="286" w:lineRule="auto"/>
        <w:tabs>
          <w:tab w:leader="none" w:pos="1698" w:val="left"/>
        </w:tabs>
        <w:numPr>
          <w:ilvl w:val="0"/>
          <w:numId w:val="82"/>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Indebtedness for money borrowed by the Company or any Guarantor (or the payment of which is Guaranteed by the Company or any Guarantor), whether such Indebtedness or Guarantee now exists, or is created after the Issue Date, if that default:</w:t>
      </w:r>
    </w:p>
    <w:p>
      <w:pPr>
        <w:spacing w:after="0" w:line="165" w:lineRule="exact"/>
        <w:rPr>
          <w:rFonts w:ascii="Arial" w:cs="Arial" w:eastAsia="Arial" w:hAnsi="Arial"/>
          <w:sz w:val="17"/>
          <w:szCs w:val="17"/>
          <w:color w:val="auto"/>
        </w:rPr>
      </w:pPr>
    </w:p>
    <w:p>
      <w:pPr>
        <w:ind w:left="1300" w:right="20" w:firstLine="652"/>
        <w:spacing w:after="0" w:line="277" w:lineRule="auto"/>
        <w:tabs>
          <w:tab w:leader="none" w:pos="2468"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2460" w:hanging="508"/>
        <w:spacing w:after="0"/>
        <w:tabs>
          <w:tab w:leader="none" w:pos="24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225"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and, in each case, the principal amount of any such Indebtedness, together with the principal amount of any other such Indebtedness under which there has been a Payment Default or the maturity of which has been so accelerated, exceeds the greater of (i) 1.5% of Total Assets and</w:t>
      </w:r>
    </w:p>
    <w:p>
      <w:pPr>
        <w:jc w:val="both"/>
        <w:ind w:left="660" w:hanging="4"/>
        <w:spacing w:after="0" w:line="253" w:lineRule="auto"/>
        <w:tabs>
          <w:tab w:leader="none" w:pos="934"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$100.0 million;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(4) shall not apply (i) to secured Indebtedness that becomes due as a result of the voluntary sale or transfer of the property or assets securing such Indebtedness to a Person that is not an Affiliate of the Company and (ii) to the extent constituting Indebtedness, any indemnification, guarantee or other credit support obligations of the Company or any of the Guarantors in connection with any Tax Equity Financing entered into by a non-Subsidiary Guarantor;</w:t>
      </w:r>
    </w:p>
    <w:p>
      <w:pPr>
        <w:spacing w:after="0" w:line="192" w:lineRule="exact"/>
        <w:rPr>
          <w:rFonts w:ascii="Arial" w:cs="Arial" w:eastAsia="Arial" w:hAnsi="Arial"/>
          <w:sz w:val="18"/>
          <w:szCs w:val="18"/>
          <w:color w:val="auto"/>
        </w:rPr>
      </w:pPr>
    </w:p>
    <w:p>
      <w:pPr>
        <w:jc w:val="both"/>
        <w:ind w:left="660" w:firstLine="644"/>
        <w:spacing w:after="0" w:line="255" w:lineRule="auto"/>
        <w:tabs>
          <w:tab w:leader="none" w:pos="1743" w:val="left"/>
        </w:tabs>
        <w:numPr>
          <w:ilvl w:val="1"/>
          <w:numId w:val="83"/>
        </w:numPr>
        <w:rPr>
          <w:rFonts w:ascii="Arial" w:cs="Arial" w:eastAsia="Arial" w:hAnsi="Arial"/>
          <w:sz w:val="18"/>
          <w:szCs w:val="18"/>
          <w:color w:val="auto"/>
        </w:rPr>
      </w:pPr>
      <w:r>
        <w:rPr>
          <w:rFonts w:ascii="Arial" w:cs="Arial" w:eastAsia="Arial" w:hAnsi="Arial"/>
          <w:sz w:val="18"/>
          <w:szCs w:val="18"/>
          <w:color w:val="auto"/>
        </w:rPr>
        <w:t>except as permitted by this Indenture, any Guarantee by any Guarantor (or any group of Guarantors) that, if Subsidiaries of the Company, would constitute a Significant Subsidiary shall be held in any final and non-appealable judicial proceeding to be unenforceable or invalid or shall cease for any reason to be in full force and effect or any Guarantor (or any group of Guarantors) that, if a Subsidiary of the Company, would constitute a Significant Subsidiary, or any Person acting on behalf of any Guarantor (or any group of Guarantors) that, if a Subsidiary of the Company, would constitute a Significant Subsidiary, shall deny or disaffirm its or their obligations under its or their Guarantee(s);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ind w:left="660" w:firstLine="644"/>
        <w:spacing w:after="0" w:line="277" w:lineRule="auto"/>
        <w:tabs>
          <w:tab w:leader="none" w:pos="174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or any of the Guarantors that, if a Subsidiary of the Company, would constitute a Significant Subsidiary or any group of Guarantors that, if Subsidiaries of the Company, taken together, would constitute a Significant Subsidiary:</w:t>
      </w:r>
    </w:p>
    <w:p>
      <w:pPr>
        <w:spacing w:after="0" w:line="170" w:lineRule="exact"/>
        <w:rPr>
          <w:rFonts w:ascii="Arial" w:cs="Arial" w:eastAsia="Arial" w:hAnsi="Arial"/>
          <w:sz w:val="18"/>
          <w:szCs w:val="18"/>
          <w:color w:val="auto"/>
        </w:rPr>
      </w:pPr>
    </w:p>
    <w:p>
      <w:pPr>
        <w:ind w:left="2400" w:hanging="448"/>
        <w:spacing w:after="0"/>
        <w:tabs>
          <w:tab w:leader="none" w:pos="24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2400" w:hanging="448"/>
        <w:spacing w:after="0"/>
        <w:tabs>
          <w:tab w:leader="none" w:pos="24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2400" w:hanging="448"/>
        <w:spacing w:after="0"/>
        <w:tabs>
          <w:tab w:leader="none" w:pos="24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2400" w:hanging="448"/>
        <w:spacing w:after="0"/>
        <w:tabs>
          <w:tab w:leader="none" w:pos="24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2380" w:hanging="428"/>
        <w:spacing w:after="0"/>
        <w:tabs>
          <w:tab w:leader="none" w:pos="23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1300" w:right="20" w:firstLine="652"/>
        <w:spacing w:after="0" w:line="342" w:lineRule="auto"/>
        <w:tabs>
          <w:tab w:leader="none" w:pos="24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is for relief against the Company or any Guarantor that, if a Subsidiary of the Company, would constitute a Significant Subsidiary or any group of Guarantors that, if Subsidiaries of the Company, taken together, would constitute a Significant Subsidiary;</w:t>
      </w:r>
    </w:p>
    <w:p>
      <w:pPr>
        <w:spacing w:after="0" w:line="123" w:lineRule="exact"/>
        <w:rPr>
          <w:rFonts w:ascii="Arial" w:cs="Arial" w:eastAsia="Arial" w:hAnsi="Arial"/>
          <w:sz w:val="16"/>
          <w:szCs w:val="16"/>
          <w:color w:val="auto"/>
        </w:rPr>
      </w:pPr>
    </w:p>
    <w:p>
      <w:pPr>
        <w:jc w:val="both"/>
        <w:ind w:left="1300" w:firstLine="652"/>
        <w:spacing w:after="0" w:line="263" w:lineRule="auto"/>
        <w:tabs>
          <w:tab w:leader="none" w:pos="2455" w:val="left"/>
        </w:tabs>
        <w:numPr>
          <w:ilvl w:val="1"/>
          <w:numId w:val="84"/>
        </w:numPr>
        <w:rPr>
          <w:rFonts w:ascii="Arial" w:cs="Arial" w:eastAsia="Arial" w:hAnsi="Arial"/>
          <w:sz w:val="18"/>
          <w:szCs w:val="18"/>
          <w:color w:val="auto"/>
        </w:rPr>
      </w:pPr>
      <w:r>
        <w:rPr>
          <w:rFonts w:ascii="Arial" w:cs="Arial" w:eastAsia="Arial" w:hAnsi="Arial"/>
          <w:sz w:val="18"/>
          <w:szCs w:val="18"/>
          <w:color w:val="auto"/>
        </w:rPr>
        <w:t>appoints a custodian of the Company or any Guarantor that, if a Subsidiary of the Company, would constitute a Significant Subsidiary or any group of Guarantors that, if Subsidiaries of the Company, taken together, would constitute a Significant Subsidiary for all or substantially all of the property of the Company or any such Guarantor; or</w:t>
      </w:r>
    </w:p>
    <w:p>
      <w:pPr>
        <w:spacing w:after="0" w:line="183" w:lineRule="exact"/>
        <w:rPr>
          <w:rFonts w:ascii="Arial" w:cs="Arial" w:eastAsia="Arial" w:hAnsi="Arial"/>
          <w:sz w:val="18"/>
          <w:szCs w:val="18"/>
          <w:color w:val="auto"/>
        </w:rPr>
      </w:pPr>
    </w:p>
    <w:p>
      <w:pPr>
        <w:jc w:val="both"/>
        <w:ind w:left="1300" w:firstLine="652"/>
        <w:spacing w:after="0" w:line="263" w:lineRule="auto"/>
        <w:tabs>
          <w:tab w:leader="none" w:pos="2390" w:val="left"/>
        </w:tabs>
        <w:numPr>
          <w:ilvl w:val="1"/>
          <w:numId w:val="84"/>
        </w:numPr>
        <w:rPr>
          <w:rFonts w:ascii="Arial" w:cs="Arial" w:eastAsia="Arial" w:hAnsi="Arial"/>
          <w:sz w:val="18"/>
          <w:szCs w:val="18"/>
          <w:color w:val="auto"/>
        </w:rPr>
      </w:pPr>
      <w:r>
        <w:rPr>
          <w:rFonts w:ascii="Arial" w:cs="Arial" w:eastAsia="Arial" w:hAnsi="Arial"/>
          <w:sz w:val="18"/>
          <w:szCs w:val="18"/>
          <w:color w:val="auto"/>
        </w:rPr>
        <w:t>orders the liquidation of the Company or any Guarantor that, if a Subsidiary of the Company, would constitute a Significant Subsidiary or any group of Guarantors that, if Subsidiaries of the Company, taken together, would constitute a Significant Subsidiary;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i w:val="1"/>
          <w:iCs w:val="1"/>
          <w:color w:val="auto"/>
        </w:rPr>
        <w:t>Acceleration.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case of an Event of Default specified in clause (6) or (7) of Section 6.01 hereof, with respect to the Company, or any Guarantor of the Company that, if a Subsidiary of the Company, would constitute a Significant Subsidiary or any group of Guarantors of the Company that, if Subsidiaries of the Company, taken together, would constitute a Significant Subsidiary, all outstanding Notes will become due and payable immediately without further action or notice. If any other Event of Default occurs and is continuing, the Trustee or the Holders of at least 30% in aggregate principal amount of the then outstanding Notes may declare all the Notes to be due and payable immediately. Upon any such declaration, the Notes shall become due and payable immediately.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spacing w:after="0"/>
        <w:tabs>
          <w:tab w:leader="none" w:pos="110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i w:val="1"/>
          <w:iCs w:val="1"/>
          <w:color w:val="auto"/>
        </w:rPr>
        <w:t>Other Remedies.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 Event of Default occurs and is continuing, the Trustee may pursue any available remedy to collect the payment of principal of, premium, if any, or interest on, the Notes or to enforce the performance of any provision of the Notes or this Indenture.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i w:val="1"/>
          <w:iCs w:val="1"/>
          <w:color w:val="auto"/>
        </w:rPr>
        <w:t>Waiver of Past Defaults.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Holders of a majority in aggregate principal amount of the then outstanding Notes by written notice to the Trustee may, on behalf of the Holders of all of the Notes waive any existing Default or Event of Default and its consequences hereunder, except a continuing Default or Event of Default in the payment of the principal of, premium, if any, or interest on, the Notes (including in connection with an offer to purchase);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Holders of a majority in aggregate principal amount of the then outstanding Notes may, by written notice to the Trustee,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7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i w:val="1"/>
          <w:iCs w:val="1"/>
          <w:color w:val="auto"/>
        </w:rPr>
        <w:t>Control by Majority.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certain limitations, Holders of a majority in principal amount of the Notes that are then outstanding may direct the time, method and place of conducting any proceeding for exercising any remedy available to the Trustee in its exercise of any trust or power. However, the Trustee may refuse to follow any direction that conflicts with law or this Indenture that the Trustee determines may be unduly prejudicial to the rights of other Holders of Securities or that may involve the Trustee in personal liability.</w:t>
      </w:r>
    </w:p>
    <w:p>
      <w:pPr>
        <w:spacing w:after="0" w:line="1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i w:val="1"/>
          <w:iCs w:val="1"/>
          <w:color w:val="auto"/>
        </w:rPr>
        <w:t>Limitation on Suits.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Holder of a Note may pursue any remedy with respect to this Indenture or the Notes unless:</w:t>
      </w:r>
    </w:p>
    <w:p>
      <w:pPr>
        <w:spacing w:after="0" w:line="225" w:lineRule="exact"/>
        <w:rPr>
          <w:sz w:val="20"/>
          <w:szCs w:val="20"/>
          <w:color w:val="auto"/>
        </w:rPr>
      </w:pPr>
    </w:p>
    <w:p>
      <w:pPr>
        <w:ind w:left="1780" w:hanging="476"/>
        <w:spacing w:after="0"/>
        <w:tabs>
          <w:tab w:leader="none" w:pos="1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Holders of at least 30% in aggregate principal amount of the outstanding Notes make a written request to the Trustee to pursue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remedy;</w:t>
      </w:r>
    </w:p>
    <w:p>
      <w:pPr>
        <w:spacing w:after="0" w:line="211" w:lineRule="exact"/>
        <w:rPr>
          <w:sz w:val="20"/>
          <w:szCs w:val="20"/>
          <w:color w:val="auto"/>
        </w:rPr>
      </w:pPr>
    </w:p>
    <w:p>
      <w:pPr>
        <w:ind w:left="1780" w:hanging="476"/>
        <w:spacing w:after="0"/>
        <w:tabs>
          <w:tab w:leader="none" w:pos="17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such Holders have offered the Trustee security or indemnity reasonably satisfactory to the Trustee against any loss, liability or</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expense;</w:t>
      </w:r>
    </w:p>
    <w:p>
      <w:pPr>
        <w:spacing w:after="0" w:line="211" w:lineRule="exact"/>
        <w:rPr>
          <w:sz w:val="20"/>
          <w:szCs w:val="20"/>
          <w:color w:val="auto"/>
        </w:rPr>
      </w:pPr>
    </w:p>
    <w:p>
      <w:pPr>
        <w:ind w:left="1780" w:hanging="476"/>
        <w:spacing w:after="0"/>
        <w:tabs>
          <w:tab w:leader="none" w:pos="17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receipt of the request and the offer of security or indemnity;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660" w:firstLine="644"/>
        <w:spacing w:after="0" w:line="277" w:lineRule="auto"/>
        <w:tabs>
          <w:tab w:leader="none" w:pos="1788" w:val="left"/>
        </w:tabs>
        <w:numPr>
          <w:ilvl w:val="0"/>
          <w:numId w:val="88"/>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outstanding Notes have not given the Trustee a direction inconsistent with such request within such 60-day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right="20" w:firstLine="648"/>
        <w:spacing w:after="0" w:line="277" w:lineRule="auto"/>
        <w:rPr>
          <w:sz w:val="20"/>
          <w:szCs w:val="20"/>
          <w:color w:val="auto"/>
        </w:rPr>
      </w:pPr>
      <w:r>
        <w:rPr>
          <w:rFonts w:ascii="Arial" w:cs="Arial" w:eastAsia="Arial" w:hAnsi="Arial"/>
          <w:sz w:val="18"/>
          <w:szCs w:val="18"/>
          <w:color w:val="auto"/>
        </w:rPr>
        <w:t>A Holder of a Note may not use this Indenture to prejudice the rights of another Holder of a Note or to obtain a preference or priority over another Holder of a Note.</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i w:val="1"/>
          <w:iCs w:val="1"/>
          <w:color w:val="auto"/>
        </w:rPr>
        <w:t>Rights of Holders of Notes to Receive Payment.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Notwithstanding any other provision of this Indenture, the right of any Holder of a Note to receive payment of principal of, premium, if any, or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16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i w:val="1"/>
          <w:iCs w:val="1"/>
          <w:color w:val="auto"/>
        </w:rPr>
        <w:t>Collection Suit by Trustee.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If an Event of Default specified in Section 6.01(1) or (2) hereof occurs and is continuing, the Trustee is authorized to recover judgment in its own name and as trustee of an express trust against the Company for the whole amount of principal of, premium, if any, and interest on,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5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i w:val="1"/>
          <w:iCs w:val="1"/>
          <w:color w:val="auto"/>
        </w:rPr>
        <w:t>Trustee May File Proofs of Claim.</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to the Trustee under this Indenture, including without limitation, under Section 7.07 hereof. To the extent that the payment of any such compensation, expenses, disbursements and advances of the Trustee, its agents and counsel, and any other amounts due to the Trustee under this Indenture, including without limitation,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7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7"/>
          <w:szCs w:val="17"/>
          <w:i w:val="1"/>
          <w:iCs w:val="1"/>
          <w:color w:val="auto"/>
        </w:rPr>
        <w:t>Priorities.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Trustee collects any money pursuant to this Article 6, it shall pay out the money in the following order:</w:t>
      </w:r>
    </w:p>
    <w:p>
      <w:pPr>
        <w:spacing w:after="0" w:line="22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Trustee, its agents and attorneys for amounts due under Section 7.07 hereof, including payment of all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liabilities incurred, and all advances made, by the Trustee and the costs and expenses of collection;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left="660" w:firstLine="648"/>
        <w:spacing w:after="0" w:line="263"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Holders of Notes for amounts due and unpaid on the Notes for principal, premium, if any, and interest, ratably,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 or priority of any kind, according to the amounts due and payable on the Notes for principal, premium, if any, and interest, respectively; and</w:t>
      </w:r>
    </w:p>
    <w:p>
      <w:pPr>
        <w:spacing w:after="0" w:line="184"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the Company or to such party as a court of competent jurisdiction shall direct.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Trustee may fix a record date and payment date for any payment to Holders of Notes pursuant to this Section 6.10.</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i w:val="1"/>
          <w:iCs w:val="1"/>
          <w:color w:val="auto"/>
        </w:rPr>
        <w:t>Undertaking for Costs.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aggregate principal amount of the then outstanding Notes.</w:t>
      </w:r>
    </w:p>
    <w:p>
      <w:pPr>
        <w:spacing w:after="0" w:line="17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5"/>
          <w:szCs w:val="15"/>
          <w:i w:val="1"/>
          <w:iCs w:val="1"/>
          <w:color w:val="auto"/>
        </w:rPr>
        <w:t>Duties of Trustee.</w:t>
      </w:r>
    </w:p>
    <w:p>
      <w:pPr>
        <w:spacing w:after="0" w:line="225" w:lineRule="exact"/>
        <w:rPr>
          <w:sz w:val="20"/>
          <w:szCs w:val="20"/>
          <w:color w:val="auto"/>
        </w:rPr>
      </w:pPr>
    </w:p>
    <w:p>
      <w:pPr>
        <w:jc w:val="both"/>
        <w:ind w:firstLine="656"/>
        <w:spacing w:after="0" w:line="263" w:lineRule="auto"/>
        <w:tabs>
          <w:tab w:leader="none" w:pos="1118"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an Event of Default with respect to any Series of Securities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3" w:lineRule="exact"/>
        <w:rPr>
          <w:rFonts w:ascii="Arial" w:cs="Arial" w:eastAsia="Arial" w:hAnsi="Arial"/>
          <w:sz w:val="18"/>
          <w:szCs w:val="18"/>
          <w:color w:val="auto"/>
        </w:rPr>
      </w:pPr>
    </w:p>
    <w:p>
      <w:pPr>
        <w:ind w:left="1140" w:hanging="484"/>
        <w:spacing w:after="0"/>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83" w:lineRule="exact"/>
        <w:rPr>
          <w:rFonts w:ascii="Arial" w:cs="Arial" w:eastAsia="Arial" w:hAnsi="Arial"/>
          <w:sz w:val="18"/>
          <w:szCs w:val="18"/>
          <w:color w:val="auto"/>
        </w:rPr>
      </w:pPr>
    </w:p>
    <w:p>
      <w:pPr>
        <w:jc w:val="both"/>
        <w:ind w:left="660" w:firstLine="644"/>
        <w:spacing w:after="0" w:line="311" w:lineRule="auto"/>
        <w:tabs>
          <w:tab w:leader="none" w:pos="1788" w:val="left"/>
        </w:tabs>
        <w:numPr>
          <w:ilvl w:val="1"/>
          <w:numId w:val="89"/>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148" w:lineRule="exact"/>
        <w:rPr>
          <w:rFonts w:ascii="Arial" w:cs="Arial" w:eastAsia="Arial" w:hAnsi="Arial"/>
          <w:sz w:val="16"/>
          <w:szCs w:val="16"/>
          <w:color w:val="auto"/>
        </w:rPr>
      </w:pPr>
    </w:p>
    <w:p>
      <w:pPr>
        <w:ind w:left="1120" w:hanging="464"/>
        <w:spacing w:after="0"/>
        <w:tabs>
          <w:tab w:leader="none" w:pos="11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Trustee may not be relieved from liabilities for its own negligent action, its own negligent failure to act, or its own willful misconduct,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except that:</w:t>
      </w:r>
    </w:p>
    <w:p>
      <w:pPr>
        <w:spacing w:after="0" w:line="210" w:lineRule="exact"/>
        <w:rPr>
          <w:rFonts w:ascii="Arial" w:cs="Arial" w:eastAsia="Arial" w:hAnsi="Arial"/>
          <w:sz w:val="16"/>
          <w:szCs w:val="16"/>
          <w:color w:val="auto"/>
        </w:rPr>
      </w:pPr>
    </w:p>
    <w:p>
      <w:pPr>
        <w:ind w:left="1780" w:hanging="476"/>
        <w:spacing w:after="0"/>
        <w:tabs>
          <w:tab w:leader="none" w:pos="17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225" w:lineRule="exact"/>
        <w:rPr>
          <w:rFonts w:ascii="Arial" w:cs="Arial" w:eastAsia="Arial" w:hAnsi="Arial"/>
          <w:sz w:val="18"/>
          <w:szCs w:val="18"/>
          <w:color w:val="auto"/>
        </w:rPr>
      </w:pPr>
    </w:p>
    <w:p>
      <w:pPr>
        <w:ind w:left="660" w:firstLine="644"/>
        <w:spacing w:after="0" w:line="277" w:lineRule="auto"/>
        <w:tabs>
          <w:tab w:leader="none" w:pos="1743"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unless it is proved that the Trustee was negligent in ascertaining the pertinent facts;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ind w:left="660" w:firstLine="644"/>
        <w:spacing w:after="0" w:line="277" w:lineRule="auto"/>
        <w:tabs>
          <w:tab w:leader="none" w:pos="1788"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Trustee will not be liable with respect to any action taken, suffered or omitted to be taken in respect of the Notes in accordance with a direction received by it pursuant to Section 6.05 hereof.</w:t>
      </w:r>
    </w:p>
    <w:p>
      <w:pPr>
        <w:spacing w:after="0" w:line="170" w:lineRule="exact"/>
        <w:rPr>
          <w:rFonts w:ascii="Arial" w:cs="Arial" w:eastAsia="Arial" w:hAnsi="Arial"/>
          <w:sz w:val="18"/>
          <w:szCs w:val="18"/>
          <w:color w:val="auto"/>
        </w:rPr>
      </w:pPr>
    </w:p>
    <w:p>
      <w:pPr>
        <w:ind w:firstLine="656"/>
        <w:spacing w:after="0" w:line="277" w:lineRule="auto"/>
        <w:tabs>
          <w:tab w:leader="none" w:pos="1102"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0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incur any liability. The Trustee will be under no obligation to exercise any of its rights or powers under this Indenture at the request of any Holders, unless such Holder has offered to the Trustee security and indemnity satisfactory to it against any loss, liability or expense.</w:t>
      </w:r>
    </w:p>
    <w:p>
      <w:pPr>
        <w:spacing w:after="0" w:line="183" w:lineRule="exact"/>
        <w:rPr>
          <w:rFonts w:ascii="Arial" w:cs="Arial" w:eastAsia="Arial" w:hAnsi="Arial"/>
          <w:sz w:val="18"/>
          <w:szCs w:val="18"/>
          <w:color w:val="auto"/>
        </w:rPr>
      </w:pPr>
    </w:p>
    <w:p>
      <w:pPr>
        <w:ind w:right="20" w:firstLine="656"/>
        <w:spacing w:after="0" w:line="277" w:lineRule="auto"/>
        <w:tabs>
          <w:tab w:leader="none" w:pos="1094"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70" w:lineRule="exact"/>
        <w:rPr>
          <w:rFonts w:ascii="Arial" w:cs="Arial" w:eastAsia="Arial" w:hAnsi="Arial"/>
          <w:sz w:val="18"/>
          <w:szCs w:val="18"/>
          <w:color w:val="auto"/>
        </w:rPr>
      </w:pPr>
    </w:p>
    <w:p>
      <w:pPr>
        <w:ind w:firstLine="656"/>
        <w:spacing w:after="0" w:line="277" w:lineRule="auto"/>
        <w:tabs>
          <w:tab w:leader="none" w:pos="110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Paying Agent and the Registrar shall be entitled to the same protections, immunities and standard of care as are set forth in paragraphs (a), (b) and (c) of this section with respect to the Trustee.</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5"/>
          <w:szCs w:val="15"/>
          <w:i w:val="1"/>
          <w:iCs w:val="1"/>
          <w:color w:val="auto"/>
        </w:rPr>
        <w:t>Rights of Trustee.</w:t>
      </w:r>
    </w:p>
    <w:p>
      <w:pPr>
        <w:spacing w:after="0" w:line="225" w:lineRule="exact"/>
        <w:rPr>
          <w:sz w:val="20"/>
          <w:szCs w:val="20"/>
          <w:color w:val="auto"/>
        </w:rPr>
      </w:pPr>
    </w:p>
    <w:p>
      <w:pPr>
        <w:ind w:firstLine="656"/>
        <w:spacing w:after="0" w:line="277" w:lineRule="auto"/>
        <w:tabs>
          <w:tab w:leader="none" w:pos="109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105"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The Trustee will not be liable for any action it takes or omits to take in good faith in reliance on such Officers’ Certificate. The Trustee may consult with counsel and the written advice of such counsel or any Opinion of Counsel will be full and complete authorization and protection from liability in respect of any action taken, suffered or omitted by it hereunder in good faith and in reliance thereon.</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09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will not be responsible for the misconduct or negligence of any agent appointed with due care. No Depositary shall be deemed to be an attorney or agent of the Trustee and the Trustee shall not be responsible for any action or omission by any Depositary.</w:t>
      </w:r>
    </w:p>
    <w:p>
      <w:pPr>
        <w:spacing w:after="0" w:line="183" w:lineRule="exact"/>
        <w:rPr>
          <w:rFonts w:ascii="Arial" w:cs="Arial" w:eastAsia="Arial" w:hAnsi="Arial"/>
          <w:sz w:val="18"/>
          <w:szCs w:val="18"/>
          <w:color w:val="auto"/>
        </w:rPr>
      </w:pPr>
    </w:p>
    <w:p>
      <w:pPr>
        <w:ind w:firstLine="656"/>
        <w:spacing w:after="0" w:line="277" w:lineRule="auto"/>
        <w:tabs>
          <w:tab w:leader="none" w:pos="110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the rights or powers conferred upon it by this Indenture.</w:t>
      </w:r>
    </w:p>
    <w:p>
      <w:pPr>
        <w:spacing w:after="0" w:line="170" w:lineRule="exact"/>
        <w:rPr>
          <w:rFonts w:ascii="Arial" w:cs="Arial" w:eastAsia="Arial" w:hAnsi="Arial"/>
          <w:sz w:val="18"/>
          <w:szCs w:val="18"/>
          <w:color w:val="auto"/>
        </w:rPr>
      </w:pPr>
    </w:p>
    <w:p>
      <w:pPr>
        <w:ind w:firstLine="656"/>
        <w:spacing w:after="0" w:line="277" w:lineRule="auto"/>
        <w:tabs>
          <w:tab w:leader="none" w:pos="10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will be sufficient if signed by an Officer of the Company.</w:t>
      </w:r>
    </w:p>
    <w:p>
      <w:pPr>
        <w:spacing w:after="0" w:line="170" w:lineRule="exact"/>
        <w:rPr>
          <w:rFonts w:ascii="Arial" w:cs="Arial" w:eastAsia="Arial" w:hAnsi="Arial"/>
          <w:sz w:val="18"/>
          <w:szCs w:val="18"/>
          <w:color w:val="auto"/>
        </w:rPr>
      </w:pPr>
    </w:p>
    <w:p>
      <w:pPr>
        <w:ind w:firstLine="656"/>
        <w:spacing w:after="0" w:line="342" w:lineRule="auto"/>
        <w:tabs>
          <w:tab w:leader="none" w:pos="1094"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Trustee will be under no obligation to exercise any of the rights or powers under this Indenture at the request or direction of any of the Holders unless such Holders have offered to the Trustee reasonable indemnity or security satisfactory to the Trustee against any loss, liability or expense.</w:t>
      </w:r>
    </w:p>
    <w:p>
      <w:pPr>
        <w:spacing w:after="0" w:line="123" w:lineRule="exact"/>
        <w:rPr>
          <w:rFonts w:ascii="Arial" w:cs="Arial" w:eastAsia="Arial" w:hAnsi="Arial"/>
          <w:sz w:val="16"/>
          <w:szCs w:val="16"/>
          <w:color w:val="auto"/>
        </w:rPr>
      </w:pPr>
    </w:p>
    <w:p>
      <w:pPr>
        <w:ind w:firstLine="656"/>
        <w:spacing w:after="0" w:line="342" w:lineRule="auto"/>
        <w:tabs>
          <w:tab w:leader="none" w:pos="1079"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ind w:firstLine="656"/>
        <w:spacing w:after="0" w:line="277" w:lineRule="auto"/>
        <w:tabs>
          <w:tab w:leader="none" w:pos="105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received written notice thereof at the Corporate Trust Office of the Trustee, and such notice references the Notes and this Indenture.</w:t>
      </w:r>
    </w:p>
    <w:p>
      <w:pPr>
        <w:spacing w:after="0" w:line="170" w:lineRule="exact"/>
        <w:rPr>
          <w:rFonts w:ascii="Arial" w:cs="Arial" w:eastAsia="Arial" w:hAnsi="Arial"/>
          <w:sz w:val="18"/>
          <w:szCs w:val="18"/>
          <w:color w:val="auto"/>
        </w:rPr>
      </w:pPr>
    </w:p>
    <w:p>
      <w:pPr>
        <w:jc w:val="both"/>
        <w:ind w:firstLine="656"/>
        <w:spacing w:after="0" w:line="342" w:lineRule="auto"/>
        <w:tabs>
          <w:tab w:leader="none" w:pos="1065"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no event shall the Trustee be liable for the selection of investments or for investment losses incurred thereon. The Trustee shall have no liability in respect of losses incurred as a result of the liquidation of any investment prior to its stated maturity or failure to provide timely written direction.</w:t>
      </w:r>
    </w:p>
    <w:p>
      <w:pPr>
        <w:spacing w:after="0" w:line="123" w:lineRule="exact"/>
        <w:rPr>
          <w:rFonts w:ascii="Arial" w:cs="Arial" w:eastAsia="Arial" w:hAnsi="Arial"/>
          <w:sz w:val="16"/>
          <w:szCs w:val="16"/>
          <w:color w:val="auto"/>
        </w:rPr>
      </w:pPr>
    </w:p>
    <w:p>
      <w:pPr>
        <w:ind w:firstLine="656"/>
        <w:spacing w:after="0" w:line="308" w:lineRule="auto"/>
        <w:tabs>
          <w:tab w:leader="none" w:pos="1065"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 no event shall the Trustee be liable for special, indirect, punitive or consequential loss or damage of any kind whatsoever (including, but not limited to, loss of profit), even if the Trustee has been advised of the likelihood of such loss or damage and regardless of the form of action.</w:t>
      </w:r>
    </w:p>
    <w:p>
      <w:pPr>
        <w:spacing w:after="0" w:line="146" w:lineRule="exact"/>
        <w:rPr>
          <w:rFonts w:ascii="Arial" w:cs="Arial" w:eastAsia="Arial" w:hAnsi="Arial"/>
          <w:sz w:val="17"/>
          <w:szCs w:val="17"/>
          <w:color w:val="auto"/>
        </w:rPr>
      </w:pPr>
    </w:p>
    <w:p>
      <w:pPr>
        <w:jc w:val="both"/>
        <w:ind w:firstLine="656"/>
        <w:spacing w:after="0" w:line="270" w:lineRule="auto"/>
        <w:tabs>
          <w:tab w:leader="none" w:pos="1083"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 no event shall the Trustee be liable for any failure or delay in the performance of its obligations under this Indenture or any related documents because of circumstances beyond the Trustee’s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Indenture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spacing w:after="0" w:line="180" w:lineRule="exact"/>
        <w:rPr>
          <w:rFonts w:ascii="Arial" w:cs="Arial" w:eastAsia="Arial" w:hAnsi="Arial"/>
          <w:sz w:val="17"/>
          <w:szCs w:val="17"/>
          <w:color w:val="auto"/>
        </w:rPr>
      </w:pPr>
    </w:p>
    <w:p>
      <w:pPr>
        <w:ind w:left="1060" w:hanging="404"/>
        <w:spacing w:after="0"/>
        <w:tabs>
          <w:tab w:leader="none" w:pos="10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right of the Trustee to perform any discretionary act enumerated in this Indenture or any related document shall not be construed as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duty.</w:t>
      </w:r>
    </w:p>
    <w:p>
      <w:pPr>
        <w:spacing w:after="0" w:line="210" w:lineRule="exact"/>
        <w:rPr>
          <w:rFonts w:ascii="Arial" w:cs="Arial" w:eastAsia="Arial" w:hAnsi="Arial"/>
          <w:sz w:val="16"/>
          <w:szCs w:val="16"/>
          <w:color w:val="auto"/>
        </w:rPr>
      </w:pPr>
    </w:p>
    <w:p>
      <w:pPr>
        <w:jc w:val="both"/>
        <w:ind w:firstLine="656"/>
        <w:spacing w:after="0" w:line="263" w:lineRule="auto"/>
        <w:tabs>
          <w:tab w:leader="none" w:pos="108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Trustee may earn compensation in the form of short-term interest on items like uncashed distribution checks (from the date issued until the date cashed), funds that the Trustee is directed not to invest, deposits awaiting investment direction or received too late to be invested overnight in previously directed investments.</w:t>
      </w:r>
    </w:p>
    <w:p>
      <w:pPr>
        <w:spacing w:after="0" w:line="183" w:lineRule="exact"/>
        <w:rPr>
          <w:rFonts w:ascii="Arial" w:cs="Arial" w:eastAsia="Arial" w:hAnsi="Arial"/>
          <w:sz w:val="18"/>
          <w:szCs w:val="18"/>
          <w:color w:val="auto"/>
        </w:rPr>
      </w:pPr>
    </w:p>
    <w:p>
      <w:pPr>
        <w:ind w:firstLine="656"/>
        <w:spacing w:after="0" w:line="277" w:lineRule="auto"/>
        <w:tabs>
          <w:tab w:leader="none" w:pos="105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hereunder, including, without limitation, its right to be indemnified, are extended to, and shall be enforceable by, the Trustee in each of its capacities hereunder.</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i w:val="1"/>
          <w:iCs w:val="1"/>
          <w:color w:val="auto"/>
        </w:rPr>
        <w:t>Individual Rights of Trustee.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Trustee in its individual or any other capacity may become the owner or pledgee of Notes and may otherwise deal with the Company or any Affiliate of the Company with the same rights it would have if it were not the Trustee. However, in the event that the Trustee acquires any conflicting interest it must eliminate such conflict within 90 days or resign. Any Agent may do the same with like rights and duties. The Trustee is also subject to Sections 7.10 and 7.11 hereof.</w:t>
      </w:r>
    </w:p>
    <w:p>
      <w:pPr>
        <w:spacing w:after="0" w:line="1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i w:val="1"/>
          <w:iCs w:val="1"/>
          <w:color w:val="auto"/>
        </w:rPr>
        <w:t>Trustee’s Disclaimer.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spacing w:after="0"/>
        <w:tabs>
          <w:tab w:leader="none" w:pos="110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i w:val="1"/>
          <w:iCs w:val="1"/>
          <w:color w:val="auto"/>
        </w:rPr>
        <w:t>Notice of Defaults.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 Default or Event of Default with respect to any Series of Securities occurs and is continuing and if it is known to a Responsible Officer of the Trustee, the Trustee will mail to Holders of such Securities a notice of the Default or Event of Default within 90 days after it occurs or, if later, after a Responsible Officer has knowledge of any Default or Event of Default. Except in the case of a Default or Event of Default in payment of principal of, premium, if any, or interest on, any Security, the Trustee may withhold the notice if and so long as a committee of its Responsible Officers in good faith determines that withholding the notice is in the interests of the Holders of the Securities.</w:t>
      </w:r>
    </w:p>
    <w:p>
      <w:pPr>
        <w:spacing w:after="0" w:line="18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i w:val="1"/>
          <w:iCs w:val="1"/>
          <w:color w:val="auto"/>
        </w:rPr>
        <w:t>Compensation and Indemnity.</w:t>
      </w:r>
    </w:p>
    <w:p>
      <w:pPr>
        <w:spacing w:after="0" w:line="225" w:lineRule="exact"/>
        <w:rPr>
          <w:sz w:val="20"/>
          <w:szCs w:val="20"/>
          <w:color w:val="auto"/>
        </w:rPr>
      </w:pPr>
    </w:p>
    <w:p>
      <w:pPr>
        <w:jc w:val="both"/>
        <w:ind w:firstLine="656"/>
        <w:spacing w:after="0" w:line="279" w:lineRule="auto"/>
        <w:tabs>
          <w:tab w:leader="none" w:pos="1069"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Company will pay to the Trustee from time to time reasonable compensation for its acceptance of this Indenture and services hereunder. The Trustee’s compensation will not be limited by any law on compensation of a trustee of an express trust. The Company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71" w:lineRule="exact"/>
        <w:rPr>
          <w:rFonts w:ascii="Arial" w:cs="Arial" w:eastAsia="Arial" w:hAnsi="Arial"/>
          <w:sz w:val="17"/>
          <w:szCs w:val="17"/>
          <w:color w:val="auto"/>
        </w:rPr>
      </w:pPr>
    </w:p>
    <w:p>
      <w:pPr>
        <w:jc w:val="both"/>
        <w:ind w:firstLine="656"/>
        <w:spacing w:after="0" w:line="270" w:lineRule="auto"/>
        <w:tabs>
          <w:tab w:leader="none" w:pos="1057"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Company and the Guarantors will indemnify the Trustee against any and all losses, liabilities or expenses incurred by it arising out of or in connection with the acceptance or administration of its duties under this Indenture, including the costs and expenses of enforcing this Indenture against the Company and the Guarantors (including this Section 7.07) and defending itself against any claim (whether asserted by the Company, the Guarantors, any Holder or any other Person) or liability in connection with the exercise or performance of any of its powers or duties hereunder, except to the extent any such loss, liability or expense may be attributable to its gross negligence, bad faith or willful misconduct. The Trustee will notify the Company promptly of any claim for which it may seek indemnity. Failure by the Trustee to so notify the Company will not relieve the Company or any of the Guarantors of their obligations hereunder. The Company or such Guarantor will defend the claim and the Trustee will cooperate in the defense. The Trustee may have separate counsel and the Company will pay the reasonable fees and expenses of such counsel. Neither the Company nor any Guarantor need pay for any settlement made without its consent, which consent will not be unreasonably withheld.</w:t>
      </w:r>
    </w:p>
    <w:p>
      <w:pPr>
        <w:spacing w:after="0" w:line="180" w:lineRule="exact"/>
        <w:rPr>
          <w:rFonts w:ascii="Arial" w:cs="Arial" w:eastAsia="Arial" w:hAnsi="Arial"/>
          <w:sz w:val="17"/>
          <w:szCs w:val="17"/>
          <w:color w:val="auto"/>
        </w:rPr>
      </w:pPr>
    </w:p>
    <w:p>
      <w:pPr>
        <w:ind w:left="1080" w:hanging="424"/>
        <w:spacing w:after="0"/>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obligations of the Company and the Guarantors under this Section 7.07 will survive the satisfaction and discharge of this Indenture.</w:t>
      </w:r>
    </w:p>
    <w:p>
      <w:pPr>
        <w:spacing w:after="0" w:line="248" w:lineRule="exact"/>
        <w:rPr>
          <w:rFonts w:ascii="Arial" w:cs="Arial" w:eastAsia="Arial" w:hAnsi="Arial"/>
          <w:sz w:val="16"/>
          <w:szCs w:val="16"/>
          <w:color w:val="auto"/>
        </w:rPr>
      </w:pPr>
    </w:p>
    <w:p>
      <w:pPr>
        <w:jc w:val="both"/>
        <w:ind w:firstLine="656"/>
        <w:spacing w:after="0" w:line="263" w:lineRule="auto"/>
        <w:tabs>
          <w:tab w:leader="none" w:pos="105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secure the Company’s and the Guarantors’ payment obligations in this Section 7.07, the Trustee will have a Lien prior to the Securities on all money or property held or collected by the Trustee, except that held in trust to pay principal of, premium, if any, or interest on, particular Securities. Such Lien will survive the satisfaction and discharge of this Indenture.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0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clause (6) or (7) of Section 6.01 hereof occurs, the expenses and the compensation for the services (including the fees and expenses of its agents and counsel) are intended to constitute expenses of administration under any Bankruptcy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ind w:left="1060" w:hanging="40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656"/>
        <w:spacing w:after="0" w:line="342" w:lineRule="auto"/>
        <w:tabs>
          <w:tab w:leader="none" w:pos="1057"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Company’s and Guarantors’ obligations under this Section 7.07 shall survive the resignation or removal of the Trustee, any termination of this Indenture, including any termination or rejection of this Indenture in any insolvency or similar proceeding and the repayment of all the Securities.</w:t>
      </w:r>
    </w:p>
    <w:p>
      <w:pPr>
        <w:spacing w:after="0" w:line="12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5"/>
          <w:szCs w:val="15"/>
          <w:i w:val="1"/>
          <w:iCs w:val="1"/>
          <w:color w:val="auto"/>
        </w:rPr>
        <w:t>Replacement of Trustee.</w:t>
      </w:r>
    </w:p>
    <w:p>
      <w:pPr>
        <w:spacing w:after="0" w:line="225" w:lineRule="exact"/>
        <w:rPr>
          <w:sz w:val="20"/>
          <w:szCs w:val="20"/>
          <w:color w:val="auto"/>
        </w:rPr>
      </w:pPr>
    </w:p>
    <w:p>
      <w:pPr>
        <w:ind w:firstLine="656"/>
        <w:spacing w:after="0" w:line="277" w:lineRule="auto"/>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 7.08.</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05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Trustee may resign in writing at any time and be discharged from the trust hereby created by so notifying the Company. The Holders of a majority in aggregate principal amount of the then outstanding Securities may remove the Trustee by so notifying the Trustee and the Company in writing at least 30 days prior to the effectiveness of such removal. The Company may remove the Trustee if:</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Trustee fails to comply with Section 7.10 hereof;</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210" w:lineRule="exact"/>
        <w:rPr>
          <w:rFonts w:ascii="Arial" w:cs="Arial" w:eastAsia="Arial" w:hAnsi="Arial"/>
          <w:sz w:val="16"/>
          <w:szCs w:val="16"/>
          <w:color w:val="auto"/>
        </w:rPr>
      </w:pPr>
    </w:p>
    <w:p>
      <w:pPr>
        <w:ind w:left="1780" w:hanging="476"/>
        <w:spacing w:after="0"/>
        <w:tabs>
          <w:tab w:leader="none" w:pos="17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073"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the Trustee resigns or is removed or if a vacancy exists in the office of Trustee for any reason, the Company will promptly appoint a successor Trustee. Within one year after the successor Trustee takes office, the Holders of a majority in aggregate principal amount of the then outstanding Securities may appoint a successor Trustee to replace the successor Trustee appointed by the Company.</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60 days after the retiring Trustee resigns or is removed, the retiring Trustee, the Company, or the Holders of at least 10% in aggregate principal amount of the then outstanding Securities may petition any court of competent jurisdiction for the appointment of a successor Trustee.</w:t>
      </w:r>
    </w:p>
    <w:p>
      <w:pPr>
        <w:spacing w:after="0" w:line="183" w:lineRule="exact"/>
        <w:rPr>
          <w:rFonts w:ascii="Arial" w:cs="Arial" w:eastAsia="Arial" w:hAnsi="Arial"/>
          <w:sz w:val="18"/>
          <w:szCs w:val="18"/>
          <w:color w:val="auto"/>
        </w:rPr>
      </w:pPr>
    </w:p>
    <w:p>
      <w:pPr>
        <w:jc w:val="both"/>
        <w:ind w:firstLine="656"/>
        <w:spacing w:after="0" w:line="255" w:lineRule="auto"/>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all sums owing to the Trustee hereunder have been paid and subject to the Lien provided for in Section 7.07 hereof. Notwithstanding replacement of the Trustee pursuant to this Section 7.08, the Company’s obligations under Section 7.07 hereof will continue for the benefit of the retiring Trustee.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spacing w:after="0"/>
        <w:tabs>
          <w:tab w:leader="none" w:pos="110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5"/>
          <w:szCs w:val="15"/>
          <w:i w:val="1"/>
          <w:iCs w:val="1"/>
          <w:color w:val="auto"/>
        </w:rPr>
        <w:t>Successor Trustee by Merger, etc.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i w:val="1"/>
          <w:iCs w:val="1"/>
          <w:color w:val="auto"/>
        </w:rPr>
        <w:t>Eligibility; Disqualification.</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 million as set forth in its most recent published annual report of condition.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LEGAL DEFEASANCE AND COVENANT DEFEASANCE</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purposes of the Notes, Article 8 hereof provides the terms upon which legal defeasance and covenant defeasance can occur. For purposes of any Additional Securities issued under this Indenture, the Supplemental Indenture in respect of such Additional Securities will specify the terms upon which legal defeasance and covenant defeasance can occur for such Additional Securities, which may include some, all or none of the terms contained in this Article 8 hereof.</w:t>
      </w:r>
    </w:p>
    <w:p>
      <w:pPr>
        <w:spacing w:after="0" w:line="1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i w:val="1"/>
          <w:iCs w:val="1"/>
          <w:color w:val="auto"/>
        </w:rPr>
        <w:t>Option to Effect Legal Defeasance or Covenant Defeasance.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may at any time, at the option of its Board of Directors evidenced by a resolution set forth in an Officers’ Certificate, elect to have either Section 8.02 or 8.03 hereof be applied to all outstanding Notes upon compliance with the conditions set forth below in this Article 8.</w:t>
      </w:r>
    </w:p>
    <w:p>
      <w:pPr>
        <w:spacing w:after="0" w:line="14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i w:val="1"/>
          <w:iCs w:val="1"/>
          <w:color w:val="auto"/>
        </w:rPr>
        <w:t>Legal Defeasance and Discharge.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Upon the Company’s exercise under Section 8.01 hereof of the option applicable to this Section 8.02, the Company and each of the Guarantors shall, subject to the satisfaction of the conditions set forth in Section 8.04 hereof, be deemed to have been discharged from their obligations with respect to all outstanding Notes (including the Guarantees) on the date the conditions set forth in Section 8.04 hereof are satisfied (hereinafter, </w:t>
      </w:r>
      <w:r>
        <w:rPr>
          <w:rFonts w:ascii="Arial" w:cs="Arial" w:eastAsia="Arial" w:hAnsi="Arial"/>
          <w:sz w:val="16"/>
          <w:szCs w:val="16"/>
          <w:i w:val="1"/>
          <w:iCs w:val="1"/>
          <w:color w:val="auto"/>
        </w:rPr>
        <w:t>“Legal Defeasance”</w:t>
      </w:r>
      <w:r>
        <w:rPr>
          <w:rFonts w:ascii="Arial" w:cs="Arial" w:eastAsia="Arial" w:hAnsi="Arial"/>
          <w:sz w:val="16"/>
          <w:szCs w:val="16"/>
          <w:color w:val="auto"/>
        </w:rPr>
        <w:t>). For this purpose, Legal Defeasance means that the Company and the Guarantors shall be deemed to have paid and discharged the entire Indebtedness represented by the outstanding Notes (including the Guarantees), which will thereafter be deemed to be “outstanding” only for the purposes of Section 8.05 hereof and the other Sections of this Indenture referred to in clauses (1) and (2) below, and to have satisfied all their other obligations under such Notes, the Guarantees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165" w:lineRule="exact"/>
        <w:rPr>
          <w:sz w:val="20"/>
          <w:szCs w:val="20"/>
          <w:color w:val="auto"/>
        </w:rPr>
      </w:pPr>
    </w:p>
    <w:p>
      <w:pPr>
        <w:ind w:left="660" w:firstLine="644"/>
        <w:spacing w:after="0" w:line="277" w:lineRule="auto"/>
        <w:tabs>
          <w:tab w:leader="none" w:pos="178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premium, if any, or interest on such Notes when such payments are due from the trust referred to in Section 8.04 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left="1780" w:hanging="476"/>
        <w:spacing w:after="0"/>
        <w:tabs>
          <w:tab w:leader="none" w:pos="1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Company’s obligations with respect to such Notes under Article 2 and Section 4.02 hereof;</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74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rights, powers, trusts, duties, indemnities and immunities of the Trustee hereunder and the Company’s and the Guarantors’ obligations in connection therewith;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this Article 8.</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compliance with this Article 8, the Company may exercise its option under this Section 8.02 notwithstanding the prior exercise of its option under Section 8.03 hereof.</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i w:val="1"/>
          <w:iCs w:val="1"/>
          <w:color w:val="auto"/>
        </w:rPr>
        <w:t>Covenant Defeasance.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Upon the Company’s exercise under Section 8.01 hereof of the option applicable to this Section 8.03, the Company and the Guarantors shall, subject to the satisfaction of the conditions set forth in Section 8.04 hereof, be released from each of their obligations under Sections 4.07, 4.09 and 4.10 hereof with respect to the outstanding Notes on and after the date the conditions set forth in Section 8.04 hereof are satisfied (hereinafter, </w:t>
      </w:r>
      <w:r>
        <w:rPr>
          <w:rFonts w:ascii="Arial" w:cs="Arial" w:eastAsia="Arial" w:hAnsi="Arial"/>
          <w:sz w:val="16"/>
          <w:szCs w:val="16"/>
          <w:i w:val="1"/>
          <w:iCs w:val="1"/>
          <w:color w:val="auto"/>
        </w:rPr>
        <w:t>“Covenant</w:t>
      </w:r>
      <w:r>
        <w:rPr>
          <w:rFonts w:ascii="Arial" w:cs="Arial" w:eastAsia="Arial" w:hAnsi="Arial"/>
          <w:sz w:val="16"/>
          <w:szCs w:val="16"/>
          <w:color w:val="auto"/>
        </w:rPr>
        <w:t xml:space="preserve"> </w:t>
      </w:r>
      <w:r>
        <w:rPr>
          <w:rFonts w:ascii="Arial" w:cs="Arial" w:eastAsia="Arial" w:hAnsi="Arial"/>
          <w:sz w:val="16"/>
          <w:szCs w:val="16"/>
          <w:i w:val="1"/>
          <w:iCs w:val="1"/>
          <w:color w:val="auto"/>
        </w:rPr>
        <w:t>Defeasance”</w:t>
      </w:r>
      <w:r>
        <w:rPr>
          <w:rFonts w:ascii="Arial" w:cs="Arial" w:eastAsia="Arial" w:hAnsi="Arial"/>
          <w:sz w:val="16"/>
          <w:szCs w:val="16"/>
          <w:color w:val="auto"/>
        </w:rPr>
        <w:t>), and the Notes will thereafter be deemed not “outstanding” for the purposes of any direction, waiver, consent or declaration or act of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Guarantees, the Company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Guarantees shall be unaffected thereby. In addition, upon the Company’s exercise under Section 8.01 hereof of the option applicable to this Section 8.03, subject to the satisfaction of the conditions set forth in Section 8.04 hereof, Sections 6.01(3) and (4) hereof shall not constitute Events of Default.</w:t>
      </w:r>
    </w:p>
    <w:p>
      <w:pPr>
        <w:spacing w:after="0" w:line="16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i w:val="1"/>
          <w:iCs w:val="1"/>
          <w:color w:val="auto"/>
        </w:rPr>
        <w:t>Conditions to Legal or Covenant Defeasance.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 hereof:</w:t>
      </w:r>
    </w:p>
    <w:p>
      <w:pPr>
        <w:spacing w:after="0" w:line="225" w:lineRule="exact"/>
        <w:rPr>
          <w:sz w:val="20"/>
          <w:szCs w:val="20"/>
          <w:color w:val="auto"/>
        </w:rPr>
      </w:pPr>
    </w:p>
    <w:p>
      <w:pPr>
        <w:jc w:val="both"/>
        <w:ind w:left="660" w:firstLine="644"/>
        <w:spacing w:after="0" w:line="275" w:lineRule="auto"/>
        <w:tabs>
          <w:tab w:leader="none" w:pos="1788"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Company must irrevocably deposit with the Trustee, in trust, for the benefit of the Holders, cash in U.S. dollars, non-callable Government Securities, or a combination thereof, in such amounts as will be sufficient, in the opinion of a nationally recognized investment bank, appraisal firm, or firm of independent public accountants, to pay the principal of, premium, if any, and interest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176" w:lineRule="exact"/>
        <w:rPr>
          <w:rFonts w:ascii="Arial" w:cs="Arial" w:eastAsia="Arial" w:hAnsi="Arial"/>
          <w:sz w:val="17"/>
          <w:szCs w:val="17"/>
          <w:color w:val="auto"/>
        </w:rPr>
      </w:pPr>
    </w:p>
    <w:p>
      <w:pPr>
        <w:ind w:left="660" w:firstLine="644"/>
        <w:spacing w:after="0" w:line="277" w:lineRule="auto"/>
        <w:tabs>
          <w:tab w:leader="none" w:pos="1788"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the case of an election under Section 8.02 hereof, the Company must deliver to the Trustee an Opinion of Counsel reasonably acceptable to the Trustee confirming that:</w:t>
      </w:r>
    </w:p>
    <w:p>
      <w:pPr>
        <w:spacing w:after="0" w:line="170" w:lineRule="exact"/>
        <w:rPr>
          <w:rFonts w:ascii="Arial" w:cs="Arial" w:eastAsia="Arial" w:hAnsi="Arial"/>
          <w:sz w:val="18"/>
          <w:szCs w:val="18"/>
          <w:color w:val="auto"/>
        </w:rPr>
      </w:pPr>
    </w:p>
    <w:p>
      <w:pPr>
        <w:ind w:left="2480" w:hanging="528"/>
        <w:spacing w:after="0"/>
        <w:tabs>
          <w:tab w:leader="none" w:pos="2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Internal Revenue Service a ruling;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ind w:left="2460" w:hanging="508"/>
        <w:spacing w:after="0"/>
        <w:tabs>
          <w:tab w:leader="none" w:pos="2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since the date of this Indenture, there has been a change in the applicable federal income tax law,</w:t>
      </w:r>
    </w:p>
    <w:p>
      <w:pPr>
        <w:spacing w:after="0" w:line="22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87" w:lineRule="exact"/>
        <w:rPr>
          <w:sz w:val="20"/>
          <w:szCs w:val="20"/>
          <w:color w:val="auto"/>
        </w:rPr>
      </w:pPr>
    </w:p>
    <w:p>
      <w:pPr>
        <w:jc w:val="both"/>
        <w:ind w:left="660" w:firstLine="644"/>
        <w:spacing w:after="0" w:line="259" w:lineRule="auto"/>
        <w:tabs>
          <w:tab w:leader="none" w:pos="178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the case of an election under Section 8.03 hereof, the Company must deliver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74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Company or any of its Subsidiaries or the Parent Guarantor is a party or by which the Company or any of its Subsidiaries or the Parent Guarantor is bound;</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any creditors of the Company or others; and</w:t>
      </w:r>
    </w:p>
    <w:p>
      <w:pPr>
        <w:spacing w:after="0" w:line="183" w:lineRule="exact"/>
        <w:rPr>
          <w:rFonts w:ascii="Arial" w:cs="Arial" w:eastAsia="Arial" w:hAnsi="Arial"/>
          <w:sz w:val="18"/>
          <w:szCs w:val="18"/>
          <w:color w:val="auto"/>
        </w:rPr>
      </w:pPr>
    </w:p>
    <w:p>
      <w:pPr>
        <w:ind w:left="660" w:firstLine="644"/>
        <w:spacing w:after="0" w:line="277" w:lineRule="auto"/>
        <w:tabs>
          <w:tab w:leader="none" w:pos="176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Counsel, each stating that all conditions precedent relating to the Legal Defeasance or the Covenant Defeasance have been complied with.</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i w:val="1"/>
          <w:iCs w:val="1"/>
          <w:color w:val="auto"/>
        </w:rPr>
        <w:t>Deposited Money and Government Securities to be Held in Trust; Other Miscellaneous Provisions.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Subject to Section 8.06 hereof, all money and non-callable Government Securities (including the proceeds thereof) deposited with the Trustee (or other qualifying trustee, collectively for purposes of this Section 8.05, the </w:t>
      </w:r>
      <w:r>
        <w:rPr>
          <w:rFonts w:ascii="Arial" w:cs="Arial" w:eastAsia="Arial" w:hAnsi="Arial"/>
          <w:sz w:val="18"/>
          <w:szCs w:val="18"/>
          <w:i w:val="1"/>
          <w:iCs w:val="1"/>
          <w:color w:val="auto"/>
        </w:rPr>
        <w:t>“Trustee”</w:t>
      </w:r>
      <w:r>
        <w:rPr>
          <w:rFonts w:ascii="Arial" w:cs="Arial" w:eastAsia="Arial" w:hAnsi="Arial"/>
          <w:sz w:val="18"/>
          <w:szCs w:val="18"/>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firstLine="648"/>
        <w:spacing w:after="0" w:line="257" w:lineRule="auto"/>
        <w:rPr>
          <w:sz w:val="20"/>
          <w:szCs w:val="20"/>
          <w:color w:val="auto"/>
        </w:rPr>
      </w:pPr>
      <w:r>
        <w:rPr>
          <w:rFonts w:ascii="Arial" w:cs="Arial" w:eastAsia="Arial" w:hAnsi="Arial"/>
          <w:sz w:val="18"/>
          <w:szCs w:val="18"/>
          <w:color w:val="auto"/>
        </w:rPr>
        <w:t>Notwithstanding anything in this Article 8 to the contrary, the Trustee shall deliver or pay to the Company from time to time upon the request of the Company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w:t>
      </w:r>
    </w:p>
    <w:p>
      <w:pPr>
        <w:spacing w:after="0" w:line="1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5"/>
          <w:szCs w:val="15"/>
          <w:i w:val="1"/>
          <w:iCs w:val="1"/>
          <w:color w:val="auto"/>
        </w:rPr>
        <w:t>Repayment to Company.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Any money deposited with the Trustee or any Paying Agent, or then held by the Company, in trust for the payment of the principal of, premium, if any, or interest on, any Note and remaining unclaimed for two years after such principal, premium, if any, or interest has become due and payable shall be paid to the Company on its written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shall be repaid to the Company.</w:t>
      </w:r>
    </w:p>
    <w:p>
      <w:pPr>
        <w:spacing w:after="0" w:line="16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5"/>
          <w:szCs w:val="15"/>
          <w:i w:val="1"/>
          <w:iCs w:val="1"/>
          <w:color w:val="auto"/>
        </w:rPr>
        <w:t>Reinstatement.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If the Trustee or Paying Agent is unable to apply any U.S. dollars or non-callable Government Securities in accordance with Section 8.02 or 8.03 hereof, as the case may be, by reason of any order or judgment of any court or governmental authority enjoining, restraining or otherwise prohibiting such application, then the Company’s and the Guarantors’ obligations under this Indenture and the Notes and the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Company makes any payment of principal of, premium, if any, or interest on, any Note following the reinstatement of its obligations, the Company shall be subrogated to the rights of the Holders of such Notes to receive such payment from the money held by the Trustee or Paying Agent.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SUPPLEMENT AND WAIVER</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i w:val="1"/>
          <w:iCs w:val="1"/>
          <w:color w:val="auto"/>
        </w:rPr>
        <w:t>Without Consent of Holders of Notes.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Section 9.02 of this Indenture, without the consent of any Holder of Securities, the Company, the Guarantors and the Trustee may amend or supplement this Indenture, the Securities or the Subsidiary Guarantees:</w:t>
      </w:r>
    </w:p>
    <w:p>
      <w:pPr>
        <w:spacing w:after="0" w:line="170" w:lineRule="exact"/>
        <w:rPr>
          <w:sz w:val="20"/>
          <w:szCs w:val="20"/>
          <w:color w:val="auto"/>
        </w:rPr>
      </w:pPr>
    </w:p>
    <w:p>
      <w:pPr>
        <w:ind w:left="5540" w:right="5440" w:hanging="4236"/>
        <w:spacing w:after="0" w:line="905" w:lineRule="auto"/>
        <w:tabs>
          <w:tab w:leader="none" w:pos="179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to cure any ambiguity, mistake, defect or inconsistency;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ind w:left="660" w:firstLine="644"/>
        <w:spacing w:after="0" w:line="277" w:lineRule="auto"/>
        <w:tabs>
          <w:tab w:leader="none" w:pos="178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 (</w:t>
      </w:r>
      <w:r>
        <w:rPr>
          <w:rFonts w:ascii="Arial" w:cs="Arial" w:eastAsia="Arial" w:hAnsi="Arial"/>
          <w:sz w:val="18"/>
          <w:szCs w:val="18"/>
          <w:i w:val="1"/>
          <w:iCs w:val="1"/>
          <w:color w:val="auto"/>
        </w:rPr>
        <w:t>provided</w:t>
      </w:r>
      <w:r>
        <w:rPr>
          <w:rFonts w:ascii="Arial" w:cs="Arial" w:eastAsia="Arial" w:hAnsi="Arial"/>
          <w:sz w:val="18"/>
          <w:szCs w:val="18"/>
          <w:color w:val="auto"/>
        </w:rPr>
        <w:t>, that the uncertificated Securities are issued in registered form for purposes of Section 163(f) of the Code);</w:t>
      </w:r>
    </w:p>
    <w:p>
      <w:pPr>
        <w:spacing w:after="0" w:line="170" w:lineRule="exact"/>
        <w:rPr>
          <w:rFonts w:ascii="Arial" w:cs="Arial" w:eastAsia="Arial" w:hAnsi="Arial"/>
          <w:sz w:val="18"/>
          <w:szCs w:val="18"/>
          <w:color w:val="auto"/>
        </w:rPr>
      </w:pPr>
    </w:p>
    <w:p>
      <w:pPr>
        <w:ind w:left="660" w:right="20" w:firstLine="644"/>
        <w:spacing w:after="0" w:line="308" w:lineRule="auto"/>
        <w:tabs>
          <w:tab w:leader="none" w:pos="178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to provide for the assumption of the Parent Guarantor’s or the Company’s Obligations to Holders of Securities in the case of a merger or consolidation or sale of all or substantially all of the Parent Guarantor’s or the Company’s assets, as the case may be;</w:t>
      </w:r>
    </w:p>
    <w:p>
      <w:pPr>
        <w:spacing w:after="0" w:line="146" w:lineRule="exact"/>
        <w:rPr>
          <w:rFonts w:ascii="Arial" w:cs="Arial" w:eastAsia="Arial" w:hAnsi="Arial"/>
          <w:sz w:val="17"/>
          <w:szCs w:val="17"/>
          <w:color w:val="auto"/>
        </w:rPr>
      </w:pPr>
    </w:p>
    <w:p>
      <w:pPr>
        <w:ind w:left="660" w:firstLine="644"/>
        <w:spacing w:after="0" w:line="277" w:lineRule="auto"/>
        <w:tabs>
          <w:tab w:leader="none" w:pos="178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the Securities or that does not adversely affect the legal rights under this Indenture of any such Holder;</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conform the text of this Indenture or the Notes to any provision of the “Description of the Notes” section of the Offering Memorandum, relating to the initial offering of the Notes;</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under this Indenture of a successor trustee pursuant to the requirements hereof;</w:t>
      </w:r>
    </w:p>
    <w:p>
      <w:pPr>
        <w:spacing w:after="0" w:line="170"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provide for the issuance of Additional Notes and Additional Securities in accordance with the limitations set forth in this Indenture as of the date hereof; or</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to allow any Guarantor to execute a supplemental indenture and/or a Subsidiary Guarantee with respect to the Securities.</w:t>
      </w:r>
    </w:p>
    <w:p>
      <w:pPr>
        <w:spacing w:after="0" w:line="23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Upon the request of the Company accompanied by a Board Resolution authorizing the execution of any such amended or supplemental indenture, and upon receipt by the Trustee of the documents described in Section 7.02 hereof, the Trustee shall join with the Company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7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i w:val="1"/>
          <w:iCs w:val="1"/>
          <w:color w:val="auto"/>
        </w:rPr>
        <w:t>With Consent of Holders of Notes.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Except as provided below in this Section 9.02, the Company and the Trustee may amend or supplement this Indenture (including, without limitation, Section 4.09 hereof), the Notes and the Guarantees with the consent of the Holders of at least a majority in aggregate principal amount of the then outstanding Securities of each Series of Securities affected thereby (including, without limitation, consents obtained in connection with a tender offer or exchange offer for, or purchase of, any Series of Securities), and, subject to Sections 6.04 and 6.07 hereof, any existing Default or Event of Default (other than a Default or Event of Default in the payment of the principal of, premium, if any, or interest on, any Securities, except a payment default resulting from an acceleration that has been rescinded) or compliance with any provision of this Indenture, the Notes or the Guarantees may be waived with the consent of the Holders of a majority in aggregate principal amount of the then outstanding Securities of each Series of Securities affected thereby (including, without limitation, consents obtained in connection with a tender offer or exchange offer for, or purchase of, any Series of Securities). Section 2.09 hereof shall determine which Securities are considered to be “outstanding” for purposes of this Section 9.02.</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648"/>
        <w:spacing w:after="0" w:line="257" w:lineRule="auto"/>
        <w:rPr>
          <w:sz w:val="20"/>
          <w:szCs w:val="20"/>
          <w:color w:val="auto"/>
        </w:rPr>
      </w:pPr>
      <w:r>
        <w:rPr>
          <w:rFonts w:ascii="Arial" w:cs="Arial" w:eastAsia="Arial" w:hAnsi="Arial"/>
          <w:sz w:val="18"/>
          <w:szCs w:val="18"/>
          <w:color w:val="auto"/>
        </w:rPr>
        <w:t>Upon the request of the Company accompanied by a Board Resolution and upon the filing with the Trustee of evidence satisfactory to the Trustee of the consent of the Holders of Securities as aforesaid, and upon receipt by the Trustee of an Officers’ Certificate and Opinion of Counsel, the Trustee shall join with the Company and the Guarantors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is not necessary for the consent of the Holders of Securities under this Section 9.02 to approve the particular form of any proposed amendment, supplement or waiver, but it is sufficient if such consent approves the substance thereof.</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After an amendment, supplement or waiver under this Section 9.02 becomes effective, the Company shall mail or deliver electronically to the Holders of Securities affected thereby a notice briefly describing the amendment, supplement or waiver. Any failure of the Company to mail or deliver such notice, or any defect therein, will not, however, in any way impair or affect the validity of any such amended or supplemental indenture or waiver. Subject to Sections 6.04 and 6.07 hereof, the Holders of a majority in aggregate principal amount of the Securities of any particular Series then outstanding voting as a single class may waive compliance in a particular instance by the Company with any provision of this Indenture, the Securities or the Guarantees. However, without the consent of each Holder of any Security affected, an amendment, supplement or waiver under this Section 9.02 may not (with respect to any Security held by a non-consenting Holder):</w:t>
      </w:r>
    </w:p>
    <w:p>
      <w:pPr>
        <w:spacing w:after="0" w:line="195" w:lineRule="exact"/>
        <w:rPr>
          <w:sz w:val="20"/>
          <w:szCs w:val="20"/>
          <w:color w:val="auto"/>
        </w:rPr>
      </w:pPr>
    </w:p>
    <w:p>
      <w:pPr>
        <w:ind w:left="1780" w:hanging="476"/>
        <w:spacing w:after="0"/>
        <w:tabs>
          <w:tab w:leader="none" w:pos="1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Security or alter the provisions with respect to the redemption of the Securities (other than provisions relating to the covenants described in Section 4.09 hereof and provisions relating to the number of days’ notice to be given in case of redemption);</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Security;</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premium, if any, or interest on, any Security (except a rescission of acceleration of any Series of Securities by the Holders of at least a majority in aggregate principal amount of the then outstanding Securities of such Series and a waiver of the payment default that resulted from such acceleration);</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make any Security payable in currency other than that stated in the Securities;</w:t>
      </w:r>
    </w:p>
    <w:p>
      <w:pPr>
        <w:spacing w:after="0" w:line="225"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of Securities to receive payments of principal of, premium, if any, or, interest on, the Securities;</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waive a redemption payment with respect to any Security (other than a payment required by Sections 4.09 hereof); or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spacing w:after="0"/>
        <w:tabs>
          <w:tab w:leader="none" w:pos="114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i w:val="1"/>
          <w:iCs w:val="1"/>
          <w:color w:val="auto"/>
        </w:rPr>
        <w:t>Revocation and Effect of Consents.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Until an amendment, supplement or waiver becomes effective, a consent to it by a Holder of a Security is a continuing consent by the Holder of a Security and every subsequent Holder of a Security or portion of a Security that evidences the same debt as the consenting Holder’s Security, even if notation of the consent is not made on any Security. However, any such Holder of a Security or subsequent Holder of a Security may revoke the consent as to its Security if the Trustee receives written notice of revocation before the date the amendment, supplement or waiver becomes effective. An amendment, supplement or waiver becomes effective in accordance with its terms and thereafter binds every Holder.</w:t>
      </w:r>
    </w:p>
    <w:p>
      <w:pPr>
        <w:spacing w:after="0" w:line="17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i w:val="1"/>
          <w:iCs w:val="1"/>
          <w:color w:val="auto"/>
        </w:rPr>
        <w:t>Notation on or Exchange of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Trustee may place an appropriate notation about an amendment, supplement or waiver on any Security thereafter authenticated. The Company in exchange for all Securities may issue and the Trustee shall, upon receipt of an Authentication Order, authenticate new Securities that reflect the amendment, supplement or waiver.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Failure to make the appropriate notation or issue a new Security will not affect the validity and effect of such amendment, supplement or waiver.</w:t>
      </w:r>
    </w:p>
    <w:p>
      <w:pPr>
        <w:spacing w:after="0" w:line="24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5"/>
          <w:szCs w:val="15"/>
          <w:i w:val="1"/>
          <w:iCs w:val="1"/>
          <w:color w:val="auto"/>
        </w:rPr>
        <w:t>Trustee to Sign Amendments, etc.</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Trustee shall sign any amended or supplemental indenture authorized pursuant to this Article 9 if the amendment or supplement does not adversely affect the rights, duties, liabilities or immunities of the Trustee. The Company may not sign an amended or supplemental indenture until the Board of Directors of the Company approves it. In executing any amended or supplemental indenture, the Trustee will be entitled to receive and (subject to Section 7.01 hereof) will be fully protected in relying upon an Officers’ Certificate and an Opinion of Counsel stating that the execution of such amended or supplemental indenture is authorized or permitted by this Indenture.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the Notes, Article 10 hereof provides the terms of the Guarantees of the Notes. For purposes of any Additional Securities issued under this Indenture, the Supplemental Indenture in respect of such Additional Securities will specify the terms of guarantees for such Additional Securities, which may include some, all or none of the terms contained in this Article 10 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10.01.  Guarantee.</w:t>
      </w:r>
    </w:p>
    <w:p>
      <w:pPr>
        <w:spacing w:after="0" w:line="225" w:lineRule="exact"/>
        <w:rPr>
          <w:sz w:val="20"/>
          <w:szCs w:val="20"/>
          <w:color w:val="auto"/>
        </w:rPr>
      </w:pPr>
    </w:p>
    <w:p>
      <w:pPr>
        <w:jc w:val="both"/>
        <w:ind w:firstLine="656"/>
        <w:spacing w:after="0" w:line="263" w:lineRule="auto"/>
        <w:tabs>
          <w:tab w:leader="none" w:pos="111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Subject to this Article 10, each of the Guarantors hereby, jointly and severally, fully and unconditionally guarantees to each Holder of a Note authenticated and delivered by the Trustee and to the Trustee and its successors and assigns, irrespective of the validity and enforceability of this Indenture, the Notes or the obligations of the Company hereunder or thereunder, that:</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78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principal of, premium, if any, and interest on, the Notes shall be promptly paid in full when due, whether at maturity, by acceleration, redemption or otherwise, and interest on the overdue principal of, premium, if any, and interest on, the Notes, if lawful, and all other obligations of the Company to the Holders or the Trustee hereunder or thereunder shall be promptly paid in full or performed, all in accordance with the terms hereof and thereof;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left="660" w:firstLine="644"/>
        <w:spacing w:after="0" w:line="263" w:lineRule="auto"/>
        <w:tabs>
          <w:tab w:leader="none" w:pos="178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184"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24" w:lineRule="exact"/>
        <w:rPr>
          <w:sz w:val="20"/>
          <w:szCs w:val="20"/>
          <w:color w:val="auto"/>
        </w:rPr>
      </w:pPr>
    </w:p>
    <w:p>
      <w:pPr>
        <w:jc w:val="both"/>
        <w:ind w:firstLine="656"/>
        <w:spacing w:after="0" w:line="254" w:lineRule="auto"/>
        <w:tabs>
          <w:tab w:leader="none" w:pos="112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Guarantors hereby agree that their obligations hereunder are full and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Company, any right to require a proceeding first against the Company, protest, notice and all demands whatsoever and covenant that this Guarantee will not be discharged except by complete performance of the obligations contained in the Notes and this Indenture.</w:t>
      </w:r>
    </w:p>
    <w:p>
      <w:pPr>
        <w:spacing w:after="0" w:line="194" w:lineRule="exact"/>
        <w:rPr>
          <w:rFonts w:ascii="Arial" w:cs="Arial" w:eastAsia="Arial" w:hAnsi="Arial"/>
          <w:sz w:val="18"/>
          <w:szCs w:val="18"/>
          <w:color w:val="auto"/>
        </w:rPr>
      </w:pPr>
    </w:p>
    <w:p>
      <w:pPr>
        <w:jc w:val="both"/>
        <w:ind w:firstLine="656"/>
        <w:spacing w:after="0" w:line="263" w:lineRule="auto"/>
        <w:tabs>
          <w:tab w:leader="none" w:pos="111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Guarantee, to the extent theretofore discharged, shall be reinstated in full force and effect.</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12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hereof for the purposes of this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will forthwith become due and payable by the Guarantors for the purpose of this Guarantee. The Guarantors will have the right to seek contribution from any non-paying Guarantor so long as the exercise of such right does not impair the rights of the Holders under the Guarantee.</w:t>
      </w:r>
    </w:p>
    <w:p>
      <w:pPr>
        <w:spacing w:after="0" w:line="19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i w:val="1"/>
          <w:iCs w:val="1"/>
          <w:color w:val="auto"/>
        </w:rPr>
        <w:t>Section 10.02.</w:t>
      </w:r>
      <w:r>
        <w:rPr>
          <w:sz w:val="20"/>
          <w:szCs w:val="20"/>
          <w:color w:val="auto"/>
        </w:rPr>
        <w:tab/>
      </w:r>
      <w:r>
        <w:rPr>
          <w:rFonts w:ascii="Arial" w:cs="Arial" w:eastAsia="Arial" w:hAnsi="Arial"/>
          <w:sz w:val="17"/>
          <w:szCs w:val="17"/>
          <w:i w:val="1"/>
          <w:iCs w:val="1"/>
          <w:color w:val="auto"/>
        </w:rPr>
        <w:t>Limitation on Guarantor Liability.</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Each Guarantor,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Guarantee not constituting a fraudulent transfer or conveyance.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Section 10.03.  Execution and Delivery of Guarantee.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Guarantor hereby agrees that its Guarantee set forth in Section 10.01 hereof will remain in full force and effect notwithstanding any failure to endorse on each Note a notation of such Guarantee.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 Officer whose signature is on this Indenture or on the Guarantee no longer holds that office at the time the Trustee authenticates the Note on which a Guarantee is endorsed, the Guarantee will be valid nevertheless.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will constitute due delivery of the Guarantee set forth in this Indenture on behalf of the Guarantors.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10.04.  Guarantors May Consolidate, etc., on Certain Terms.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otherwise provided in Section 10.05 hereof, no Guarantor may sell or otherwise dispose of all or substantially all of its assets to, or consolidate with or merge with or into (whether or not such Guarantor is the surviving Person) another Person, other than the Company or another Guarantor, unless:</w:t>
      </w:r>
    </w:p>
    <w:p>
      <w:pPr>
        <w:spacing w:after="0" w:line="184" w:lineRule="exact"/>
        <w:rPr>
          <w:sz w:val="20"/>
          <w:szCs w:val="20"/>
          <w:color w:val="auto"/>
        </w:rPr>
      </w:pPr>
    </w:p>
    <w:p>
      <w:pPr>
        <w:ind w:left="1780" w:hanging="476"/>
        <w:spacing w:after="0"/>
        <w:tabs>
          <w:tab w:leader="none" w:pos="1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exists; and</w:t>
      </w:r>
    </w:p>
    <w:p>
      <w:pPr>
        <w:spacing w:after="0" w:line="225" w:lineRule="exact"/>
        <w:rPr>
          <w:rFonts w:ascii="Arial" w:cs="Arial" w:eastAsia="Arial" w:hAnsi="Arial"/>
          <w:sz w:val="18"/>
          <w:szCs w:val="18"/>
          <w:color w:val="auto"/>
        </w:rPr>
      </w:pPr>
    </w:p>
    <w:p>
      <w:pPr>
        <w:jc w:val="both"/>
        <w:ind w:left="660" w:firstLine="644"/>
        <w:spacing w:after="0" w:line="286" w:lineRule="auto"/>
        <w:tabs>
          <w:tab w:leader="none" w:pos="178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subject to Section 10.05 hereof, the Person acquiring the property in any such sale or disposition or the Person formed by or surviving any such consolidation or merger fully and unconditionally assumes all the obligations of that Guarantor under its Guarantee, this Indenture on the terms set forth herein, pursuant to a supplemental indenture in form and substance reasonably satisfactory to the Trustee;</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case of any such consolidation, merger, sale or conveyance and upon the assumption by the successor Person, by supplemental indenture, executed and delivered to the Trustee and satisfactory in form to the Trustee, of the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Guarantees to be endorsed upon all of the Notes issuable hereunder which theretofore shall not have been signed by the Company and delivered to the Trustee. All the Guarantees so issued will in all respects have the same legal rank and benefit under this Indenture as the Guarantees theretofore and thereafter issued in accordance with the terms of this Indenture as though all of such Guarantees had been issued at the date of the execution hereof.</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set forth in Articles 4 and 5 hereof, and notwithstanding clause (2) above, nothing contained in this Indenture or in any of the Notes will prevent any consolidation or merger of a Guarantor with or into the Company or another Guarantor, or will prevent any sale or conveyance of the property of a Guarantor as an entirety or substantially as an entirety to the Company or another Guarantor.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10.05.  Releases.</w:t>
      </w:r>
    </w:p>
    <w:p>
      <w:pPr>
        <w:spacing w:after="0" w:line="225" w:lineRule="exact"/>
        <w:rPr>
          <w:sz w:val="20"/>
          <w:szCs w:val="20"/>
          <w:color w:val="auto"/>
        </w:rPr>
      </w:pPr>
    </w:p>
    <w:p>
      <w:pPr>
        <w:ind w:left="1120" w:hanging="464"/>
        <w:spacing w:after="0"/>
        <w:tabs>
          <w:tab w:leader="none" w:pos="11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ind w:left="1140" w:hanging="484"/>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Subsidiary Guarantee of a Subsidiary Guarantor shall be released automatically:</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Subsidiary Guarantor (including by way of merger or consolidation) to a Person that is not (either before or after giving effect to such transaction) the Company or a Subsidiary of the Company;</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Capital Stock of that Subsidiary Guarantor to a Person that is not (either before or after giving effect to such transaction) the Company or a Subsidiary of the Company, if following such sale or other disposition, that Subsidiary Guarantor is no longer a direct or indirect Subsidiary of the Company;</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upon repayment in full of the Notes;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upon defeasance or satisfaction and discharge of the Notes as provided in Sections 8.01, 8.02, 8.03, 8.04 and 11.01 hereof;</w:t>
      </w:r>
    </w:p>
    <w:p>
      <w:pPr>
        <w:spacing w:after="0" w:line="236" w:lineRule="exact"/>
        <w:rPr>
          <w:rFonts w:ascii="Arial" w:cs="Arial" w:eastAsia="Arial" w:hAnsi="Arial"/>
          <w:sz w:val="17"/>
          <w:szCs w:val="17"/>
          <w:color w:val="auto"/>
        </w:rPr>
      </w:pPr>
    </w:p>
    <w:p>
      <w:pPr>
        <w:ind w:left="1780" w:hanging="476"/>
        <w:spacing w:after="0"/>
        <w:tabs>
          <w:tab w:leader="none" w:pos="17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upon a dissolution of a Subsidiary Guarantor that is permitted under this Indenture; or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otherwise with respect to the Guarantee of any Subsidiary Guarantor:</w:t>
      </w:r>
    </w:p>
    <w:p>
      <w:pPr>
        <w:spacing w:after="0" w:line="225" w:lineRule="exact"/>
        <w:rPr>
          <w:rFonts w:ascii="Arial" w:cs="Arial" w:eastAsia="Arial" w:hAnsi="Arial"/>
          <w:sz w:val="18"/>
          <w:szCs w:val="18"/>
          <w:color w:val="auto"/>
        </w:rPr>
      </w:pPr>
    </w:p>
    <w:p>
      <w:pPr>
        <w:ind w:left="2440" w:hanging="488"/>
        <w:spacing w:after="0"/>
        <w:tabs>
          <w:tab w:leader="none" w:pos="2440" w:val="left"/>
        </w:tabs>
        <w:numPr>
          <w:ilvl w:val="2"/>
          <w:numId w:val="110"/>
        </w:numPr>
        <w:rPr>
          <w:rFonts w:ascii="Arial" w:cs="Arial" w:eastAsia="Arial" w:hAnsi="Arial"/>
          <w:sz w:val="17"/>
          <w:szCs w:val="17"/>
          <w:color w:val="auto"/>
        </w:rPr>
      </w:pPr>
      <w:r>
        <w:rPr>
          <w:rFonts w:ascii="Arial" w:cs="Arial" w:eastAsia="Arial" w:hAnsi="Arial"/>
          <w:sz w:val="17"/>
          <w:szCs w:val="17"/>
          <w:color w:val="auto"/>
        </w:rPr>
        <w:t>upon the prior consent of Holders of at least a majority in aggregate principal amount of the Notes then outstanding;</w:t>
      </w:r>
    </w:p>
    <w:p>
      <w:pPr>
        <w:spacing w:after="0" w:line="236" w:lineRule="exact"/>
        <w:rPr>
          <w:rFonts w:ascii="Arial" w:cs="Arial" w:eastAsia="Arial" w:hAnsi="Arial"/>
          <w:sz w:val="17"/>
          <w:szCs w:val="17"/>
          <w:color w:val="auto"/>
        </w:rPr>
      </w:pPr>
    </w:p>
    <w:p>
      <w:pPr>
        <w:jc w:val="both"/>
        <w:ind w:left="1300" w:firstLine="652"/>
        <w:spacing w:after="0" w:line="255" w:lineRule="auto"/>
        <w:tabs>
          <w:tab w:leader="none" w:pos="2458" w:val="left"/>
        </w:tabs>
        <w:numPr>
          <w:ilvl w:val="2"/>
          <w:numId w:val="110"/>
        </w:numPr>
        <w:rPr>
          <w:rFonts w:ascii="Arial" w:cs="Arial" w:eastAsia="Arial" w:hAnsi="Arial"/>
          <w:sz w:val="18"/>
          <w:szCs w:val="18"/>
          <w:color w:val="auto"/>
        </w:rPr>
      </w:pPr>
      <w:r>
        <w:rPr>
          <w:rFonts w:ascii="Arial" w:cs="Arial" w:eastAsia="Arial" w:hAnsi="Arial"/>
          <w:sz w:val="18"/>
          <w:szCs w:val="18"/>
          <w:color w:val="auto"/>
        </w:rPr>
        <w:t>if the Company has Indebtedness outstanding under the Credit Agreement at that time, upon the consent of the requisite lenders under the Credit Agreement to the release of such Subsidiary Guarantor’s Guarantee of all Obligations under the Credit Agreement, or, if there is no Indebtedness of the Company outstanding under the Credit Agreement at that time, upon the requisite consent of the Holders of all other Material Indebtedness of the Company that is guaranteed by such Subsidiary Guarantor at that time outstanding to the release of such Subsidiary Guarantor’s Guarantee of all Obligations with respect to all such other Material Indebtedness that is guaranteed by such Subsidiary Guarantor at that time outstanding; or</w:t>
      </w:r>
    </w:p>
    <w:p>
      <w:pPr>
        <w:spacing w:after="0" w:line="192" w:lineRule="exact"/>
        <w:rPr>
          <w:rFonts w:ascii="Arial" w:cs="Arial" w:eastAsia="Arial" w:hAnsi="Arial"/>
          <w:sz w:val="18"/>
          <w:szCs w:val="18"/>
          <w:color w:val="auto"/>
        </w:rPr>
      </w:pPr>
    </w:p>
    <w:p>
      <w:pPr>
        <w:jc w:val="both"/>
        <w:ind w:left="1300" w:firstLine="652"/>
        <w:spacing w:after="0" w:line="279" w:lineRule="auto"/>
        <w:tabs>
          <w:tab w:leader="none" w:pos="2458" w:val="left"/>
        </w:tabs>
        <w:numPr>
          <w:ilvl w:val="2"/>
          <w:numId w:val="110"/>
        </w:numPr>
        <w:rPr>
          <w:rFonts w:ascii="Arial" w:cs="Arial" w:eastAsia="Arial" w:hAnsi="Arial"/>
          <w:sz w:val="17"/>
          <w:szCs w:val="17"/>
          <w:color w:val="auto"/>
        </w:rPr>
      </w:pPr>
      <w:r>
        <w:rPr>
          <w:rFonts w:ascii="Arial" w:cs="Arial" w:eastAsia="Arial" w:hAnsi="Arial"/>
          <w:sz w:val="17"/>
          <w:szCs w:val="17"/>
          <w:color w:val="auto"/>
        </w:rPr>
        <w:t>if the Company has Indebtedness outstanding under the Credit Agreement at that time, upon the release of such Subsidiary Guarantor’s Guarantee of all Obligations of the Company under the Credit Agreement, or, if there is no Indebtedness of the Company outstanding under the Credit Agreement at that time, upon the release of such Subsidiary Guarantor’s Guarantee of all Obligations with respect to all other Material Indebtedness of the Company at that time outstanding.</w:t>
      </w:r>
    </w:p>
    <w:p>
      <w:pPr>
        <w:spacing w:after="0" w:line="171" w:lineRule="exact"/>
        <w:rPr>
          <w:rFonts w:ascii="Arial" w:cs="Arial" w:eastAsia="Arial" w:hAnsi="Arial"/>
          <w:sz w:val="17"/>
          <w:szCs w:val="17"/>
          <w:color w:val="auto"/>
        </w:rPr>
      </w:pPr>
    </w:p>
    <w:p>
      <w:pPr>
        <w:ind w:firstLine="656"/>
        <w:spacing w:after="0" w:line="277" w:lineRule="auto"/>
        <w:tabs>
          <w:tab w:leader="none" w:pos="111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Guarantee of a Guarantor shall be released with respect to the Notes automatically upon Legal Defeasance, Covenant Defeasance or satisfaction and discharge of this Indenture pursuant to Articles 8 and 11 hereof.</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12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Upon delivery by the Company to the Trustee of an Officers’ Certificate and an Opinion of Counsel to the effect that the action or event giving rise to the applicable release has occurred or was made by the Company in accordance with the provisions of this Indenture the Trustee shall execute any documents reasonably required in order to evidence the release of any Guarantor from its obligations under its Guarantee.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right="20" w:firstLine="656"/>
        <w:spacing w:after="0" w:line="342" w:lineRule="auto"/>
        <w:tabs>
          <w:tab w:leader="none" w:pos="110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Any Guarantor not released from its obligations under its Guarantee as provided in this Section 10.05 will remain liable for the full amount of principal of, premium, if any, and interest on, the Notes and for the other obligations of any Guarantor under this Indenture as provided in this Article 10.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SATISFACTION AND DISCHARGE</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For purposes of the Notes, Article 11 hereof provides the terms upon which satisfaction and discharge can occur. For purposes of any Additional Securities issued under this Indenture, the Supplemental Indenture in respect of such Additional Securities will specify the terms upon which satisfaction and discharge can occur for such Additional Securities, which may include some, all or none of the terms contained in this Article 11 hereof.</w:t>
      </w:r>
    </w:p>
    <w:p>
      <w:pPr>
        <w:spacing w:after="0" w:line="14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i w:val="1"/>
          <w:iCs w:val="1"/>
          <w:color w:val="auto"/>
        </w:rPr>
        <w:t>Satisfaction and Discharge.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Indenture will be discharged and will cease to be of further effect as to all Notes issued hereunder, when:</w:t>
      </w:r>
    </w:p>
    <w:p>
      <w:pPr>
        <w:spacing w:after="0" w:line="225" w:lineRule="exact"/>
        <w:rPr>
          <w:sz w:val="20"/>
          <w:szCs w:val="20"/>
          <w:color w:val="auto"/>
        </w:rPr>
      </w:pPr>
    </w:p>
    <w:p>
      <w:pPr>
        <w:ind w:left="1780" w:hanging="476"/>
        <w:spacing w:after="0"/>
        <w:tabs>
          <w:tab w:leader="none" w:pos="1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42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Notes that have been authenticated, except lost, stolen or destroyed Notes that have been replaced or paid and Notes for whose payment money has been deposited in trust and thereafter repaid to the Company, have been delivered to the Trustee for such Notes for cancellation; or</w:t>
      </w:r>
    </w:p>
    <w:p>
      <w:pPr>
        <w:spacing w:after="0" w:line="183" w:lineRule="exact"/>
        <w:rPr>
          <w:rFonts w:ascii="Arial" w:cs="Arial" w:eastAsia="Arial" w:hAnsi="Arial"/>
          <w:sz w:val="18"/>
          <w:szCs w:val="18"/>
          <w:color w:val="auto"/>
        </w:rPr>
      </w:pPr>
    </w:p>
    <w:p>
      <w:pPr>
        <w:jc w:val="both"/>
        <w:ind w:left="660" w:firstLine="1292"/>
        <w:spacing w:after="0" w:line="273" w:lineRule="auto"/>
        <w:tabs>
          <w:tab w:leader="none" w:pos="2436" w:val="left"/>
        </w:tabs>
        <w:numPr>
          <w:ilvl w:val="1"/>
          <w:numId w:val="112"/>
        </w:numPr>
        <w:rPr>
          <w:rFonts w:ascii="Arial" w:cs="Arial" w:eastAsia="Arial" w:hAnsi="Arial"/>
          <w:sz w:val="17"/>
          <w:szCs w:val="17"/>
          <w:color w:val="auto"/>
        </w:rPr>
      </w:pPr>
      <w:r>
        <w:rPr>
          <w:rFonts w:ascii="Arial" w:cs="Arial" w:eastAsia="Arial" w:hAnsi="Arial"/>
          <w:sz w:val="17"/>
          <w:szCs w:val="17"/>
          <w:color w:val="auto"/>
        </w:rPr>
        <w:t>all Notes that have not been delivered to the Trustee for cancellation have become due and payable by reason of the distribution of a notice of redemption or otherwise or will become due and payable within one year and the Company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177" w:lineRule="exact"/>
        <w:rPr>
          <w:rFonts w:ascii="Arial" w:cs="Arial" w:eastAsia="Arial" w:hAnsi="Arial"/>
          <w:sz w:val="17"/>
          <w:szCs w:val="17"/>
          <w:color w:val="auto"/>
        </w:rPr>
      </w:pPr>
    </w:p>
    <w:p>
      <w:pPr>
        <w:jc w:val="both"/>
        <w:ind w:left="660" w:firstLine="644"/>
        <w:spacing w:after="0" w:line="259" w:lineRule="auto"/>
        <w:tabs>
          <w:tab w:leader="none" w:pos="178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respect of subclause (b) of clause (1) of this Section 11.01, no Default or Event of Default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the Company or any Guarantor is a party or by which the Company or any Guarantor is bound;</w:t>
      </w:r>
    </w:p>
    <w:p>
      <w:pPr>
        <w:spacing w:after="0" w:line="186" w:lineRule="exact"/>
        <w:rPr>
          <w:rFonts w:ascii="Arial" w:cs="Arial" w:eastAsia="Arial" w:hAnsi="Arial"/>
          <w:sz w:val="18"/>
          <w:szCs w:val="18"/>
          <w:color w:val="auto"/>
        </w:rPr>
      </w:pPr>
    </w:p>
    <w:p>
      <w:pPr>
        <w:ind w:left="1780" w:hanging="476"/>
        <w:spacing w:after="0"/>
        <w:tabs>
          <w:tab w:leader="none" w:pos="1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or any Guarantor has paid or caused to be paid all sums payable by it under this Indenture; and</w:t>
      </w:r>
    </w:p>
    <w:p>
      <w:pPr>
        <w:spacing w:after="0" w:line="225"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this Indenture to apply the deposited money toward the payment of the Notes at maturity or on the redemption date, as the case may be.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the Company must deliver an Officers’ Certificate and an Opinion of Counsel to the Trustee stating that all conditions precedent to satisfaction and discharge have been satisfied.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ind w:left="660"/>
        <w:spacing w:after="0"/>
        <w:rPr>
          <w:sz w:val="20"/>
          <w:szCs w:val="20"/>
          <w:color w:val="auto"/>
        </w:rPr>
      </w:pPr>
      <w:r>
        <w:rPr>
          <w:rFonts w:ascii="Arial" w:cs="Arial" w:eastAsia="Arial" w:hAnsi="Arial"/>
          <w:sz w:val="16"/>
          <w:szCs w:val="16"/>
          <w:color w:val="auto"/>
        </w:rPr>
        <w:t>Notwithstanding the satisfaction and discharge of this Indenture, if money has been deposited with the Trustee pursuant to subclause (b) of clause</w:t>
      </w:r>
    </w:p>
    <w:p>
      <w:pPr>
        <w:spacing w:after="0" w:line="46" w:lineRule="exact"/>
        <w:rPr>
          <w:sz w:val="20"/>
          <w:szCs w:val="20"/>
          <w:color w:val="auto"/>
        </w:rPr>
      </w:pPr>
    </w:p>
    <w:p>
      <w:pPr>
        <w:ind w:firstLine="8"/>
        <w:spacing w:after="0" w:line="260" w:lineRule="auto"/>
        <w:tabs>
          <w:tab w:leader="none" w:pos="28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of this Section 11.01, the provisions of Sections 11.02 and 8.06 hereof will survive. In addition, nothing in this Section 11.01 will be deemed to discharge those provisions of Section 7.07 hereof, that, by their terms, survive the satisfaction and discharge of this Indenture.</w:t>
      </w:r>
    </w:p>
    <w:p>
      <w:pPr>
        <w:spacing w:after="0" w:line="1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i w:val="1"/>
          <w:iCs w:val="1"/>
          <w:color w:val="auto"/>
        </w:rPr>
        <w:t>Application of Trust Money.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the provisions of Section 8.06 hereof, all money deposited with the Trustee pursuant to Section 11.01 hereof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If the Trustee or Paying Agent is unable to apply any money or Government Securities in accordance with Section 11.01 hereof by reason of any legal proceeding or by reason of any order or judgment of any court or governmental authority enjoining, restraining or otherwise prohibiting such application, the Company’s and any Guarantor’s obligations under this Indenture and the Securities shall be revived and reinstated as though no deposit had occurred pursuant to Section 11.01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has made any payment of principal of, premium, if any, or interest on, any Securities because of the reinstatement of its obligations, the Company shall be subrogated to the rights of the Holders of such Securities to receive such payment from the money or Government Securities held by the Trustee or Paying Agent.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ectPr>
          <w:pgSz w:w="11900" w:h="16838" w:orient="portrait"/>
          <w:cols w:equalWidth="0" w:num="1">
            <w:col w:w="11240"/>
          </w:cols>
          <w:pgMar w:left="320" w:top="908"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Section 12.01</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[Reserved]</w:t>
      </w:r>
    </w:p>
    <w:p>
      <w:pPr>
        <w:spacing w:after="0" w:line="200" w:lineRule="exact"/>
        <w:rPr>
          <w:sz w:val="20"/>
          <w:szCs w:val="20"/>
          <w:color w:val="auto"/>
        </w:rPr>
      </w:pPr>
    </w:p>
    <w:p>
      <w:pPr>
        <w:sectPr>
          <w:pgSz w:w="11900" w:h="16838" w:orient="portrait"/>
          <w:cols w:equalWidth="0" w:num="2">
            <w:col w:w="1000" w:space="200"/>
            <w:col w:w="10040"/>
          </w:cols>
          <w:pgMar w:left="320" w:top="908"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Section 12.02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Notices.</w:t>
      </w:r>
    </w:p>
    <w:p>
      <w:pPr>
        <w:spacing w:after="0" w:line="200" w:lineRule="exact"/>
        <w:rPr>
          <w:sz w:val="20"/>
          <w:szCs w:val="20"/>
          <w:color w:val="auto"/>
        </w:rPr>
      </w:pPr>
    </w:p>
    <w:p>
      <w:pPr>
        <w:sectPr>
          <w:pgSz w:w="11900" w:h="16838" w:orient="portrait"/>
          <w:cols w:equalWidth="0" w:num="2">
            <w:col w:w="1000" w:space="200"/>
            <w:col w:w="10040"/>
          </w:cols>
          <w:pgMar w:left="320" w:top="908" w:right="339" w:bottom="1440" w:gutter="0" w:footer="0" w:header="0"/>
          <w:type w:val="continuous"/>
        </w:sectPr>
      </w:pPr>
    </w:p>
    <w:p>
      <w:pPr>
        <w:spacing w:after="0" w:line="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notice or communication by the Company, any Guarantor or the Trustee to the others is duly given if in writing and delivered in Person or mailed by first class mail (registered or certified, return receipt requested), telecopier or overnight air courier guaranteeing next day delivery, to the others’ address: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and/or any Guarantor: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300 Carnegie Center Drive, Suite 300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ogc@clearwayenergy.com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Baker Botts L.L.P.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2001 Ross Ave., Suite 900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Fascimile: (214) 661-4783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Preston Bernhisel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73" w:name="page74"/>
    <w:bookmarkEnd w:id="73"/>
    <w:p>
      <w:pPr>
        <w:ind w:left="660"/>
        <w:spacing w:after="0"/>
        <w:rPr>
          <w:sz w:val="20"/>
          <w:szCs w:val="20"/>
          <w:color w:val="auto"/>
        </w:rPr>
      </w:pPr>
      <w:r>
        <w:rPr>
          <w:rFonts w:ascii="Arial" w:cs="Arial" w:eastAsia="Arial" w:hAnsi="Arial"/>
          <w:sz w:val="18"/>
          <w:szCs w:val="18"/>
          <w:color w:val="auto"/>
        </w:rPr>
        <w:t>If to the Trustee: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Delaware Trust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Telecopier No.: (302) 636-8666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any Guarantor or the Trustee, by notice to the others, may designate additional or different addresses for subsequent notices or communications.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notices and communications (other than those sent to Holders) will be deemed to have been duly given: at the time delivered by hand, if personally delivered; five Business Days after being deposited in the mail, postage prepaid, if mailed; when receipt acknowledged, if telecopied; and the next Business Day after timely delivery to the courier, if sent by overnight air courier guaranteeing next day delivery.</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notice or communication is mailed in the manner provided above within the time prescribed, it is duly given, whether or not the addressee receives it.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Company mails (or deliver electronically) a notice or communication to Holders, it will mail (or deliver electronically) a copy to the Trustee and each Agent at the same time.</w:t>
      </w:r>
    </w:p>
    <w:p>
      <w:pPr>
        <w:spacing w:after="0" w:line="1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12.03</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12.04</w:t>
      </w:r>
      <w:r>
        <w:rPr>
          <w:sz w:val="20"/>
          <w:szCs w:val="20"/>
          <w:color w:val="auto"/>
        </w:rPr>
        <w:tab/>
      </w:r>
      <w:r>
        <w:rPr>
          <w:rFonts w:ascii="Arial" w:cs="Arial" w:eastAsia="Arial" w:hAnsi="Arial"/>
          <w:sz w:val="16"/>
          <w:szCs w:val="16"/>
          <w:i w:val="1"/>
          <w:iCs w:val="1"/>
          <w:color w:val="auto"/>
        </w:rPr>
        <w:t>Certificate and Opinion as to Conditions Precedent.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248" w:lineRule="exact"/>
        <w:rPr>
          <w:sz w:val="20"/>
          <w:szCs w:val="20"/>
          <w:color w:val="auto"/>
        </w:rPr>
      </w:pPr>
    </w:p>
    <w:p>
      <w:pPr>
        <w:jc w:val="both"/>
        <w:ind w:left="660" w:firstLine="644"/>
        <w:spacing w:after="0" w:line="263" w:lineRule="auto"/>
        <w:tabs>
          <w:tab w:leader="none" w:pos="178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Officers’ Certificate in form and substance reasonably satisfactory to the Trustee (which must include the statements set forth in Section 12.05 hereof) stating that, in the opinion of the signers, all conditions precedent and covenants, if any, provided for in this Indenture relating to the proposed action have been satisfied; and</w:t>
      </w:r>
    </w:p>
    <w:p>
      <w:pPr>
        <w:spacing w:after="0" w:line="183" w:lineRule="exact"/>
        <w:rPr>
          <w:rFonts w:ascii="Arial" w:cs="Arial" w:eastAsia="Arial" w:hAnsi="Arial"/>
          <w:sz w:val="18"/>
          <w:szCs w:val="18"/>
          <w:color w:val="auto"/>
        </w:rPr>
      </w:pPr>
    </w:p>
    <w:p>
      <w:pPr>
        <w:ind w:left="660" w:firstLine="644"/>
        <w:spacing w:after="0" w:line="308" w:lineRule="auto"/>
        <w:tabs>
          <w:tab w:leader="none" w:pos="178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an Opinion of Counsel in form and substance reasonably satisfactory to the Trustee (which must include the statements set forth in Section 12.05 hereof) stating that, in the opinion of such counsel, all such conditions precedent and covenants have been satisfied.</w:t>
      </w:r>
    </w:p>
    <w:p>
      <w:pPr>
        <w:spacing w:after="0" w:line="14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12.05</w:t>
      </w:r>
      <w:r>
        <w:rPr>
          <w:sz w:val="20"/>
          <w:szCs w:val="20"/>
          <w:color w:val="auto"/>
        </w:rPr>
        <w:tab/>
      </w:r>
      <w:r>
        <w:rPr>
          <w:rFonts w:ascii="Arial" w:cs="Arial" w:eastAsia="Arial" w:hAnsi="Arial"/>
          <w:sz w:val="16"/>
          <w:szCs w:val="16"/>
          <w:i w:val="1"/>
          <w:iCs w:val="1"/>
          <w:color w:val="auto"/>
        </w:rPr>
        <w:t>Statements Required in Certificate or Opinion.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must include:</w:t>
      </w:r>
    </w:p>
    <w:p>
      <w:pPr>
        <w:spacing w:after="0" w:line="225" w:lineRule="exact"/>
        <w:rPr>
          <w:sz w:val="20"/>
          <w:szCs w:val="20"/>
          <w:color w:val="auto"/>
        </w:rPr>
      </w:pPr>
    </w:p>
    <w:p>
      <w:pPr>
        <w:ind w:left="5540" w:right="2340" w:hanging="4236"/>
        <w:spacing w:after="0" w:line="778" w:lineRule="auto"/>
        <w:tabs>
          <w:tab w:leader="none" w:pos="179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ind w:left="660" w:firstLine="644"/>
        <w:spacing w:after="0" w:line="277" w:lineRule="auto"/>
        <w:tabs>
          <w:tab w:leader="none" w:pos="178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satisfied.</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12.06</w:t>
      </w:r>
      <w:r>
        <w:rPr>
          <w:sz w:val="20"/>
          <w:szCs w:val="20"/>
          <w:color w:val="auto"/>
        </w:rPr>
        <w:tab/>
      </w:r>
      <w:r>
        <w:rPr>
          <w:rFonts w:ascii="Arial" w:cs="Arial" w:eastAsia="Arial" w:hAnsi="Arial"/>
          <w:sz w:val="15"/>
          <w:szCs w:val="15"/>
          <w:i w:val="1"/>
          <w:iCs w:val="1"/>
          <w:color w:val="auto"/>
        </w:rPr>
        <w:t>Rules by Trustee and Agents.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12.07</w:t>
      </w:r>
      <w:r>
        <w:rPr>
          <w:sz w:val="20"/>
          <w:szCs w:val="20"/>
          <w:color w:val="auto"/>
        </w:rPr>
        <w:tab/>
      </w:r>
      <w:r>
        <w:rPr>
          <w:rFonts w:ascii="Arial" w:cs="Arial" w:eastAsia="Arial" w:hAnsi="Arial"/>
          <w:sz w:val="16"/>
          <w:szCs w:val="16"/>
          <w:i w:val="1"/>
          <w:iCs w:val="1"/>
          <w:color w:val="auto"/>
        </w:rPr>
        <w:t>No Personal Liability of Directors, Officers, Employees and Stockholders.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No director, officer, employee, incorporator, stockholder, member or unitholder of the Company or any Guarantor, as such, will have any liability for any obligations of the Company or the Guarantors under any Securities, this Indenture, the Guarantees, or for any claim based on, in respect of, or by reason of, such obligations or their creation. Each Holder of Securities by accepting any Security waives and releases all such liability. The waiver and release are part of the consideration for issuance of any Securities. The waiver may not be effective to waive liabilities under the federal securities laws.</w:t>
      </w:r>
    </w:p>
    <w:p>
      <w:pPr>
        <w:spacing w:after="0" w:line="15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12.08</w:t>
      </w:r>
      <w:r>
        <w:rPr>
          <w:sz w:val="20"/>
          <w:szCs w:val="20"/>
          <w:color w:val="auto"/>
        </w:rPr>
        <w:tab/>
      </w:r>
      <w:r>
        <w:rPr>
          <w:rFonts w:ascii="Arial" w:cs="Arial" w:eastAsia="Arial" w:hAnsi="Arial"/>
          <w:sz w:val="16"/>
          <w:szCs w:val="16"/>
          <w:i w:val="1"/>
          <w:iCs w:val="1"/>
          <w:color w:val="auto"/>
        </w:rPr>
        <w:t>Governing Law.</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INTERNAL LAW OF THE STATE OF NEW YORK WILL GOVERN AND BE USED TO CONSTRUE THIS INDENTURE, THE NOTES AND THE GUARANTEES WITHOUT GIVING EFFECT TO APPLICABLE PRINCIPLES OF CONFLICTS OF LAW TO THE EXTENT THAT THE APPLICATION OF THE LAWS OF ANOTHER JURISDICTION WOULD BE REQUIRED THEREBY.</w:t>
      </w:r>
    </w:p>
    <w:p>
      <w:pPr>
        <w:spacing w:after="0" w:line="18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12.09</w:t>
      </w:r>
      <w:r>
        <w:rPr>
          <w:sz w:val="20"/>
          <w:szCs w:val="20"/>
          <w:color w:val="auto"/>
        </w:rPr>
        <w:tab/>
      </w:r>
      <w:r>
        <w:rPr>
          <w:rFonts w:ascii="Arial" w:cs="Arial" w:eastAsia="Arial" w:hAnsi="Arial"/>
          <w:sz w:val="16"/>
          <w:szCs w:val="16"/>
          <w:i w:val="1"/>
          <w:iCs w:val="1"/>
          <w:color w:val="auto"/>
        </w:rPr>
        <w:t>No Adverse Interpretation of Other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Indenture may not be used to interpret any other indenture, loan or debt agreement of the Company or its Subsidiaries or of any other Person.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21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12.10</w:t>
      </w:r>
      <w:r>
        <w:rPr>
          <w:sz w:val="20"/>
          <w:szCs w:val="20"/>
          <w:color w:val="auto"/>
        </w:rPr>
        <w:tab/>
      </w:r>
      <w:r>
        <w:rPr>
          <w:rFonts w:ascii="Arial" w:cs="Arial" w:eastAsia="Arial" w:hAnsi="Arial"/>
          <w:sz w:val="15"/>
          <w:szCs w:val="15"/>
          <w:i w:val="1"/>
          <w:iCs w:val="1"/>
          <w:color w:val="auto"/>
        </w:rPr>
        <w:t>Successors.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All agreements of the Company in this Indenture and any Securities will bind its successors. All agreements of the Trustee in this Indenture will bind its successors. All agreements of each Guarantor in this Indenture will bind its successors, except as otherwise provided in Section 10.05 hereof.</w:t>
      </w:r>
    </w:p>
    <w:p>
      <w:pPr>
        <w:spacing w:after="0" w:line="12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12.11</w:t>
      </w:r>
      <w:r>
        <w:rPr>
          <w:sz w:val="20"/>
          <w:szCs w:val="20"/>
          <w:color w:val="auto"/>
        </w:rPr>
        <w:tab/>
      </w:r>
      <w:r>
        <w:rPr>
          <w:rFonts w:ascii="Arial" w:cs="Arial" w:eastAsia="Arial" w:hAnsi="Arial"/>
          <w:sz w:val="16"/>
          <w:szCs w:val="16"/>
          <w:i w:val="1"/>
          <w:iCs w:val="1"/>
          <w:color w:val="auto"/>
        </w:rPr>
        <w:t>Severability.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 any provision in this Indenture or in any Securities is invalid, illegal or unenforceable, the validity, legality and enforceability of the remaining provisions will not in any way be affected or impaired thereby.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spacing w:after="0"/>
        <w:tabs>
          <w:tab w:leader="none" w:pos="1180" w:val="left"/>
        </w:tabs>
        <w:rPr>
          <w:sz w:val="20"/>
          <w:szCs w:val="20"/>
          <w:color w:val="auto"/>
        </w:rPr>
      </w:pPr>
      <w:r>
        <w:rPr>
          <w:rFonts w:ascii="Arial" w:cs="Arial" w:eastAsia="Arial" w:hAnsi="Arial"/>
          <w:sz w:val="18"/>
          <w:szCs w:val="18"/>
          <w:color w:val="auto"/>
        </w:rPr>
        <w:t>Section 12.12</w:t>
      </w:r>
      <w:r>
        <w:rPr>
          <w:sz w:val="20"/>
          <w:szCs w:val="20"/>
          <w:color w:val="auto"/>
        </w:rPr>
        <w:tab/>
      </w:r>
      <w:r>
        <w:rPr>
          <w:rFonts w:ascii="Arial" w:cs="Arial" w:eastAsia="Arial" w:hAnsi="Arial"/>
          <w:sz w:val="16"/>
          <w:szCs w:val="16"/>
          <w:i w:val="1"/>
          <w:iCs w:val="1"/>
          <w:color w:val="auto"/>
        </w:rPr>
        <w:t>Counterpart Originals.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parties may sign any number of copies of this Indenture. Each signed copy will be an original, but all of them together represent the same agreement.</w:t>
      </w:r>
    </w:p>
    <w:p>
      <w:pPr>
        <w:spacing w:after="0" w:line="1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12.13</w:t>
      </w:r>
      <w:r>
        <w:rPr>
          <w:sz w:val="20"/>
          <w:szCs w:val="20"/>
          <w:color w:val="auto"/>
        </w:rPr>
        <w:tab/>
      </w:r>
      <w:r>
        <w:rPr>
          <w:rFonts w:ascii="Arial" w:cs="Arial" w:eastAsia="Arial" w:hAnsi="Arial"/>
          <w:sz w:val="16"/>
          <w:szCs w:val="16"/>
          <w:i w:val="1"/>
          <w:iCs w:val="1"/>
          <w:color w:val="auto"/>
        </w:rPr>
        <w:t>Table of Contents, Headings, etc.</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2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12.14</w:t>
      </w:r>
      <w:r>
        <w:rPr>
          <w:sz w:val="20"/>
          <w:szCs w:val="20"/>
          <w:color w:val="auto"/>
        </w:rPr>
        <w:tab/>
      </w:r>
      <w:r>
        <w:rPr>
          <w:rFonts w:ascii="Arial" w:cs="Arial" w:eastAsia="Arial" w:hAnsi="Arial"/>
          <w:sz w:val="16"/>
          <w:szCs w:val="16"/>
          <w:i w:val="1"/>
          <w:iCs w:val="1"/>
          <w:color w:val="auto"/>
        </w:rPr>
        <w:t>Compliance with Applicable Anti-Terrorism and Anti-Money Laundering Regulations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order to comply with laws, rules, regulations and executive orders in effect from time to time applicable to banking institutions, including those relating to the funding of terrorist activities and money laundering (</w:t>
      </w:r>
      <w:r>
        <w:rPr>
          <w:rFonts w:ascii="Arial" w:cs="Arial" w:eastAsia="Arial" w:hAnsi="Arial"/>
          <w:sz w:val="18"/>
          <w:szCs w:val="18"/>
          <w:i w:val="1"/>
          <w:iCs w:val="1"/>
          <w:color w:val="auto"/>
        </w:rPr>
        <w:t>“Relevant Law”</w:t>
      </w:r>
      <w:r>
        <w:rPr>
          <w:rFonts w:ascii="Arial" w:cs="Arial" w:eastAsia="Arial" w:hAnsi="Arial"/>
          <w:sz w:val="18"/>
          <w:szCs w:val="18"/>
          <w:color w:val="auto"/>
        </w:rPr>
        <w:t>), the Trustee is required to obtain, verify and record certain information relating to individuals and entities which maintain a business relationship with the Trustee. Accordingly, each of the parties agrees to provide to the Trustee upon its request from time to time such identifying information and documentation as may be available for such party in order to enable the Trustee to comply with Relevant Law.</w:t>
      </w:r>
    </w:p>
    <w:p>
      <w:pPr>
        <w:spacing w:after="0" w:line="18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12.15</w:t>
      </w:r>
      <w:r>
        <w:rPr>
          <w:sz w:val="20"/>
          <w:szCs w:val="20"/>
          <w:color w:val="auto"/>
        </w:rPr>
        <w:tab/>
      </w:r>
      <w:r>
        <w:rPr>
          <w:rFonts w:ascii="Arial" w:cs="Arial" w:eastAsia="Arial" w:hAnsi="Arial"/>
          <w:sz w:val="16"/>
          <w:szCs w:val="16"/>
          <w:i w:val="1"/>
          <w:iCs w:val="1"/>
          <w:color w:val="auto"/>
        </w:rPr>
        <w:t>Electronic Signatures.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Each of the parties agrees on behalf of itself, and any Person acting or claiming by, under or through such party, that any written instrument delivered in connection with this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or any Guarantor to the Trustee shall be considered signed or executed by such person on behalf of the Company or such Guarantor, as applicable. Each of the Company and the Guarantors agrees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jc w:val="center"/>
        <w:ind w:right="-47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as of March 9,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Clearway Energy LLC, as 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Title: Senior Vice President, Chief Financial Officer and Treasurer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CLEARWAY ENERGY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Clearway Energy, Inc., as 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Senior Vice President and Chief Financial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ALTA WIND 1-5 HOLDING COMPANY, LLC, as Guarantor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Alta Wind Company, LLC, as 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CENTRAL CA FUEL CELL 1, LLC, as Guarantors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Fuel Cell Holdings LLC, as 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ALTA WIND COMPANY,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CWSP RATTLESNAKE HOLDING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DGPV HOLDING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DG SREC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60"/>
          </w:cols>
          <w:pgMar w:left="320" w:top="908" w:right="819" w:bottom="1440" w:gutter="0" w:footer="0" w:header="0"/>
        </w:sectPr>
      </w:pPr>
    </w:p>
    <w:bookmarkStart w:id="77" w:name="page78"/>
    <w:bookmarkEnd w:id="77"/>
    <w:p>
      <w:pPr>
        <w:ind w:left="4500"/>
        <w:spacing w:after="0"/>
        <w:rPr>
          <w:sz w:val="20"/>
          <w:szCs w:val="20"/>
          <w:color w:val="auto"/>
        </w:rPr>
      </w:pPr>
      <w:r>
        <w:rPr>
          <w:rFonts w:ascii="Arial" w:cs="Arial" w:eastAsia="Arial" w:hAnsi="Arial"/>
          <w:sz w:val="18"/>
          <w:szCs w:val="18"/>
          <w:color w:val="auto"/>
        </w:rPr>
        <w:t>ECP UPTOWN CAMPUS HOLDINGS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LIGHTHOUSE RENEWABLE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ROSAMOND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line="253" w:lineRule="auto"/>
        <w:rPr>
          <w:sz w:val="20"/>
          <w:szCs w:val="20"/>
          <w:color w:val="auto"/>
        </w:rPr>
      </w:pPr>
      <w:r>
        <w:rPr>
          <w:rFonts w:ascii="Arial" w:cs="Arial" w:eastAsia="Arial" w:hAnsi="Arial"/>
          <w:sz w:val="18"/>
          <w:szCs w:val="18"/>
          <w:color w:val="auto"/>
        </w:rPr>
        <w:t>THERMAL CANADA INFRASTRUCTURE HOLDINGS LLC THERMAL HAWAII DEVELOPMENT HOLDINGS LLC THERMAL INFRASTRUCTURE DEVELOPMENT HOLDINGS LLC UTAH SOLAR MASTER HOLDCO LLC, as Guarantors, By Clearway Energy Operating LLC, as managing member</w:t>
      </w:r>
    </w:p>
    <w:p>
      <w:pPr>
        <w:spacing w:after="0" w:line="19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Title: Senior Vice President, Chief Financial Officer and Treasurer</w:t>
      </w:r>
    </w:p>
    <w:p>
      <w:pPr>
        <w:spacing w:after="0" w:line="2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DG-CS HOLDINGS LLC, as Guarantor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DGPV Holding LLC, as managing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Senior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78" w:name="page79"/>
    <w:bookmarkEnd w:id="78"/>
    <w:p>
      <w:pPr>
        <w:ind w:left="4500"/>
        <w:spacing w:after="0"/>
        <w:rPr>
          <w:sz w:val="20"/>
          <w:szCs w:val="20"/>
          <w:color w:val="auto"/>
        </w:rPr>
      </w:pPr>
      <w:r>
        <w:rPr>
          <w:rFonts w:ascii="Arial" w:cs="Arial" w:eastAsia="Arial" w:hAnsi="Arial"/>
          <w:sz w:val="18"/>
          <w:szCs w:val="18"/>
          <w:color w:val="auto"/>
        </w:rPr>
        <w:t>SPP FUND II,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 as Guarantors</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By SPP Fund II Holdings, LLC, as managing member</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Senior Vice President and Treasurer</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 as Guarantor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Fuel Cell Holdings LLC, as sole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9" w:name="page80"/>
    <w:bookmarkEnd w:id="79"/>
    <w:p>
      <w:pPr>
        <w:ind w:left="4520"/>
        <w:spacing w:after="0"/>
        <w:rPr>
          <w:sz w:val="20"/>
          <w:szCs w:val="20"/>
          <w:color w:val="auto"/>
        </w:rPr>
      </w:pPr>
      <w:r>
        <w:rPr>
          <w:rFonts w:ascii="Arial" w:cs="Arial" w:eastAsia="Arial" w:hAnsi="Arial"/>
          <w:sz w:val="16"/>
          <w:szCs w:val="16"/>
          <w:color w:val="auto"/>
        </w:rPr>
        <w:t>DELAWARE TRUST COMPANY, as Trustee</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Benjamin Hancock</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500" w:type="dxa"/>
            <w:vAlign w:val="bottom"/>
          </w:tcPr>
          <w:p>
            <w:pPr>
              <w:jc w:val="right"/>
              <w:spacing w:after="0"/>
              <w:rPr>
                <w:sz w:val="20"/>
                <w:szCs w:val="20"/>
                <w:color w:val="auto"/>
              </w:rPr>
            </w:pPr>
            <w:r>
              <w:rPr>
                <w:rFonts w:ascii="Arial" w:cs="Arial" w:eastAsia="Arial" w:hAnsi="Arial"/>
                <w:sz w:val="18"/>
                <w:szCs w:val="18"/>
                <w:color w:val="auto"/>
              </w:rPr>
              <w:t>EXHIBIT A</w:t>
            </w:r>
          </w:p>
        </w:tc>
      </w:tr>
      <w:tr>
        <w:trPr>
          <w:trHeight w:val="432"/>
        </w:trPr>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00" w:type="dxa"/>
            <w:vAlign w:val="bottom"/>
          </w:tcPr>
          <w:p>
            <w:pPr>
              <w:jc w:val="center"/>
              <w:ind w:right="1650"/>
              <w:spacing w:after="0"/>
              <w:rPr>
                <w:sz w:val="20"/>
                <w:szCs w:val="20"/>
                <w:color w:val="auto"/>
              </w:rPr>
            </w:pPr>
            <w:r>
              <w:rPr>
                <w:rFonts w:ascii="Arial" w:cs="Arial" w:eastAsia="Arial" w:hAnsi="Arial"/>
                <w:sz w:val="18"/>
                <w:szCs w:val="18"/>
                <w:color w:val="auto"/>
                <w:w w:val="91"/>
              </w:rPr>
              <w:t>[Face of Note]</w:t>
            </w:r>
          </w:p>
        </w:tc>
      </w:tr>
      <w:tr>
        <w:trPr>
          <w:trHeight w:val="54"/>
        </w:trPr>
        <w:tc>
          <w:tcPr>
            <w:tcW w:w="13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r>
      <w:tr>
        <w:trPr>
          <w:trHeight w:val="493"/>
        </w:trPr>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00" w:type="dxa"/>
            <w:vAlign w:val="bottom"/>
          </w:tcPr>
          <w:p>
            <w:pPr>
              <w:jc w:val="right"/>
              <w:spacing w:after="0"/>
              <w:rPr>
                <w:sz w:val="20"/>
                <w:szCs w:val="20"/>
                <w:color w:val="auto"/>
              </w:rPr>
            </w:pPr>
            <w:r>
              <w:rPr>
                <w:rFonts w:ascii="Arial" w:cs="Arial" w:eastAsia="Arial" w:hAnsi="Arial"/>
                <w:sz w:val="18"/>
                <w:szCs w:val="18"/>
                <w:color w:val="auto"/>
              </w:rPr>
              <w:t>CUSIP/CINS ____________</w:t>
            </w:r>
          </w:p>
        </w:tc>
      </w:tr>
      <w:tr>
        <w:trPr>
          <w:trHeight w:val="432"/>
        </w:trPr>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00" w:type="dxa"/>
            <w:vAlign w:val="bottom"/>
          </w:tcPr>
          <w:p>
            <w:pPr>
              <w:jc w:val="center"/>
              <w:ind w:right="1650"/>
              <w:spacing w:after="0"/>
              <w:rPr>
                <w:sz w:val="20"/>
                <w:szCs w:val="20"/>
                <w:color w:val="auto"/>
              </w:rPr>
            </w:pPr>
            <w:r>
              <w:rPr>
                <w:rFonts w:ascii="Arial" w:cs="Arial" w:eastAsia="Arial" w:hAnsi="Arial"/>
                <w:sz w:val="18"/>
                <w:szCs w:val="18"/>
                <w:color w:val="auto"/>
                <w:w w:val="89"/>
              </w:rPr>
              <w:t>3.750% Senior Notes due 2031</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No. ___</w:t>
            </w:r>
          </w:p>
        </w:tc>
        <w:tc>
          <w:tcPr>
            <w:tcW w:w="9860" w:type="dxa"/>
            <w:vAlign w:val="bottom"/>
            <w:gridSpan w:val="2"/>
          </w:tcPr>
          <w:p>
            <w:pPr>
              <w:jc w:val="right"/>
              <w:spacing w:after="0"/>
              <w:rPr>
                <w:sz w:val="20"/>
                <w:szCs w:val="20"/>
                <w:color w:val="auto"/>
              </w:rPr>
            </w:pPr>
            <w:r>
              <w:rPr>
                <w:rFonts w:ascii="Arial" w:cs="Arial" w:eastAsia="Arial" w:hAnsi="Arial"/>
                <w:sz w:val="18"/>
                <w:szCs w:val="18"/>
                <w:color w:val="auto"/>
              </w:rPr>
              <w:t>$____________</w:t>
            </w:r>
          </w:p>
        </w:tc>
      </w:tr>
      <w:tr>
        <w:trPr>
          <w:trHeight w:val="432"/>
        </w:trPr>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00" w:type="dxa"/>
            <w:vAlign w:val="bottom"/>
          </w:tcPr>
          <w:p>
            <w:pPr>
              <w:jc w:val="center"/>
              <w:ind w:right="1630"/>
              <w:spacing w:after="0"/>
              <w:rPr>
                <w:sz w:val="20"/>
                <w:szCs w:val="20"/>
                <w:color w:val="auto"/>
              </w:rPr>
            </w:pPr>
            <w:r>
              <w:rPr>
                <w:rFonts w:ascii="Arial" w:cs="Arial" w:eastAsia="Arial" w:hAnsi="Arial"/>
                <w:sz w:val="18"/>
                <w:szCs w:val="18"/>
                <w:color w:val="auto"/>
                <w:w w:val="96"/>
              </w:rPr>
              <w:t>CLEARWAY ENERGY OPERATING LLC</w:t>
            </w:r>
          </w:p>
        </w:tc>
      </w:tr>
      <w:tr>
        <w:trPr>
          <w:trHeight w:val="392"/>
        </w:trPr>
        <w:tc>
          <w:tcPr>
            <w:tcW w:w="1380" w:type="dxa"/>
            <w:vAlign w:val="bottom"/>
          </w:tcPr>
          <w:p>
            <w:pPr>
              <w:spacing w:after="0"/>
              <w:rPr>
                <w:sz w:val="20"/>
                <w:szCs w:val="20"/>
                <w:color w:val="auto"/>
              </w:rPr>
            </w:pPr>
            <w:r>
              <w:rPr>
                <w:rFonts w:ascii="Arial" w:cs="Arial" w:eastAsia="Arial" w:hAnsi="Arial"/>
                <w:sz w:val="18"/>
                <w:szCs w:val="18"/>
                <w:color w:val="auto"/>
                <w:w w:val="92"/>
              </w:rPr>
              <w:t>promises to pay to</w:t>
            </w:r>
          </w:p>
        </w:tc>
        <w:tc>
          <w:tcPr>
            <w:tcW w:w="360" w:type="dxa"/>
            <w:vAlign w:val="bottom"/>
            <w:tcBorders>
              <w:bottom w:val="single" w:sz="8" w:color="auto"/>
            </w:tcBorders>
          </w:tcPr>
          <w:p>
            <w:pPr>
              <w:spacing w:after="0"/>
              <w:rPr>
                <w:sz w:val="24"/>
                <w:szCs w:val="24"/>
                <w:color w:val="auto"/>
              </w:rPr>
            </w:pPr>
          </w:p>
        </w:tc>
        <w:tc>
          <w:tcPr>
            <w:tcW w:w="9500" w:type="dxa"/>
            <w:vAlign w:val="bottom"/>
          </w:tcPr>
          <w:p>
            <w:pPr>
              <w:jc w:val="right"/>
              <w:ind w:right="7890"/>
              <w:spacing w:after="0"/>
              <w:rPr>
                <w:sz w:val="20"/>
                <w:szCs w:val="20"/>
                <w:color w:val="auto"/>
              </w:rPr>
            </w:pPr>
            <w:r>
              <w:rPr>
                <w:rFonts w:ascii="Arial" w:cs="Arial" w:eastAsia="Arial" w:hAnsi="Arial"/>
                <w:sz w:val="18"/>
                <w:szCs w:val="18"/>
                <w:color w:val="auto"/>
                <w:w w:val="87"/>
              </w:rPr>
              <w:t>or registered assigns,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sum of __________________________________________________________ DOLLARS on February 15, 2031.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February 15 and August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February 1 and August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Indenture.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IN WITNESS WHEREOF, the Issuer has caused this instrument to be duly executed.</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CLEARWAY ENERGY OPERATING LLC</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33432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40"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[Back of Note]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3.750% Senior Notes due 2031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Global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Private Placement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Original Issue Discount Legend, if applicable pursuant to the provisions of the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25" w:lineRule="exact"/>
        <w:rPr>
          <w:sz w:val="20"/>
          <w:szCs w:val="20"/>
          <w:color w:val="auto"/>
        </w:rPr>
      </w:pPr>
    </w:p>
    <w:p>
      <w:pPr>
        <w:jc w:val="both"/>
        <w:ind w:left="660" w:firstLine="644"/>
        <w:spacing w:after="0" w:line="254" w:lineRule="auto"/>
        <w:tabs>
          <w:tab w:leader="none" w:pos="1788"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I</w:t>
      </w:r>
      <w:r>
        <w:rPr>
          <w:rFonts w:ascii="Arial" w:cs="Arial" w:eastAsia="Arial" w:hAnsi="Arial"/>
          <w:sz w:val="12"/>
          <w:szCs w:val="12"/>
          <w:i w:val="1"/>
          <w:iCs w:val="1"/>
          <w:color w:val="auto"/>
        </w:rPr>
        <w:t>NTEREST</w:t>
      </w:r>
      <w:r>
        <w:rPr>
          <w:rFonts w:ascii="Arial" w:cs="Arial" w:eastAsia="Arial" w:hAnsi="Arial"/>
          <w:sz w:val="18"/>
          <w:szCs w:val="18"/>
          <w:color w:val="auto"/>
        </w:rPr>
        <w:t>. Clearway Energy Operating LLC,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promises to pay interest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amount of this Note at 3.750% per annum from ________________, ___ until maturity. The Company shall pay interest semi-annually in arrears on February 15 and August 15 of each year, or if any such day is not a Business Day, on the next succeeding Business Day (each, an “</w:t>
      </w:r>
      <w:r>
        <w:rPr>
          <w:rFonts w:ascii="Arial" w:cs="Arial" w:eastAsia="Arial" w:hAnsi="Arial"/>
          <w:sz w:val="18"/>
          <w:szCs w:val="18"/>
          <w:i w:val="1"/>
          <w:iCs w:val="1"/>
          <w:color w:val="auto"/>
        </w:rPr>
        <w:t>Interest Payment Date</w:t>
      </w:r>
      <w:r>
        <w:rPr>
          <w:rFonts w:ascii="Arial" w:cs="Arial" w:eastAsia="Arial" w:hAnsi="Arial"/>
          <w:sz w:val="18"/>
          <w:szCs w:val="18"/>
          <w:color w:val="auto"/>
        </w:rPr>
        <w:t xml:space="preserve">”). Interest on the Notes will accrue from the most recent date to which interest has been paid or, if no interest has been paid, from the date of issuance;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8"/>
          <w:szCs w:val="18"/>
          <w:i w:val="1"/>
          <w:iCs w:val="1"/>
          <w:color w:val="auto"/>
        </w:rPr>
        <w:t>provided further</w:t>
      </w:r>
      <w:r>
        <w:rPr>
          <w:rFonts w:ascii="Arial" w:cs="Arial" w:eastAsia="Arial" w:hAnsi="Arial"/>
          <w:sz w:val="18"/>
          <w:szCs w:val="18"/>
          <w:color w:val="auto"/>
        </w:rPr>
        <w:t>, that the first Interest Payment Date shall be _________. Interest will be computed on the basis of a 360-day year of twelve 30-day months.</w:t>
      </w:r>
    </w:p>
    <w:p>
      <w:pPr>
        <w:spacing w:after="0" w:line="191" w:lineRule="exact"/>
        <w:rPr>
          <w:rFonts w:ascii="Arial" w:cs="Arial" w:eastAsia="Arial" w:hAnsi="Arial"/>
          <w:sz w:val="18"/>
          <w:szCs w:val="18"/>
          <w:color w:val="auto"/>
        </w:rPr>
      </w:pPr>
    </w:p>
    <w:p>
      <w:pPr>
        <w:jc w:val="both"/>
        <w:ind w:left="660" w:firstLine="644"/>
        <w:spacing w:after="0" w:line="270" w:lineRule="auto"/>
        <w:tabs>
          <w:tab w:leader="none" w:pos="1788"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M</w:t>
      </w:r>
      <w:r>
        <w:rPr>
          <w:rFonts w:ascii="Arial" w:cs="Arial" w:eastAsia="Arial" w:hAnsi="Arial"/>
          <w:sz w:val="11"/>
          <w:szCs w:val="11"/>
          <w:i w:val="1"/>
          <w:iCs w:val="1"/>
          <w:color w:val="auto"/>
        </w:rPr>
        <w:t>ETHOD OF</w:t>
      </w:r>
      <w:r>
        <w:rPr>
          <w:rFonts w:ascii="Arial" w:cs="Arial" w:eastAsia="Arial" w:hAnsi="Arial"/>
          <w:sz w:val="17"/>
          <w:szCs w:val="17"/>
          <w:i w:val="1"/>
          <w:iCs w:val="1"/>
          <w:color w:val="auto"/>
        </w:rPr>
        <w:t xml:space="preserve"> P</w:t>
      </w:r>
      <w:r>
        <w:rPr>
          <w:rFonts w:ascii="Arial" w:cs="Arial" w:eastAsia="Arial" w:hAnsi="Arial"/>
          <w:sz w:val="11"/>
          <w:szCs w:val="11"/>
          <w:i w:val="1"/>
          <w:iCs w:val="1"/>
          <w:color w:val="auto"/>
        </w:rPr>
        <w:t>AYMENT</w:t>
      </w:r>
      <w:r>
        <w:rPr>
          <w:rFonts w:ascii="Arial" w:cs="Arial" w:eastAsia="Arial" w:hAnsi="Arial"/>
          <w:sz w:val="17"/>
          <w:szCs w:val="17"/>
          <w:color w:val="auto"/>
        </w:rPr>
        <w:t>. The Company shall pay interest on the Notes (except defaulted interest) to the Persons who are registered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Holders of Notes at the close of business on the February 1 and August 1 next preceding the Interest Payment Date, even if such Notes are canceled after such record date and on or before such Interest Payment Date, except as provided in Section 2.13 of the Indenture with respect to defaulted interest. The Notes will be payable as to principal, premium, if any, interest at the office or agency of the Paying Agent and Registrar within the City and State of New York, or, at the option of the Company, payment of interest may be made by check mailed to the Holders at their addresses set forth in the register of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by wire transfer of immediately available funds will be required with respect to principal of, premium, if any, and interest on, all Global Notes and all other Notes the Holders of which will have provided wire transfer instructions to the Company or the Paying Agent. Such payment shall be in such coin or currency of the United States of America as at the time of payment is legal tender for payment of public and private debts.</w:t>
      </w:r>
    </w:p>
    <w:p>
      <w:pPr>
        <w:spacing w:after="0" w:line="180" w:lineRule="exact"/>
        <w:rPr>
          <w:rFonts w:ascii="Arial" w:cs="Arial" w:eastAsia="Arial" w:hAnsi="Arial"/>
          <w:sz w:val="17"/>
          <w:szCs w:val="17"/>
          <w:color w:val="auto"/>
        </w:rPr>
      </w:pPr>
    </w:p>
    <w:p>
      <w:pPr>
        <w:jc w:val="both"/>
        <w:ind w:left="660" w:firstLine="644"/>
        <w:spacing w:after="0" w:line="263" w:lineRule="auto"/>
        <w:tabs>
          <w:tab w:leader="none" w:pos="1788"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2"/>
          <w:szCs w:val="12"/>
          <w:i w:val="1"/>
          <w:iCs w:val="1"/>
          <w:color w:val="auto"/>
        </w:rPr>
        <w:t>AYING</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GENT AND</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EGISTRAR</w:t>
      </w:r>
      <w:r>
        <w:rPr>
          <w:rFonts w:ascii="Arial" w:cs="Arial" w:eastAsia="Arial" w:hAnsi="Arial"/>
          <w:sz w:val="18"/>
          <w:szCs w:val="18"/>
          <w:color w:val="auto"/>
        </w:rPr>
        <w:t>. Initially, Delaware Trust Company, the Trustee under the Indenture, will act as Paying Agent and</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Registrar. The Company may change the Paying Agent or Registrar without prior notice to the Holders of the Notes. The Company or any of its Subsidiaries or parent entities may act as Paying Agent or Registrar.</w:t>
      </w:r>
    </w:p>
    <w:p>
      <w:pPr>
        <w:spacing w:after="0" w:line="183" w:lineRule="exact"/>
        <w:rPr>
          <w:rFonts w:ascii="Arial" w:cs="Arial" w:eastAsia="Arial" w:hAnsi="Arial"/>
          <w:sz w:val="18"/>
          <w:szCs w:val="18"/>
          <w:color w:val="auto"/>
        </w:rPr>
      </w:pPr>
    </w:p>
    <w:p>
      <w:pPr>
        <w:jc w:val="both"/>
        <w:ind w:left="660" w:firstLine="644"/>
        <w:spacing w:after="0" w:line="275" w:lineRule="auto"/>
        <w:tabs>
          <w:tab w:leader="none" w:pos="1788"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I</w:t>
      </w:r>
      <w:r>
        <w:rPr>
          <w:rFonts w:ascii="Arial" w:cs="Arial" w:eastAsia="Arial" w:hAnsi="Arial"/>
          <w:sz w:val="11"/>
          <w:szCs w:val="11"/>
          <w:i w:val="1"/>
          <w:iCs w:val="1"/>
          <w:color w:val="auto"/>
        </w:rPr>
        <w:t>NDENTURE</w:t>
      </w:r>
      <w:r>
        <w:rPr>
          <w:rFonts w:ascii="Arial" w:cs="Arial" w:eastAsia="Arial" w:hAnsi="Arial"/>
          <w:sz w:val="17"/>
          <w:szCs w:val="17"/>
          <w:color w:val="auto"/>
        </w:rPr>
        <w:t>. The Company issued the Notes under an Indenture dated as of March 9, 2021 (the “</w:t>
      </w:r>
      <w:r>
        <w:rPr>
          <w:rFonts w:ascii="Arial" w:cs="Arial" w:eastAsia="Arial" w:hAnsi="Arial"/>
          <w:sz w:val="17"/>
          <w:szCs w:val="17"/>
          <w:i w:val="1"/>
          <w:iCs w:val="1"/>
          <w:color w:val="auto"/>
        </w:rPr>
        <w:t>Indenture</w:t>
      </w:r>
      <w:r>
        <w:rPr>
          <w:rFonts w:ascii="Arial" w:cs="Arial" w:eastAsia="Arial" w:hAnsi="Arial"/>
          <w:sz w:val="17"/>
          <w:szCs w:val="17"/>
          <w:color w:val="auto"/>
        </w:rPr>
        <w:t>”) among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Company. The Indenture does not limit the aggregate principal amount of Notes that may be issued thereunder.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ind w:left="1080" w:hanging="436"/>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O</w:t>
      </w:r>
      <w:r>
        <w:rPr>
          <w:rFonts w:ascii="Arial" w:cs="Arial" w:eastAsia="Arial" w:hAnsi="Arial"/>
          <w:sz w:val="12"/>
          <w:szCs w:val="12"/>
          <w:i w:val="1"/>
          <w:iCs w:val="1"/>
          <w:color w:val="auto"/>
        </w:rPr>
        <w:t>PTIONAL</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EDEMPTION</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jc w:val="both"/>
        <w:ind w:firstLine="1292"/>
        <w:spacing w:after="0" w:line="257" w:lineRule="auto"/>
        <w:tabs>
          <w:tab w:leader="none" w:pos="171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At any time prior to February 15, 2024, the Company may on any one or more occasions redeem up to 40% of the aggregate principal amount of the Notes, upon not less than 10 nor more than 60 days’ notice, at a redemption price equal to 103.750%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7" w:lineRule="exact"/>
        <w:rPr>
          <w:rFonts w:ascii="Arial" w:cs="Arial" w:eastAsia="Arial" w:hAnsi="Arial"/>
          <w:sz w:val="18"/>
          <w:szCs w:val="18"/>
          <w:color w:val="auto"/>
        </w:rPr>
      </w:pPr>
    </w:p>
    <w:p>
      <w:pPr>
        <w:jc w:val="both"/>
        <w:ind w:left="1300" w:firstLine="640"/>
        <w:spacing w:after="0" w:line="263" w:lineRule="auto"/>
        <w:tabs>
          <w:tab w:leader="none" w:pos="2365" w:val="left"/>
        </w:tabs>
        <w:numPr>
          <w:ilvl w:val="2"/>
          <w:numId w:val="118"/>
        </w:numPr>
        <w:rPr>
          <w:rFonts w:ascii="Arial" w:cs="Arial" w:eastAsia="Arial" w:hAnsi="Arial"/>
          <w:sz w:val="18"/>
          <w:szCs w:val="18"/>
          <w:color w:val="auto"/>
        </w:rPr>
      </w:pPr>
      <w:r>
        <w:rPr>
          <w:rFonts w:ascii="Arial" w:cs="Arial" w:eastAsia="Arial" w:hAnsi="Arial"/>
          <w:sz w:val="18"/>
          <w:szCs w:val="18"/>
          <w:color w:val="auto"/>
        </w:rPr>
        <w:t>at least 50% of the aggregate principal amount of Notes originally issued under this Indenture (excluding Notes held by the Company, its Subsidiaries and parent entities) remains outstanding immediately after the occurrence of such redemption; and</w:t>
      </w:r>
    </w:p>
    <w:p>
      <w:pPr>
        <w:spacing w:after="0" w:line="183" w:lineRule="exact"/>
        <w:rPr>
          <w:rFonts w:ascii="Arial" w:cs="Arial" w:eastAsia="Arial" w:hAnsi="Arial"/>
          <w:sz w:val="18"/>
          <w:szCs w:val="18"/>
          <w:color w:val="auto"/>
        </w:rPr>
      </w:pPr>
    </w:p>
    <w:p>
      <w:pPr>
        <w:ind w:left="2400" w:hanging="460"/>
        <w:spacing w:after="0"/>
        <w:tabs>
          <w:tab w:leader="none" w:pos="240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the redemption occurs within 180 days of the date of the closing of such equity offering.</w:t>
      </w:r>
    </w:p>
    <w:p>
      <w:pPr>
        <w:spacing w:after="0" w:line="225" w:lineRule="exact"/>
        <w:rPr>
          <w:rFonts w:ascii="Arial" w:cs="Arial" w:eastAsia="Arial" w:hAnsi="Arial"/>
          <w:sz w:val="18"/>
          <w:szCs w:val="18"/>
          <w:color w:val="auto"/>
        </w:rPr>
      </w:pPr>
    </w:p>
    <w:p>
      <w:pPr>
        <w:jc w:val="both"/>
        <w:ind w:firstLine="1292"/>
        <w:spacing w:after="0" w:line="259" w:lineRule="auto"/>
        <w:tabs>
          <w:tab w:leader="none" w:pos="172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At any time prior to February 15, 2026, the Company may on any one or more occasions redeem all or a part of the Notes, upon not less than 10 nor more than 60 days’ prior notice, at a redemption price equal to 100% of the principal amount of the Notes redeemed, plus the Applicable Premium as of, and accrued and unpaid interest, if any, to the applicable date of redemption, subject to the rights of Holders on the relevant record date to receive interest due on the relevant interest payment date.</w:t>
      </w:r>
    </w:p>
    <w:p>
      <w:pPr>
        <w:spacing w:after="0" w:line="186" w:lineRule="exact"/>
        <w:rPr>
          <w:rFonts w:ascii="Arial" w:cs="Arial" w:eastAsia="Arial" w:hAnsi="Arial"/>
          <w:sz w:val="18"/>
          <w:szCs w:val="18"/>
          <w:color w:val="auto"/>
        </w:rPr>
      </w:pPr>
    </w:p>
    <w:p>
      <w:pPr>
        <w:ind w:left="1720" w:hanging="428"/>
        <w:spacing w:after="0"/>
        <w:tabs>
          <w:tab w:leader="none" w:pos="172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Except pursuant to the preceding paragraphs, the Notes will not be redeemable at the Company’s option prior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February 15, 2026.</w:t>
      </w:r>
    </w:p>
    <w:p>
      <w:pPr>
        <w:spacing w:after="0" w:line="210" w:lineRule="exact"/>
        <w:rPr>
          <w:rFonts w:ascii="Arial" w:cs="Arial" w:eastAsia="Arial" w:hAnsi="Arial"/>
          <w:sz w:val="17"/>
          <w:szCs w:val="17"/>
          <w:color w:val="auto"/>
        </w:rPr>
      </w:pPr>
    </w:p>
    <w:p>
      <w:pPr>
        <w:jc w:val="both"/>
        <w:ind w:firstLine="1292"/>
        <w:spacing w:after="0" w:line="257" w:lineRule="auto"/>
        <w:tabs>
          <w:tab w:leader="none" w:pos="173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On or after February 15, 2026, the Company may on any one or more occasions redeem all or a part of the Notes, upon not less than 10 nor more than 60 days’ prior notice, at the redemption prices (expressed as percentages of principal amount) set forth below, plus accrued and unpaid interest, if any, on the Notes redeemed, to the applicable date of redemption, if redeemed during the twelve-month period beginning on February 15 of the years indicated below, subject to the rights of Holders on the relevant record date to receive interest on the relevant interest payment date: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w:t>
            </w:r>
          </w:p>
        </w:tc>
        <w:tc>
          <w:tcPr>
            <w:tcW w:w="300" w:type="dxa"/>
            <w:vAlign w:val="bottom"/>
            <w:tcBorders>
              <w:bottom w:val="single" w:sz="8" w:color="CCEEFF"/>
            </w:tcBorders>
          </w:tcPr>
          <w:p>
            <w:pPr>
              <w:spacing w:after="0"/>
              <w:rPr>
                <w:sz w:val="20"/>
                <w:szCs w:val="20"/>
                <w:color w:val="auto"/>
              </w:rPr>
            </w:pPr>
          </w:p>
        </w:tc>
        <w:tc>
          <w:tcPr>
            <w:tcW w:w="472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Percentage</w:t>
            </w:r>
          </w:p>
        </w:tc>
        <w:tc>
          <w:tcPr>
            <w:tcW w:w="160" w:type="dxa"/>
            <w:vAlign w:val="bottom"/>
            <w:tcBorders>
              <w:bottom w:val="single" w:sz="8" w:color="CCEEFF"/>
            </w:tcBorders>
          </w:tcPr>
          <w:p>
            <w:pPr>
              <w:spacing w:after="0"/>
              <w:rPr>
                <w:sz w:val="20"/>
                <w:szCs w:val="20"/>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101.875%</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2027</w:t>
            </w:r>
          </w:p>
        </w:tc>
        <w:tc>
          <w:tcPr>
            <w:tcW w:w="300" w:type="dxa"/>
            <w:vAlign w:val="bottom"/>
          </w:tcPr>
          <w:p>
            <w:pPr>
              <w:spacing w:after="0"/>
              <w:rPr>
                <w:sz w:val="18"/>
                <w:szCs w:val="18"/>
                <w:color w:val="auto"/>
              </w:rPr>
            </w:pPr>
          </w:p>
        </w:tc>
        <w:tc>
          <w:tcPr>
            <w:tcW w:w="4880" w:type="dxa"/>
            <w:vAlign w:val="bottom"/>
            <w:gridSpan w:val="2"/>
          </w:tcPr>
          <w:p>
            <w:pPr>
              <w:jc w:val="right"/>
              <w:ind w:right="20"/>
              <w:spacing w:after="0"/>
              <w:rPr>
                <w:sz w:val="20"/>
                <w:szCs w:val="20"/>
                <w:color w:val="auto"/>
              </w:rPr>
            </w:pPr>
            <w:r>
              <w:rPr>
                <w:rFonts w:ascii="Arial" w:cs="Arial" w:eastAsia="Arial" w:hAnsi="Arial"/>
                <w:sz w:val="18"/>
                <w:szCs w:val="18"/>
                <w:color w:val="auto"/>
              </w:rPr>
              <w:t>101.250%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30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100.625%</w:t>
            </w: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2029 and thereafter</w:t>
            </w:r>
          </w:p>
        </w:tc>
        <w:tc>
          <w:tcPr>
            <w:tcW w:w="488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r>
    </w:tbl>
    <w:p>
      <w:pPr>
        <w:spacing w:after="0" w:line="187" w:lineRule="exact"/>
        <w:rPr>
          <w:sz w:val="20"/>
          <w:szCs w:val="20"/>
          <w:color w:val="auto"/>
        </w:rPr>
      </w:pPr>
    </w:p>
    <w:p>
      <w:pPr>
        <w:ind w:left="1720" w:hanging="428"/>
        <w:spacing w:after="0"/>
        <w:tabs>
          <w:tab w:leader="none" w:pos="17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redemption pursuant to this Section 5 shall be made pursuant to the provisions of Sections 3.01 through 3.06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firstLine="1292"/>
        <w:spacing w:after="0" w:line="277" w:lineRule="auto"/>
        <w:tabs>
          <w:tab w:leader="none" w:pos="17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provisions of Article 3 of the Indenture do not prohibit the Company or its affiliates from acquiring the Notes in market transactions by means other than a redemption, whether pursuant to a tender offer or otherwise.</w:t>
      </w:r>
    </w:p>
    <w:p>
      <w:pPr>
        <w:spacing w:after="0" w:line="170" w:lineRule="exact"/>
        <w:rPr>
          <w:rFonts w:ascii="Arial" w:cs="Arial" w:eastAsia="Arial" w:hAnsi="Arial"/>
          <w:sz w:val="18"/>
          <w:szCs w:val="18"/>
          <w:color w:val="auto"/>
        </w:rPr>
      </w:pPr>
    </w:p>
    <w:p>
      <w:pPr>
        <w:ind w:left="1100" w:hanging="456"/>
        <w:spacing w:after="0"/>
        <w:tabs>
          <w:tab w:leader="none" w:pos="1100"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M</w:t>
      </w:r>
      <w:r>
        <w:rPr>
          <w:rFonts w:ascii="Arial" w:cs="Arial" w:eastAsia="Arial" w:hAnsi="Arial"/>
          <w:sz w:val="11"/>
          <w:szCs w:val="11"/>
          <w:i w:val="1"/>
          <w:iCs w:val="1"/>
          <w:color w:val="auto"/>
        </w:rPr>
        <w:t>ANDATORY</w:t>
      </w:r>
      <w:r>
        <w:rPr>
          <w:rFonts w:ascii="Arial" w:cs="Arial" w:eastAsia="Arial" w:hAnsi="Arial"/>
          <w:sz w:val="16"/>
          <w:szCs w:val="16"/>
          <w:i w:val="1"/>
          <w:iCs w:val="1"/>
          <w:color w:val="auto"/>
        </w:rPr>
        <w:t xml:space="preserve"> R</w:t>
      </w:r>
      <w:r>
        <w:rPr>
          <w:rFonts w:ascii="Arial" w:cs="Arial" w:eastAsia="Arial" w:hAnsi="Arial"/>
          <w:sz w:val="11"/>
          <w:szCs w:val="11"/>
          <w:i w:val="1"/>
          <w:iCs w:val="1"/>
          <w:color w:val="auto"/>
        </w:rPr>
        <w:t>EDEMPTION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is not required to make mandatory redemption or sinking fund payments with respect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200" w:lineRule="exact"/>
        <w:rPr>
          <w:sz w:val="20"/>
          <w:szCs w:val="20"/>
          <w:color w:val="auto"/>
        </w:rPr>
      </w:pPr>
    </w:p>
    <w:p>
      <w:pPr>
        <w:spacing w:after="0" w:line="22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5" w:name="page86"/>
    <w:bookmarkEnd w:id="85"/>
    <w:p>
      <w:pPr>
        <w:ind w:left="1100" w:hanging="456"/>
        <w:spacing w:after="0"/>
        <w:tabs>
          <w:tab w:leader="none" w:pos="110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R</w:t>
      </w:r>
      <w:r>
        <w:rPr>
          <w:rFonts w:ascii="Arial" w:cs="Arial" w:eastAsia="Arial" w:hAnsi="Arial"/>
          <w:sz w:val="12"/>
          <w:szCs w:val="12"/>
          <w:i w:val="1"/>
          <w:iCs w:val="1"/>
          <w:color w:val="auto"/>
        </w:rPr>
        <w:t>EPURCHASE AT THE</w:t>
      </w:r>
      <w:r>
        <w:rPr>
          <w:rFonts w:ascii="Arial" w:cs="Arial" w:eastAsia="Arial" w:hAnsi="Arial"/>
          <w:sz w:val="18"/>
          <w:szCs w:val="18"/>
          <w:i w:val="1"/>
          <w:iCs w:val="1"/>
          <w:color w:val="auto"/>
        </w:rPr>
        <w:t xml:space="preserve"> O</w:t>
      </w:r>
      <w:r>
        <w:rPr>
          <w:rFonts w:ascii="Arial" w:cs="Arial" w:eastAsia="Arial" w:hAnsi="Arial"/>
          <w:sz w:val="12"/>
          <w:szCs w:val="12"/>
          <w:i w:val="1"/>
          <w:iCs w:val="1"/>
          <w:color w:val="auto"/>
        </w:rPr>
        <w:t>PTION OF</w:t>
      </w:r>
      <w:r>
        <w:rPr>
          <w:rFonts w:ascii="Arial" w:cs="Arial" w:eastAsia="Arial" w:hAnsi="Arial"/>
          <w:sz w:val="18"/>
          <w:szCs w:val="18"/>
          <w:i w:val="1"/>
          <w:iCs w:val="1"/>
          <w:color w:val="auto"/>
        </w:rPr>
        <w:t xml:space="preserve"> H</w:t>
      </w:r>
      <w:r>
        <w:rPr>
          <w:rFonts w:ascii="Arial" w:cs="Arial" w:eastAsia="Arial" w:hAnsi="Arial"/>
          <w:sz w:val="12"/>
          <w:szCs w:val="12"/>
          <w:i w:val="1"/>
          <w:iCs w:val="1"/>
          <w:color w:val="auto"/>
        </w:rPr>
        <w:t>OLDER</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jc w:val="both"/>
        <w:ind w:firstLine="1292"/>
        <w:spacing w:after="0" w:line="293" w:lineRule="auto"/>
        <w:tabs>
          <w:tab w:leader="none" w:pos="1586" w:val="left"/>
        </w:tabs>
        <w:numPr>
          <w:ilvl w:val="1"/>
          <w:numId w:val="122"/>
        </w:numPr>
        <w:rPr>
          <w:rFonts w:ascii="Arial" w:cs="Arial" w:eastAsia="Arial" w:hAnsi="Arial"/>
          <w:sz w:val="16"/>
          <w:szCs w:val="16"/>
          <w:color w:val="auto"/>
        </w:rPr>
      </w:pPr>
      <w:r>
        <w:rPr>
          <w:rFonts w:ascii="Arial" w:cs="Arial" w:eastAsia="Arial" w:hAnsi="Arial"/>
          <w:sz w:val="16"/>
          <w:szCs w:val="16"/>
          <w:color w:val="auto"/>
        </w:rPr>
        <w:t>Upon the occurrence of a Change of Control Triggering Event, the Company will make an offer (a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Offer</w:t>
      </w:r>
      <w:r>
        <w:rPr>
          <w:rFonts w:ascii="Arial" w:cs="Arial" w:eastAsia="Arial" w:hAnsi="Arial"/>
          <w:sz w:val="16"/>
          <w:szCs w:val="16"/>
          <w:color w:val="auto"/>
        </w:rPr>
        <w:t>”) to each Holder to repurchase all or any part (equal to $2,000 or an integral multiple of $1,000 in excess of $2,000) of that Holder’s Notes</w:t>
      </w:r>
      <w:r>
        <w:rPr>
          <w:rFonts w:ascii="Arial" w:cs="Arial" w:eastAsia="Arial" w:hAnsi="Arial"/>
          <w:sz w:val="16"/>
          <w:szCs w:val="16"/>
          <w:i w:val="1"/>
          <w:iCs w:val="1"/>
          <w:color w:val="auto"/>
        </w:rPr>
        <w:t xml:space="preserve"> </w:t>
      </w:r>
      <w:r>
        <w:rPr>
          <w:rFonts w:ascii="Arial" w:cs="Arial" w:eastAsia="Arial" w:hAnsi="Arial"/>
          <w:sz w:val="16"/>
          <w:szCs w:val="16"/>
          <w:color w:val="auto"/>
        </w:rPr>
        <w:t>at a 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 Within 30 days following any Change of Control, the Company will mail (or deliver electronically) a notice to each Holder setting forth the procedures governing the Change of Control Offer as required by the Indenture.</w:t>
      </w:r>
    </w:p>
    <w:p>
      <w:pPr>
        <w:spacing w:after="0" w:line="164" w:lineRule="exact"/>
        <w:rPr>
          <w:rFonts w:ascii="Arial" w:cs="Arial" w:eastAsia="Arial" w:hAnsi="Arial"/>
          <w:sz w:val="16"/>
          <w:szCs w:val="16"/>
          <w:color w:val="auto"/>
        </w:rPr>
      </w:pPr>
    </w:p>
    <w:p>
      <w:pPr>
        <w:ind w:left="1100" w:hanging="456"/>
        <w:spacing w:after="0"/>
        <w:tabs>
          <w:tab w:leader="none" w:pos="1100"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N</w:t>
      </w:r>
      <w:r>
        <w:rPr>
          <w:rFonts w:ascii="Arial" w:cs="Arial" w:eastAsia="Arial" w:hAnsi="Arial"/>
          <w:sz w:val="11"/>
          <w:szCs w:val="11"/>
          <w:i w:val="1"/>
          <w:iCs w:val="1"/>
          <w:color w:val="auto"/>
        </w:rPr>
        <w:t>OTICE OF</w:t>
      </w:r>
      <w:r>
        <w:rPr>
          <w:rFonts w:ascii="Arial" w:cs="Arial" w:eastAsia="Arial" w:hAnsi="Arial"/>
          <w:sz w:val="16"/>
          <w:szCs w:val="16"/>
          <w:i w:val="1"/>
          <w:iCs w:val="1"/>
          <w:color w:val="auto"/>
        </w:rPr>
        <w:t xml:space="preserve"> R</w:t>
      </w:r>
      <w:r>
        <w:rPr>
          <w:rFonts w:ascii="Arial" w:cs="Arial" w:eastAsia="Arial" w:hAnsi="Arial"/>
          <w:sz w:val="11"/>
          <w:szCs w:val="11"/>
          <w:i w:val="1"/>
          <w:iCs w:val="1"/>
          <w:color w:val="auto"/>
        </w:rPr>
        <w:t>EDEMPTION</w:t>
      </w:r>
      <w:r>
        <w:rPr>
          <w:rFonts w:ascii="Arial" w:cs="Arial" w:eastAsia="Arial" w:hAnsi="Arial"/>
          <w:sz w:val="16"/>
          <w:szCs w:val="16"/>
          <w:color w:val="auto"/>
        </w:rPr>
        <w:t>. At least 10 days but not more than 60 days before a redemption date, the Company shall mail or cause to be</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mailed, by first class mail, or deliver electronically, a notice of redemption to each Holder whose Notes are to be redeemed at its registered address, except that redemption notices may be mailed or delivered more than 60 days prior to a redemption date if the notice is issued in connection with a defeasance of the Notes or a satisfaction and discharge of the Indenture pursuant to Articles 8 or 11 thereof. Notes and portions of Notes selected will be in amounts of $2,000 or whole multiples of $1,000 in excess thereof; except that if all of the Notes of a Holder are to be redeemed or purchased, the entire outstanding amount of Notes held by such Holder shall be redeemed or purchased.</w:t>
      </w:r>
    </w:p>
    <w:p>
      <w:pPr>
        <w:spacing w:after="0" w:line="178" w:lineRule="exact"/>
        <w:rPr>
          <w:sz w:val="20"/>
          <w:szCs w:val="20"/>
          <w:color w:val="auto"/>
        </w:rPr>
      </w:pPr>
    </w:p>
    <w:p>
      <w:pPr>
        <w:jc w:val="both"/>
        <w:ind w:firstLine="644"/>
        <w:spacing w:after="0" w:line="272" w:lineRule="auto"/>
        <w:tabs>
          <w:tab w:leader="none" w:pos="1105"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D</w:t>
      </w:r>
      <w:r>
        <w:rPr>
          <w:rFonts w:ascii="Arial" w:cs="Arial" w:eastAsia="Arial" w:hAnsi="Arial"/>
          <w:sz w:val="11"/>
          <w:szCs w:val="11"/>
          <w:i w:val="1"/>
          <w:iCs w:val="1"/>
          <w:color w:val="auto"/>
        </w:rPr>
        <w:t>ENOMINATIONS</w:t>
      </w:r>
      <w:r>
        <w:rPr>
          <w:rFonts w:ascii="Arial" w:cs="Arial" w:eastAsia="Arial" w:hAnsi="Arial"/>
          <w:sz w:val="17"/>
          <w:szCs w:val="17"/>
          <w:i w:val="1"/>
          <w:iCs w:val="1"/>
          <w:color w:val="auto"/>
        </w:rPr>
        <w:t>, T</w:t>
      </w:r>
      <w:r>
        <w:rPr>
          <w:rFonts w:ascii="Arial" w:cs="Arial" w:eastAsia="Arial" w:hAnsi="Arial"/>
          <w:sz w:val="11"/>
          <w:szCs w:val="11"/>
          <w:i w:val="1"/>
          <w:iCs w:val="1"/>
          <w:color w:val="auto"/>
        </w:rPr>
        <w:t>RANSFER</w:t>
      </w:r>
      <w:r>
        <w:rPr>
          <w:rFonts w:ascii="Arial" w:cs="Arial" w:eastAsia="Arial" w:hAnsi="Arial"/>
          <w:sz w:val="17"/>
          <w:szCs w:val="17"/>
          <w:i w:val="1"/>
          <w:iCs w:val="1"/>
          <w:color w:val="auto"/>
        </w:rPr>
        <w:t>, E</w:t>
      </w:r>
      <w:r>
        <w:rPr>
          <w:rFonts w:ascii="Arial" w:cs="Arial" w:eastAsia="Arial" w:hAnsi="Arial"/>
          <w:sz w:val="11"/>
          <w:szCs w:val="11"/>
          <w:i w:val="1"/>
          <w:iCs w:val="1"/>
          <w:color w:val="auto"/>
        </w:rPr>
        <w:t>XCHANGE</w:t>
      </w:r>
      <w:r>
        <w:rPr>
          <w:rFonts w:ascii="Arial" w:cs="Arial" w:eastAsia="Arial" w:hAnsi="Arial"/>
          <w:sz w:val="17"/>
          <w:szCs w:val="17"/>
          <w:color w:val="auto"/>
        </w:rPr>
        <w:t>. The Notes are in registered form without coupons in denominations of $2,000 and integral</w:t>
      </w:r>
      <w:r>
        <w:rPr>
          <w:rFonts w:ascii="Arial" w:cs="Arial" w:eastAsia="Arial" w:hAnsi="Arial"/>
          <w:sz w:val="17"/>
          <w:szCs w:val="17"/>
          <w:i w:val="1"/>
          <w:iCs w:val="1"/>
          <w:color w:val="auto"/>
        </w:rPr>
        <w:t xml:space="preserve"> </w:t>
      </w:r>
      <w:r>
        <w:rPr>
          <w:rFonts w:ascii="Arial" w:cs="Arial" w:eastAsia="Arial" w:hAnsi="Arial"/>
          <w:sz w:val="17"/>
          <w:szCs w:val="17"/>
          <w:color w:val="auto"/>
        </w:rPr>
        <w:t>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10 days before a selection of Notes to be redeemed or during the period between a record date and the next succeeding Interest Payment Date.</w:t>
      </w:r>
    </w:p>
    <w:p>
      <w:pPr>
        <w:spacing w:after="0" w:line="177" w:lineRule="exact"/>
        <w:rPr>
          <w:rFonts w:ascii="Arial" w:cs="Arial" w:eastAsia="Arial" w:hAnsi="Arial"/>
          <w:sz w:val="17"/>
          <w:szCs w:val="17"/>
          <w:color w:val="auto"/>
        </w:rPr>
      </w:pPr>
    </w:p>
    <w:p>
      <w:pPr>
        <w:ind w:firstLine="644"/>
        <w:spacing w:after="0" w:line="277" w:lineRule="auto"/>
        <w:tabs>
          <w:tab w:leader="none" w:pos="115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2"/>
          <w:szCs w:val="12"/>
          <w:i w:val="1"/>
          <w:iCs w:val="1"/>
          <w:color w:val="auto"/>
        </w:rPr>
        <w:t>ERSONS</w:t>
      </w:r>
      <w:r>
        <w:rPr>
          <w:rFonts w:ascii="Arial" w:cs="Arial" w:eastAsia="Arial" w:hAnsi="Arial"/>
          <w:sz w:val="18"/>
          <w:szCs w:val="18"/>
          <w:i w:val="1"/>
          <w:iCs w:val="1"/>
          <w:color w:val="auto"/>
        </w:rPr>
        <w:t xml:space="preserve"> D</w:t>
      </w:r>
      <w:r>
        <w:rPr>
          <w:rFonts w:ascii="Arial" w:cs="Arial" w:eastAsia="Arial" w:hAnsi="Arial"/>
          <w:sz w:val="12"/>
          <w:szCs w:val="12"/>
          <w:i w:val="1"/>
          <w:iCs w:val="1"/>
          <w:color w:val="auto"/>
        </w:rPr>
        <w:t>EEMED</w:t>
      </w:r>
      <w:r>
        <w:rPr>
          <w:rFonts w:ascii="Arial" w:cs="Arial" w:eastAsia="Arial" w:hAnsi="Arial"/>
          <w:sz w:val="18"/>
          <w:szCs w:val="18"/>
          <w:i w:val="1"/>
          <w:iCs w:val="1"/>
          <w:color w:val="auto"/>
        </w:rPr>
        <w:t xml:space="preserve"> O</w:t>
      </w:r>
      <w:r>
        <w:rPr>
          <w:rFonts w:ascii="Arial" w:cs="Arial" w:eastAsia="Arial" w:hAnsi="Arial"/>
          <w:sz w:val="12"/>
          <w:szCs w:val="12"/>
          <w:i w:val="1"/>
          <w:iCs w:val="1"/>
          <w:color w:val="auto"/>
        </w:rPr>
        <w:t>WNERS</w:t>
      </w:r>
      <w:r>
        <w:rPr>
          <w:rFonts w:ascii="Arial" w:cs="Arial" w:eastAsia="Arial" w:hAnsi="Arial"/>
          <w:sz w:val="18"/>
          <w:szCs w:val="18"/>
          <w:color w:val="auto"/>
        </w:rPr>
        <w:t>. The registered Holder of a Note may be treated as the owner of it for all purposes. Only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have rights under the Indenture.</w:t>
      </w:r>
    </w:p>
    <w:p>
      <w:pPr>
        <w:spacing w:after="0" w:line="170" w:lineRule="exact"/>
        <w:rPr>
          <w:rFonts w:ascii="Arial" w:cs="Arial" w:eastAsia="Arial" w:hAnsi="Arial"/>
          <w:sz w:val="18"/>
          <w:szCs w:val="18"/>
          <w:color w:val="auto"/>
        </w:rPr>
      </w:pPr>
    </w:p>
    <w:p>
      <w:pPr>
        <w:jc w:val="both"/>
        <w:ind w:firstLine="644"/>
        <w:spacing w:after="0" w:line="268" w:lineRule="auto"/>
        <w:tabs>
          <w:tab w:leader="none" w:pos="1143"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A</w:t>
      </w:r>
      <w:r>
        <w:rPr>
          <w:rFonts w:ascii="Arial" w:cs="Arial" w:eastAsia="Arial" w:hAnsi="Arial"/>
          <w:sz w:val="11"/>
          <w:szCs w:val="11"/>
          <w:i w:val="1"/>
          <w:iCs w:val="1"/>
          <w:color w:val="auto"/>
        </w:rPr>
        <w:t>MENDMENT</w:t>
      </w:r>
      <w:r>
        <w:rPr>
          <w:rFonts w:ascii="Arial" w:cs="Arial" w:eastAsia="Arial" w:hAnsi="Arial"/>
          <w:sz w:val="17"/>
          <w:szCs w:val="17"/>
          <w:i w:val="1"/>
          <w:iCs w:val="1"/>
          <w:color w:val="auto"/>
        </w:rPr>
        <w:t>, S</w:t>
      </w:r>
      <w:r>
        <w:rPr>
          <w:rFonts w:ascii="Arial" w:cs="Arial" w:eastAsia="Arial" w:hAnsi="Arial"/>
          <w:sz w:val="11"/>
          <w:szCs w:val="11"/>
          <w:i w:val="1"/>
          <w:iCs w:val="1"/>
          <w:color w:val="auto"/>
        </w:rPr>
        <w:t>UPPLEMENT AND</w:t>
      </w:r>
      <w:r>
        <w:rPr>
          <w:rFonts w:ascii="Arial" w:cs="Arial" w:eastAsia="Arial" w:hAnsi="Arial"/>
          <w:sz w:val="17"/>
          <w:szCs w:val="17"/>
          <w:i w:val="1"/>
          <w:iCs w:val="1"/>
          <w:color w:val="auto"/>
        </w:rPr>
        <w:t xml:space="preserve"> W</w:t>
      </w:r>
      <w:r>
        <w:rPr>
          <w:rFonts w:ascii="Arial" w:cs="Arial" w:eastAsia="Arial" w:hAnsi="Arial"/>
          <w:sz w:val="11"/>
          <w:szCs w:val="11"/>
          <w:i w:val="1"/>
          <w:iCs w:val="1"/>
          <w:color w:val="auto"/>
        </w:rPr>
        <w:t>AIVER</w:t>
      </w:r>
      <w:r>
        <w:rPr>
          <w:rFonts w:ascii="Arial" w:cs="Arial" w:eastAsia="Arial" w:hAnsi="Arial"/>
          <w:sz w:val="17"/>
          <w:szCs w:val="17"/>
          <w:color w:val="auto"/>
        </w:rPr>
        <w:t>. Subject to certain exceptions, the Indenture, the Notes or the Guarantees may be amended or</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supplemented with the consent of the Holders of at least a majority in aggregate principal amount of the then outstanding Notes including Additional Notes, if any, voting as a single class, and any existing Default or Event of Default or compliance with any provision of the Indenture or the Notes or the Subsidiary Guarantees may be waived with the consent of the Holders of a majority in aggregate principal amount of the then outstanding Notes including Additional Notes, if any, voting as a single class. Without the consent of any Holder of Notes, the Indenture or the Notes may be amended or supplemented (i) to cure any ambiguity, mistake, defect or inconsistency, (ii) to provide for uncertificated Notes in addition to or in place of certificated Notes, (iii) to provide for the assumption of the Company’s Obligations to Holders of the Notes in the case of a merger or consolidation or sale of all or substantially all of the Company’s assets pursuant to Article 5 of the Indenture, (iv) to make any change that would provide any additional rights or benefits to the Holders of the Notes or that does not adversely affect the legal rights under the Indenture of any such Holder, (v) [Reserved], (vi) to conform the text of the Indenture or the Notes to any provision of the “Description of the Notes” section of the Offering Memorandum, relating to the initial offering of the Notes, (vii) to evidence and provide for the acceptance and appointment under the Indenture of a successor trustee pursuant to the requirements thereof, (viii) to provide for the issuance of Additional Notes in accordance with the limitations set forth in the Indenture, or (ix) to allow any Guarantor to execute a supplemental indenture and/or a Guarantee with respect to the Notes.</w:t>
      </w:r>
    </w:p>
    <w:p>
      <w:pPr>
        <w:spacing w:after="0" w:line="40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6" w:name="page87"/>
    <w:bookmarkEnd w:id="86"/>
    <w:p>
      <w:pPr>
        <w:ind w:left="1164" w:hanging="516"/>
        <w:spacing w:after="0"/>
        <w:tabs>
          <w:tab w:leader="none" w:pos="1164" w:val="left"/>
        </w:tabs>
        <w:numPr>
          <w:ilvl w:val="1"/>
          <w:numId w:val="124"/>
        </w:numPr>
        <w:rPr>
          <w:rFonts w:ascii="Arial" w:cs="Arial" w:eastAsia="Arial" w:hAnsi="Arial"/>
          <w:sz w:val="17"/>
          <w:szCs w:val="17"/>
          <w:color w:val="auto"/>
        </w:rPr>
      </w:pPr>
      <w:r>
        <w:rPr>
          <w:rFonts w:ascii="Arial" w:cs="Arial" w:eastAsia="Arial" w:hAnsi="Arial"/>
          <w:sz w:val="17"/>
          <w:szCs w:val="17"/>
          <w:i w:val="1"/>
          <w:iCs w:val="1"/>
          <w:color w:val="auto"/>
        </w:rPr>
        <w:t>D</w:t>
      </w:r>
      <w:r>
        <w:rPr>
          <w:rFonts w:ascii="Arial" w:cs="Arial" w:eastAsia="Arial" w:hAnsi="Arial"/>
          <w:sz w:val="11"/>
          <w:szCs w:val="11"/>
          <w:i w:val="1"/>
          <w:iCs w:val="1"/>
          <w:color w:val="auto"/>
        </w:rPr>
        <w:t>EFAULTS AND</w:t>
      </w:r>
      <w:r>
        <w:rPr>
          <w:rFonts w:ascii="Arial" w:cs="Arial" w:eastAsia="Arial" w:hAnsi="Arial"/>
          <w:sz w:val="17"/>
          <w:szCs w:val="17"/>
          <w:i w:val="1"/>
          <w:iCs w:val="1"/>
          <w:color w:val="auto"/>
        </w:rPr>
        <w:t xml:space="preserve"> R</w:t>
      </w:r>
      <w:r>
        <w:rPr>
          <w:rFonts w:ascii="Arial" w:cs="Arial" w:eastAsia="Arial" w:hAnsi="Arial"/>
          <w:sz w:val="11"/>
          <w:szCs w:val="11"/>
          <w:i w:val="1"/>
          <w:iCs w:val="1"/>
          <w:color w:val="auto"/>
        </w:rPr>
        <w:t>EMEDIES</w:t>
      </w:r>
      <w:r>
        <w:rPr>
          <w:rFonts w:ascii="Arial" w:cs="Arial" w:eastAsia="Arial" w:hAnsi="Arial"/>
          <w:sz w:val="17"/>
          <w:szCs w:val="17"/>
          <w:color w:val="auto"/>
        </w:rPr>
        <w:t>. Events of Default include: (i) default for 30 days in the payment when due of interest on, the Notes;</w:t>
      </w:r>
    </w:p>
    <w:p>
      <w:pPr>
        <w:spacing w:after="0" w:line="34" w:lineRule="exact"/>
        <w:rPr>
          <w:rFonts w:ascii="Arial" w:cs="Arial" w:eastAsia="Arial" w:hAnsi="Arial"/>
          <w:sz w:val="17"/>
          <w:szCs w:val="17"/>
          <w:color w:val="auto"/>
        </w:rPr>
      </w:pPr>
    </w:p>
    <w:p>
      <w:pPr>
        <w:jc w:val="both"/>
        <w:ind w:left="4" w:hanging="4"/>
        <w:spacing w:after="0" w:line="281" w:lineRule="auto"/>
        <w:tabs>
          <w:tab w:leader="none" w:pos="28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default in the payment when due of the principal of, or premium on, if any, the Notes, (iii) failure by the Company or any Guarantor for 60 days (or, in the case of any failure to comply with Section 4.03 of the Indenture, 120 days) after written notice to the Company by the Trustee or the Holders of at least 30% in aggregate principal amount of the Notes then outstanding to comply with any of the agreements in the Indenture (other than a default referred to in clause (1) or (2) of Section 6.01 of the Indenture); (iv) default under any mortgage, indenture or instrument under which there may be issued or by which there may be secured or evidenced any Indebtedness for money borrowed by the Company or any Guarantor (or the payment of which is Guaranteed by the Company or any Guarantor), whether such Indebtedness or Guarantee now exists, or is created after the date of this Indenture, if that default: (A) is caused by a failure to pay principal of, or interest or premium, if any, on such Indebtedness prior to the expiration of the grace period provided in such Indebtedness on the date of such default (a “</w:t>
      </w:r>
      <w:r>
        <w:rPr>
          <w:rFonts w:ascii="Arial" w:cs="Arial" w:eastAsia="Arial" w:hAnsi="Arial"/>
          <w:sz w:val="16"/>
          <w:szCs w:val="16"/>
          <w:i w:val="1"/>
          <w:iCs w:val="1"/>
          <w:color w:val="auto"/>
        </w:rPr>
        <w:t>Payment Default</w:t>
      </w:r>
      <w:r>
        <w:rPr>
          <w:rFonts w:ascii="Arial" w:cs="Arial" w:eastAsia="Arial" w:hAnsi="Arial"/>
          <w:sz w:val="16"/>
          <w:szCs w:val="16"/>
          <w:color w:val="auto"/>
        </w:rPr>
        <w:t>”); or</w:t>
      </w:r>
    </w:p>
    <w:p>
      <w:pPr>
        <w:spacing w:after="0" w:line="4" w:lineRule="exact"/>
        <w:rPr>
          <w:rFonts w:ascii="Arial" w:cs="Arial" w:eastAsia="Arial" w:hAnsi="Arial"/>
          <w:sz w:val="16"/>
          <w:szCs w:val="16"/>
          <w:color w:val="auto"/>
        </w:rPr>
      </w:pPr>
    </w:p>
    <w:p>
      <w:pPr>
        <w:jc w:val="both"/>
        <w:ind w:left="4"/>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exceeds the greater of (1) 1.5% of Total Assets and (2) $100.0 million;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(iv) shall not apply</w:t>
      </w:r>
    </w:p>
    <w:p>
      <w:pPr>
        <w:spacing w:after="0" w:line="1" w:lineRule="exact"/>
        <w:rPr>
          <w:rFonts w:ascii="Arial" w:cs="Arial" w:eastAsia="Arial" w:hAnsi="Arial"/>
          <w:sz w:val="16"/>
          <w:szCs w:val="16"/>
          <w:color w:val="auto"/>
        </w:rPr>
      </w:pPr>
    </w:p>
    <w:p>
      <w:pPr>
        <w:jc w:val="both"/>
        <w:ind w:left="4" w:hanging="4"/>
        <w:spacing w:after="0" w:line="281" w:lineRule="auto"/>
        <w:tabs>
          <w:tab w:leader="none" w:pos="26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to secured Indebtedness that becomes due as a result of the voluntary sale or transfer of the property or assets securing such Indebtedness to a Person that is not an Affiliate of the Company and (y) to the extent constituting Indebtedness, any indemnification, guarantee or other credit support obligations of the Company or any of the Guarantors in connection with any Tax Equity Financing entered into by a non-Subsidiary Guarantor; (v) except as permitted by the Indenture, any Guarantee by any Guarantor (or any group of Guarantors) that, if Subsidiaries of the Company, would constitute a Significant Subsidiary shall be held in any final and non-appealable judicial proceeding to be unenforceable or invalid or shall cease for any reason to be in full force and effect or any Guarantor (or any group of Guarantors) that, if a Subsidiary of the Company, would constitute a Significant Subsidiary, or any Person acting on behalf of any Guarantor (or any group of Guarantors) that, if a Subsidiary of the Company, would constitute a Significant Subsidiary, shall deny or disaffirm its or their obligations under its or their Subsidiary Guarantee(s); (vi) the Company or any Guarantor of the Company that, if a Subsidiary of the Company, would constitute a Significant Subsidiary or any group of Guarantors of the Company that, if Subsidiaries of the Company, taken together, would constitute a Significant Subsidiary:</w:t>
      </w:r>
    </w:p>
    <w:p>
      <w:pPr>
        <w:spacing w:after="0" w:line="5" w:lineRule="exact"/>
        <w:rPr>
          <w:rFonts w:ascii="Arial" w:cs="Arial" w:eastAsia="Arial" w:hAnsi="Arial"/>
          <w:sz w:val="16"/>
          <w:szCs w:val="16"/>
          <w:color w:val="auto"/>
        </w:rPr>
      </w:pPr>
    </w:p>
    <w:p>
      <w:pPr>
        <w:jc w:val="both"/>
        <w:ind w:left="4"/>
        <w:spacing w:after="0" w:line="281" w:lineRule="auto"/>
        <w:rPr>
          <w:rFonts w:ascii="Arial" w:cs="Arial" w:eastAsia="Arial" w:hAnsi="Arial"/>
          <w:sz w:val="16"/>
          <w:szCs w:val="16"/>
          <w:color w:val="auto"/>
        </w:rPr>
      </w:pPr>
      <w:r>
        <w:rPr>
          <w:rFonts w:ascii="Arial" w:cs="Arial" w:eastAsia="Arial" w:hAnsi="Arial"/>
          <w:sz w:val="16"/>
          <w:szCs w:val="16"/>
          <w:color w:val="auto"/>
        </w:rPr>
        <w:t>(A) commences a voluntary case, (B) consents to the entry of an order for relief against it in an involuntary case, (C) consents to the appointment of a custodian of it or for all or substantially all of its property, (D) makes a general assignment for the benefit of its creditors, or (E) generally is not paying its debts as they become due; or (vii) a court of competent jurisdiction enters an order or decree under any Bankruptcy Law that: (A) is for relief against the Company or any Guarantor of the Company that, if a Subsidiary of the Company, would constitute a Significant Subsidiary or any group of Guarantors of the Company that, if Subsidiaries of the Company, taken together, would constitute a Significant Subsidiary;</w:t>
      </w:r>
    </w:p>
    <w:p>
      <w:pPr>
        <w:spacing w:after="0" w:line="2" w:lineRule="exact"/>
        <w:rPr>
          <w:rFonts w:ascii="Arial" w:cs="Arial" w:eastAsia="Arial" w:hAnsi="Arial"/>
          <w:sz w:val="16"/>
          <w:szCs w:val="16"/>
          <w:color w:val="auto"/>
        </w:rPr>
      </w:pPr>
    </w:p>
    <w:p>
      <w:pPr>
        <w:jc w:val="both"/>
        <w:ind w:left="4"/>
        <w:spacing w:after="0" w:line="252" w:lineRule="auto"/>
        <w:rPr>
          <w:rFonts w:ascii="Arial" w:cs="Arial" w:eastAsia="Arial" w:hAnsi="Arial"/>
          <w:sz w:val="16"/>
          <w:szCs w:val="16"/>
          <w:color w:val="auto"/>
        </w:rPr>
      </w:pPr>
      <w:r>
        <w:rPr>
          <w:rFonts w:ascii="Arial" w:cs="Arial" w:eastAsia="Arial" w:hAnsi="Arial"/>
          <w:sz w:val="18"/>
          <w:szCs w:val="18"/>
          <w:color w:val="auto"/>
        </w:rPr>
        <w:t>(B) appoints a custodian of the Company or any Guarantor of the Company that, if a Subsidiary of the Company, would constitute a Significant Subsidiary or any group of Guarantors of the Company that, if Subsidiaries of the Company, taken together, would constitute a Significant Subsidiary, for all or substantially all of the property of the Company or any such Guarantor; or (C) orders the liquidation of the Company or any Guarantor of the Company that, if a Subsidiary of the Company, would constitute a Significant Subsidiary or any group of Guarantors of the Company that, if Subsidiaries of the Company, taken together, would constitute a Significant Subsidiary; and the order or decree remains unstayed and in effect for 60 consecutive days.</w:t>
      </w:r>
    </w:p>
    <w:p>
      <w:pPr>
        <w:spacing w:after="0" w:line="200" w:lineRule="exact"/>
        <w:rPr>
          <w:sz w:val="20"/>
          <w:szCs w:val="20"/>
          <w:color w:val="auto"/>
        </w:rPr>
      </w:pPr>
    </w:p>
    <w:p>
      <w:pPr>
        <w:spacing w:after="0" w:line="210"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7" w:name="page88"/>
    <w:bookmarkEnd w:id="87"/>
    <w:p>
      <w:pPr>
        <w:jc w:val="both"/>
        <w:ind w:left="660" w:firstLine="644"/>
        <w:spacing w:after="0" w:line="257" w:lineRule="auto"/>
        <w:tabs>
          <w:tab w:leader="none" w:pos="1833"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T</w:t>
      </w:r>
      <w:r>
        <w:rPr>
          <w:rFonts w:ascii="Arial" w:cs="Arial" w:eastAsia="Arial" w:hAnsi="Arial"/>
          <w:sz w:val="12"/>
          <w:szCs w:val="12"/>
          <w:i w:val="1"/>
          <w:iCs w:val="1"/>
          <w:color w:val="auto"/>
        </w:rPr>
        <w:t>RUSTEE</w:t>
      </w:r>
      <w:r>
        <w:rPr>
          <w:rFonts w:ascii="Arial" w:cs="Arial" w:eastAsia="Arial" w:hAnsi="Arial"/>
          <w:sz w:val="18"/>
          <w:szCs w:val="18"/>
          <w:i w:val="1"/>
          <w:iCs w:val="1"/>
          <w:color w:val="auto"/>
        </w:rPr>
        <w:t xml:space="preserve"> D</w:t>
      </w:r>
      <w:r>
        <w:rPr>
          <w:rFonts w:ascii="Arial" w:cs="Arial" w:eastAsia="Arial" w:hAnsi="Arial"/>
          <w:sz w:val="12"/>
          <w:szCs w:val="12"/>
          <w:i w:val="1"/>
          <w:iCs w:val="1"/>
          <w:color w:val="auto"/>
        </w:rPr>
        <w:t>EALINGS WITH</w:t>
      </w:r>
      <w:r>
        <w:rPr>
          <w:rFonts w:ascii="Arial" w:cs="Arial" w:eastAsia="Arial" w:hAnsi="Arial"/>
          <w:sz w:val="18"/>
          <w:szCs w:val="18"/>
          <w:i w:val="1"/>
          <w:iCs w:val="1"/>
          <w:color w:val="auto"/>
        </w:rPr>
        <w:t xml:space="preserve"> C</w:t>
      </w:r>
      <w:r>
        <w:rPr>
          <w:rFonts w:ascii="Arial" w:cs="Arial" w:eastAsia="Arial" w:hAnsi="Arial"/>
          <w:sz w:val="12"/>
          <w:szCs w:val="12"/>
          <w:i w:val="1"/>
          <w:iCs w:val="1"/>
          <w:color w:val="auto"/>
        </w:rPr>
        <w:t>OMPANY</w:t>
      </w:r>
      <w:r>
        <w:rPr>
          <w:rFonts w:ascii="Arial" w:cs="Arial" w:eastAsia="Arial" w:hAnsi="Arial"/>
          <w:sz w:val="18"/>
          <w:szCs w:val="18"/>
          <w:color w:val="auto"/>
        </w:rPr>
        <w:t>. The Trustee, in its individual or any other capacity, may make loans to, accept deposits from, and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 services for the Company or its Affiliates, and may otherwise deal with the Company or its Affiliates, as if it were not the Trustee. However, in the event that the Trustee acquires any conflicting interest it must eliminate such conflict within 90 days, apply to the SEC for permission to continue as trustee or resign. Any Agent may do the same with like rights and duties. The Trustee is also subject to and entitled to the benefits of Article 7 of the Indenture.</w:t>
      </w:r>
    </w:p>
    <w:p>
      <w:pPr>
        <w:spacing w:after="0" w:line="187" w:lineRule="exact"/>
        <w:rPr>
          <w:rFonts w:ascii="Arial" w:cs="Arial" w:eastAsia="Arial" w:hAnsi="Arial"/>
          <w:sz w:val="18"/>
          <w:szCs w:val="18"/>
          <w:color w:val="auto"/>
        </w:rPr>
      </w:pPr>
    </w:p>
    <w:p>
      <w:pPr>
        <w:jc w:val="both"/>
        <w:ind w:left="660" w:firstLine="644"/>
        <w:spacing w:after="0" w:line="257" w:lineRule="auto"/>
        <w:tabs>
          <w:tab w:leader="none" w:pos="1833"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N</w:t>
      </w:r>
      <w:r>
        <w:rPr>
          <w:rFonts w:ascii="Arial" w:cs="Arial" w:eastAsia="Arial" w:hAnsi="Arial"/>
          <w:sz w:val="12"/>
          <w:szCs w:val="12"/>
          <w:i w:val="1"/>
          <w:iCs w:val="1"/>
          <w:color w:val="auto"/>
        </w:rPr>
        <w:t>O</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ECOURSE</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GAINST</w:t>
      </w:r>
      <w:r>
        <w:rPr>
          <w:rFonts w:ascii="Arial" w:cs="Arial" w:eastAsia="Arial" w:hAnsi="Arial"/>
          <w:sz w:val="18"/>
          <w:szCs w:val="18"/>
          <w:i w:val="1"/>
          <w:iCs w:val="1"/>
          <w:color w:val="auto"/>
        </w:rPr>
        <w:t xml:space="preserve"> O</w:t>
      </w:r>
      <w:r>
        <w:rPr>
          <w:rFonts w:ascii="Arial" w:cs="Arial" w:eastAsia="Arial" w:hAnsi="Arial"/>
          <w:sz w:val="12"/>
          <w:szCs w:val="12"/>
          <w:i w:val="1"/>
          <w:iCs w:val="1"/>
          <w:color w:val="auto"/>
        </w:rPr>
        <w:t>THERS</w:t>
      </w:r>
      <w:r>
        <w:rPr>
          <w:rFonts w:ascii="Arial" w:cs="Arial" w:eastAsia="Arial" w:hAnsi="Arial"/>
          <w:sz w:val="18"/>
          <w:szCs w:val="18"/>
          <w:color w:val="auto"/>
        </w:rPr>
        <w:t>. No director, officer, employee, incorporator or stockholder of the Company or any Guarantor,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will have any liability for any obligations of the Company or the Guarantors under the Notes, the Indenture,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7" w:lineRule="exact"/>
        <w:rPr>
          <w:rFonts w:ascii="Arial" w:cs="Arial" w:eastAsia="Arial" w:hAnsi="Arial"/>
          <w:sz w:val="18"/>
          <w:szCs w:val="18"/>
          <w:color w:val="auto"/>
        </w:rPr>
      </w:pPr>
    </w:p>
    <w:p>
      <w:pPr>
        <w:ind w:left="1820" w:hanging="516"/>
        <w:spacing w:after="0"/>
        <w:tabs>
          <w:tab w:leader="none" w:pos="1820" w:val="left"/>
        </w:tabs>
        <w:numPr>
          <w:ilvl w:val="0"/>
          <w:numId w:val="127"/>
        </w:numPr>
        <w:rPr>
          <w:rFonts w:ascii="Arial" w:cs="Arial" w:eastAsia="Arial" w:hAnsi="Arial"/>
          <w:sz w:val="16"/>
          <w:szCs w:val="16"/>
          <w:color w:val="auto"/>
        </w:rPr>
      </w:pPr>
      <w:r>
        <w:rPr>
          <w:rFonts w:ascii="Arial" w:cs="Arial" w:eastAsia="Arial" w:hAnsi="Arial"/>
          <w:sz w:val="16"/>
          <w:szCs w:val="16"/>
          <w:i w:val="1"/>
          <w:iCs w:val="1"/>
          <w:color w:val="auto"/>
        </w:rPr>
        <w:t>A</w:t>
      </w:r>
      <w:r>
        <w:rPr>
          <w:rFonts w:ascii="Arial" w:cs="Arial" w:eastAsia="Arial" w:hAnsi="Arial"/>
          <w:sz w:val="11"/>
          <w:szCs w:val="11"/>
          <w:i w:val="1"/>
          <w:iCs w:val="1"/>
          <w:color w:val="auto"/>
        </w:rPr>
        <w:t>UTHENTICATION</w:t>
      </w:r>
      <w:r>
        <w:rPr>
          <w:rFonts w:ascii="Arial" w:cs="Arial" w:eastAsia="Arial" w:hAnsi="Arial"/>
          <w:sz w:val="16"/>
          <w:szCs w:val="16"/>
          <w:color w:val="auto"/>
        </w:rPr>
        <w:t>. This Note will not be valid until authenticated by the manual signature of the Trustee or an authenticating agent.</w:t>
      </w:r>
    </w:p>
    <w:p>
      <w:pPr>
        <w:spacing w:after="0" w:line="248" w:lineRule="exact"/>
        <w:rPr>
          <w:rFonts w:ascii="Arial" w:cs="Arial" w:eastAsia="Arial" w:hAnsi="Arial"/>
          <w:sz w:val="16"/>
          <w:szCs w:val="16"/>
          <w:color w:val="auto"/>
        </w:rPr>
      </w:pPr>
    </w:p>
    <w:p>
      <w:pPr>
        <w:jc w:val="both"/>
        <w:ind w:left="660" w:firstLine="644"/>
        <w:spacing w:after="0" w:line="263" w:lineRule="auto"/>
        <w:tabs>
          <w:tab w:leader="none" w:pos="1833"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BBREVIATIONS</w:t>
      </w:r>
      <w:r>
        <w:rPr>
          <w:rFonts w:ascii="Arial" w:cs="Arial" w:eastAsia="Arial" w:hAnsi="Arial"/>
          <w:sz w:val="18"/>
          <w:szCs w:val="18"/>
          <w:color w:val="auto"/>
        </w:rPr>
        <w:t>. Customary abbreviations may be used in the name of a Holder or an assignee, such as: TEN COM (= tenants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TEN ENT (= tenants by the entireties), JT TEN (= joint tenants with right of survivorship and not as tenants in common), CUST (= Custodian), and U/G/M/A (= Uniform Gifts to Minors Act).</w:t>
      </w:r>
    </w:p>
    <w:p>
      <w:pPr>
        <w:spacing w:after="0" w:line="183" w:lineRule="exact"/>
        <w:rPr>
          <w:rFonts w:ascii="Arial" w:cs="Arial" w:eastAsia="Arial" w:hAnsi="Arial"/>
          <w:sz w:val="18"/>
          <w:szCs w:val="18"/>
          <w:color w:val="auto"/>
        </w:rPr>
      </w:pPr>
    </w:p>
    <w:p>
      <w:pPr>
        <w:jc w:val="both"/>
        <w:ind w:left="660" w:firstLine="644"/>
        <w:spacing w:after="0" w:line="279" w:lineRule="auto"/>
        <w:tabs>
          <w:tab w:leader="none" w:pos="1833"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t>CUSIP N</w:t>
      </w:r>
      <w:r>
        <w:rPr>
          <w:rFonts w:ascii="Arial" w:cs="Arial" w:eastAsia="Arial" w:hAnsi="Arial"/>
          <w:sz w:val="11"/>
          <w:szCs w:val="11"/>
          <w:i w:val="1"/>
          <w:iCs w:val="1"/>
          <w:color w:val="auto"/>
        </w:rPr>
        <w:t>UMBERS</w:t>
      </w:r>
      <w:r>
        <w:rPr>
          <w:rFonts w:ascii="Arial" w:cs="Arial" w:eastAsia="Arial" w:hAnsi="Arial"/>
          <w:sz w:val="17"/>
          <w:szCs w:val="17"/>
          <w:color w:val="auto"/>
        </w:rPr>
        <w:t>. Pursuant to a recommendation promulgated by the Committee on Uniform Security Identification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71" w:lineRule="exact"/>
        <w:rPr>
          <w:rFonts w:ascii="Arial" w:cs="Arial" w:eastAsia="Arial" w:hAnsi="Arial"/>
          <w:sz w:val="17"/>
          <w:szCs w:val="17"/>
          <w:color w:val="auto"/>
        </w:rPr>
      </w:pPr>
    </w:p>
    <w:p>
      <w:pPr>
        <w:jc w:val="both"/>
        <w:ind w:left="660" w:firstLine="644"/>
        <w:spacing w:after="0" w:line="259" w:lineRule="auto"/>
        <w:tabs>
          <w:tab w:leader="none" w:pos="1833"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INTERNAL LAW OF THE STATE OF NEW YORK WILL GOVERN AND BE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 THE INDENTURE, THIS NOTE AND THE GUARANTEES WITHOUT GIVING EFFECT TO APPLICABLE PRINCIPLES OF CONFLICTS OF LAW TO THE EXTENT THAT THE APPLICATION OF THE LAWS OF ANOTHER JURISDICTION WOULD BE REQUIRED THEREBY.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shall furnish to any Holder upon written request and without charge a copy of the Indenture. Requests may be made to: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ind w:left="500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SSIGNMENT</w:t>
      </w:r>
      <w:r>
        <w:rPr>
          <w:rFonts w:ascii="Arial" w:cs="Arial" w:eastAsia="Arial" w:hAnsi="Arial"/>
          <w:sz w:val="18"/>
          <w:szCs w:val="18"/>
          <w:color w:val="auto"/>
        </w:rPr>
        <w:t xml:space="preserve"> F</w:t>
      </w:r>
      <w:r>
        <w:rPr>
          <w:rFonts w:ascii="Arial" w:cs="Arial" w:eastAsia="Arial" w:hAnsi="Arial"/>
          <w:sz w:val="12"/>
          <w:szCs w:val="12"/>
          <w:color w:val="auto"/>
        </w:rPr>
        <w:t>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ind w:left="280" w:hanging="218"/>
        <w:spacing w:after="0"/>
        <w:tabs>
          <w:tab w:leader="none" w:pos="2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or (we) assign and transfer this Note</w:t>
      </w:r>
    </w:p>
    <w:p>
      <w:pPr>
        <w:spacing w:after="0" w:line="2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-1905</wp:posOffset>
            </wp:positionV>
            <wp:extent cx="51860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86045" cy="825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irrevocably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-1905</wp:posOffset>
            </wp:positionV>
            <wp:extent cx="60604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 transfer this Note on the books of the Company. The agent may substitute another to act for him.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jc w:val="right"/>
        <w:ind w:right="39"/>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_________________________</w:t>
      </w:r>
    </w:p>
    <w:p>
      <w:pPr>
        <w:spacing w:after="0" w:line="225" w:lineRule="exact"/>
        <w:rPr>
          <w:sz w:val="20"/>
          <w:szCs w:val="20"/>
          <w:color w:val="auto"/>
        </w:rPr>
      </w:pPr>
    </w:p>
    <w:p>
      <w:pPr>
        <w:ind w:left="5480" w:right="539" w:hanging="5472"/>
        <w:spacing w:after="0" w:line="778" w:lineRule="auto"/>
        <w:tabs>
          <w:tab w:leader="none" w:pos="65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Option of Holder to Elect Purchase</w:t>
      </w:r>
    </w:p>
    <w:p>
      <w:pPr>
        <w:spacing w:after="0" w:line="19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If you want to elect to have this Note purchased by the Company pursuant to Section 4.09 of the Indenture, check here: </w:t>
      </w:r>
      <w:r>
        <w:rPr>
          <w:rFonts w:ascii="MS PGothic" w:cs="MS PGothic" w:eastAsia="MS PGothic" w:hAnsi="MS PGothic"/>
          <w:sz w:val="18"/>
          <w:szCs w:val="18"/>
          <w:color w:val="auto"/>
        </w:rPr>
        <w:t>☐</w:t>
      </w:r>
    </w:p>
    <w:p>
      <w:pPr>
        <w:spacing w:after="0" w:line="25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want to elect to have only part of the Note purchased by the Company pursuant to Section 4.09 of the Indenture, state the amount you elect to have purchased:</w:t>
      </w:r>
    </w:p>
    <w:p>
      <w:pPr>
        <w:spacing w:after="0" w:line="17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576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14605</wp:posOffset>
            </wp:positionV>
            <wp:extent cx="22802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________________________________</w:t>
      </w:r>
    </w:p>
    <w:p>
      <w:pPr>
        <w:spacing w:after="0" w:line="225" w:lineRule="exact"/>
        <w:rPr>
          <w:sz w:val="20"/>
          <w:szCs w:val="20"/>
          <w:color w:val="auto"/>
        </w:rPr>
      </w:pPr>
    </w:p>
    <w:p>
      <w:pPr>
        <w:ind w:left="5440" w:right="1620" w:hanging="5432"/>
        <w:spacing w:after="0" w:line="778" w:lineRule="auto"/>
        <w:tabs>
          <w:tab w:leader="none" w:pos="65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 OF</w:t>
      </w:r>
      <w:r>
        <w:rPr>
          <w:rFonts w:ascii="Arial" w:cs="Arial" w:eastAsia="Arial" w:hAnsi="Arial"/>
          <w:sz w:val="18"/>
          <w:szCs w:val="18"/>
          <w:color w:val="auto"/>
        </w:rPr>
        <w:t xml:space="preserve"> E</w:t>
      </w:r>
      <w:r>
        <w:rPr>
          <w:rFonts w:ascii="Arial" w:cs="Arial" w:eastAsia="Arial" w:hAnsi="Arial"/>
          <w:sz w:val="12"/>
          <w:szCs w:val="12"/>
          <w:color w:val="auto"/>
        </w:rPr>
        <w:t>XCHANGES OF</w:t>
      </w:r>
      <w:r>
        <w:rPr>
          <w:rFonts w:ascii="Arial" w:cs="Arial" w:eastAsia="Arial" w:hAnsi="Arial"/>
          <w:sz w:val="18"/>
          <w:szCs w:val="18"/>
          <w:color w:val="auto"/>
        </w:rPr>
        <w:t xml:space="preserve"> I</w:t>
      </w:r>
      <w:r>
        <w:rPr>
          <w:rFonts w:ascii="Arial" w:cs="Arial" w:eastAsia="Arial" w:hAnsi="Arial"/>
          <w:sz w:val="12"/>
          <w:szCs w:val="12"/>
          <w:color w:val="auto"/>
        </w:rPr>
        <w:t>NTERESTS IN THE</w:t>
      </w:r>
      <w:r>
        <w:rPr>
          <w:rFonts w:ascii="Arial" w:cs="Arial" w:eastAsia="Arial" w:hAnsi="Arial"/>
          <w:sz w:val="18"/>
          <w:szCs w:val="18"/>
          <w:color w:val="auto"/>
        </w:rPr>
        <w:t xml:space="preserve"> G</w:t>
      </w:r>
      <w:r>
        <w:rPr>
          <w:rFonts w:ascii="Arial" w:cs="Arial" w:eastAsia="Arial" w:hAnsi="Arial"/>
          <w:sz w:val="12"/>
          <w:szCs w:val="12"/>
          <w:color w:val="auto"/>
        </w:rPr>
        <w:t>LOBAL</w:t>
      </w:r>
      <w:r>
        <w:rPr>
          <w:rFonts w:ascii="Arial" w:cs="Arial" w:eastAsia="Arial" w:hAnsi="Arial"/>
          <w:sz w:val="18"/>
          <w:szCs w:val="18"/>
          <w:color w:val="auto"/>
        </w:rPr>
        <w:t xml:space="preserve"> N</w:t>
      </w:r>
      <w:r>
        <w:rPr>
          <w:rFonts w:ascii="Arial" w:cs="Arial" w:eastAsia="Arial" w:hAnsi="Arial"/>
          <w:sz w:val="12"/>
          <w:szCs w:val="12"/>
          <w:color w:val="auto"/>
        </w:rPr>
        <w:t>OTE</w:t>
      </w:r>
      <w:r>
        <w:rPr>
          <w:rFonts w:ascii="Arial" w:cs="Arial" w:eastAsia="Arial" w:hAnsi="Arial"/>
          <w:sz w:val="18"/>
          <w:szCs w:val="18"/>
          <w:color w:val="auto"/>
        </w:rPr>
        <w:t xml:space="preserve"> *</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Amount of</w:t>
            </w:r>
          </w:p>
        </w:tc>
        <w:tc>
          <w:tcPr>
            <w:tcW w:w="22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Amount of</w:t>
            </w:r>
          </w:p>
        </w:tc>
        <w:tc>
          <w:tcPr>
            <w:tcW w:w="234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Principal Amount</w:t>
            </w: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decrease in</w:t>
            </w:r>
          </w:p>
        </w:tc>
        <w:tc>
          <w:tcPr>
            <w:tcW w:w="22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increase in</w:t>
            </w:r>
          </w:p>
        </w:tc>
        <w:tc>
          <w:tcPr>
            <w:tcW w:w="23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of this Global Note</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Signature of</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Principal Amount</w:t>
            </w:r>
          </w:p>
        </w:tc>
        <w:tc>
          <w:tcPr>
            <w:tcW w:w="22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Amount</w:t>
            </w:r>
          </w:p>
        </w:tc>
        <w:tc>
          <w:tcPr>
            <w:tcW w:w="23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following such</w:t>
            </w:r>
          </w:p>
        </w:tc>
        <w:tc>
          <w:tcPr>
            <w:tcW w:w="2140" w:type="dxa"/>
            <w:vAlign w:val="bottom"/>
          </w:tcPr>
          <w:p>
            <w:pPr>
              <w:jc w:val="center"/>
              <w:spacing w:after="0"/>
              <w:rPr>
                <w:sz w:val="20"/>
                <w:szCs w:val="20"/>
                <w:color w:val="auto"/>
              </w:rPr>
            </w:pPr>
            <w:r>
              <w:rPr>
                <w:rFonts w:ascii="Arial" w:cs="Arial" w:eastAsia="Arial" w:hAnsi="Arial"/>
                <w:sz w:val="18"/>
                <w:szCs w:val="18"/>
                <w:color w:val="auto"/>
                <w:w w:val="92"/>
              </w:rPr>
              <w:t>authorized officer</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of</w:t>
            </w:r>
          </w:p>
        </w:tc>
        <w:tc>
          <w:tcPr>
            <w:tcW w:w="22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of</w:t>
            </w:r>
          </w:p>
        </w:tc>
        <w:tc>
          <w:tcPr>
            <w:tcW w:w="234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decrease</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of Trustee or</w:t>
            </w:r>
          </w:p>
        </w:tc>
      </w:tr>
      <w:tr>
        <w:trPr>
          <w:trHeight w:val="230"/>
        </w:trPr>
        <w:tc>
          <w:tcPr>
            <w:tcW w:w="2260" w:type="dxa"/>
            <w:vAlign w:val="bottom"/>
            <w:gridSpan w:val="2"/>
          </w:tcPr>
          <w:p>
            <w:pPr>
              <w:ind w:left="380"/>
              <w:spacing w:after="0"/>
              <w:rPr>
                <w:sz w:val="20"/>
                <w:szCs w:val="20"/>
                <w:color w:val="auto"/>
              </w:rPr>
            </w:pPr>
            <w:r>
              <w:rPr>
                <w:rFonts w:ascii="Arial" w:cs="Arial" w:eastAsia="Arial" w:hAnsi="Arial"/>
                <w:sz w:val="18"/>
                <w:szCs w:val="18"/>
                <w:color w:val="auto"/>
              </w:rPr>
              <w:t>Date of Exchange</w:t>
            </w:r>
          </w:p>
        </w:tc>
        <w:tc>
          <w:tcPr>
            <w:tcW w:w="22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this Global Note</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this Global Note</w:t>
            </w:r>
          </w:p>
        </w:tc>
        <w:tc>
          <w:tcPr>
            <w:tcW w:w="23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(or increase)</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Custodian</w:t>
            </w:r>
          </w:p>
        </w:tc>
      </w:tr>
      <w:tr>
        <w:trPr>
          <w:trHeight w:val="210"/>
        </w:trPr>
        <w:tc>
          <w:tcPr>
            <w:tcW w:w="2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5440" w:right="5440" w:hanging="5432"/>
        <w:spacing w:after="0" w:line="905" w:lineRule="auto"/>
        <w:tabs>
          <w:tab w:leader="none" w:pos="330" w:val="left"/>
        </w:tabs>
        <w:numPr>
          <w:ilvl w:val="0"/>
          <w:numId w:val="131"/>
        </w:numPr>
        <w:rPr>
          <w:rFonts w:ascii="Arial" w:cs="Arial" w:eastAsia="Arial" w:hAnsi="Arial"/>
          <w:sz w:val="16"/>
          <w:szCs w:val="16"/>
          <w:color w:val="auto"/>
        </w:rPr>
      </w:pPr>
      <w:r>
        <w:rPr>
          <w:rFonts w:ascii="Arial" w:cs="Arial" w:eastAsia="Arial" w:hAnsi="Arial"/>
          <w:sz w:val="16"/>
          <w:szCs w:val="16"/>
          <w:i w:val="1"/>
          <w:iCs w:val="1"/>
          <w:color w:val="auto"/>
        </w:rPr>
        <w:t>This schedule should be included only if the Note is issued in global form</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3.750% Senior Notes due 2031</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hereby made to the Indenture, dated as of March 9, 2021 (the “</w:t>
      </w:r>
      <w:r>
        <w:rPr>
          <w:rFonts w:ascii="Arial" w:cs="Arial" w:eastAsia="Arial" w:hAnsi="Arial"/>
          <w:sz w:val="18"/>
          <w:szCs w:val="18"/>
          <w:i w:val="1"/>
          <w:iCs w:val="1"/>
          <w:color w:val="auto"/>
        </w:rPr>
        <w:t>Indenture</w:t>
      </w:r>
      <w:r>
        <w:rPr>
          <w:rFonts w:ascii="Arial" w:cs="Arial" w:eastAsia="Arial" w:hAnsi="Arial"/>
          <w:sz w:val="18"/>
          <w:szCs w:val="18"/>
          <w:color w:val="auto"/>
        </w:rPr>
        <w:t>”), among Clearway Energy Operating LLC,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Delaware Trust Company, as trustee. Capitalized terms used but not defined herein shall have the meanings given to them in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___________________, (the “</w:t>
      </w:r>
      <w:r>
        <w:rPr>
          <w:rFonts w:ascii="Arial" w:cs="Arial" w:eastAsia="Arial" w:hAnsi="Arial"/>
          <w:sz w:val="16"/>
          <w:szCs w:val="16"/>
          <w:i w:val="1"/>
          <w:iCs w:val="1"/>
          <w:color w:val="auto"/>
        </w:rPr>
        <w:t>Transferor</w:t>
      </w:r>
      <w:r>
        <w:rPr>
          <w:rFonts w:ascii="Arial" w:cs="Arial" w:eastAsia="Arial" w:hAnsi="Arial"/>
          <w:sz w:val="16"/>
          <w:szCs w:val="16"/>
          <w:color w:val="auto"/>
        </w:rPr>
        <w:t>”) owns and proposes to transfer the Note[s] or interest in such Note[s] specified in Annex A hereto,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principal amount of $___________ in such Note[s] or interests (the “</w:t>
      </w:r>
      <w:r>
        <w:rPr>
          <w:rFonts w:ascii="Arial" w:cs="Arial" w:eastAsia="Arial" w:hAnsi="Arial"/>
          <w:sz w:val="17"/>
          <w:szCs w:val="17"/>
          <w:i w:val="1"/>
          <w:iCs w:val="1"/>
          <w:color w:val="auto"/>
        </w:rPr>
        <w:t>Transfer</w:t>
      </w:r>
      <w:r>
        <w:rPr>
          <w:rFonts w:ascii="Arial" w:cs="Arial" w:eastAsia="Arial" w:hAnsi="Arial"/>
          <w:sz w:val="17"/>
          <w:szCs w:val="17"/>
          <w:color w:val="auto"/>
        </w:rPr>
        <w:t>”), to ___________________________ (the “</w:t>
      </w:r>
      <w:r>
        <w:rPr>
          <w:rFonts w:ascii="Arial" w:cs="Arial" w:eastAsia="Arial" w:hAnsi="Arial"/>
          <w:sz w:val="17"/>
          <w:szCs w:val="17"/>
          <w:i w:val="1"/>
          <w:iCs w:val="1"/>
          <w:color w:val="auto"/>
        </w:rPr>
        <w:t>Transferee</w:t>
      </w:r>
      <w:r>
        <w:rPr>
          <w:rFonts w:ascii="Arial" w:cs="Arial" w:eastAsia="Arial" w:hAnsi="Arial"/>
          <w:sz w:val="17"/>
          <w:szCs w:val="17"/>
          <w:color w:val="auto"/>
        </w:rPr>
        <w:t>”), as further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specified in Annex A hereto. In connection with the Transfer, the Transferor hereby certifies that: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192" w:lineRule="exact"/>
        <w:rPr>
          <w:sz w:val="20"/>
          <w:szCs w:val="20"/>
          <w:color w:val="auto"/>
        </w:rPr>
      </w:pPr>
    </w:p>
    <w:p>
      <w:pPr>
        <w:jc w:val="both"/>
        <w:ind w:firstLine="656"/>
        <w:spacing w:after="0" w:line="221" w:lineRule="exact"/>
        <w:tabs>
          <w:tab w:leader="none" w:pos="841" w:val="left"/>
        </w:tabs>
        <w:numPr>
          <w:ilvl w:val="1"/>
          <w:numId w:val="132"/>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Transferee will take delivery of a beneficial interest in the 144A Global Note or a Restricted Definitive Note pursuant to</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Rule 144A</w:t>
      </w:r>
      <w:r>
        <w:rPr>
          <w:rFonts w:ascii="Arial" w:cs="Arial" w:eastAsia="Arial" w:hAnsi="Arial"/>
          <w:sz w:val="17"/>
          <w:szCs w:val="17"/>
          <w:color w:val="auto"/>
        </w:rPr>
        <w:t>. The Transfer is being effected pursuant to and in accordance with Rule 144A under the Securities Act of 1933, as amended (the “</w:t>
      </w:r>
      <w:r>
        <w:rPr>
          <w:rFonts w:ascii="Arial" w:cs="Arial" w:eastAsia="Arial" w:hAnsi="Arial"/>
          <w:sz w:val="17"/>
          <w:szCs w:val="17"/>
          <w:i w:val="1"/>
          <w:iCs w:val="1"/>
          <w:color w:val="auto"/>
        </w:rPr>
        <w:t>Securities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 and, accordingly, the Transferor hereby further certifies that the beneficial interest or Definitive Note is being transferred to a Person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73" w:lineRule="exact"/>
        <w:rPr>
          <w:rFonts w:ascii="Arial" w:cs="Arial" w:eastAsia="Arial" w:hAnsi="Arial"/>
          <w:sz w:val="17"/>
          <w:szCs w:val="17"/>
          <w:color w:val="auto"/>
        </w:rPr>
      </w:pPr>
    </w:p>
    <w:p>
      <w:pPr>
        <w:jc w:val="both"/>
        <w:ind w:firstLine="656"/>
        <w:spacing w:after="0" w:line="223" w:lineRule="exact"/>
        <w:tabs>
          <w:tab w:leader="none" w:pos="855" w:val="left"/>
        </w:tabs>
        <w:numPr>
          <w:ilvl w:val="1"/>
          <w:numId w:val="13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the Regulation S Global Note or a Restricted Definitive Note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pursuant to Regulation S</w:t>
      </w:r>
      <w:r>
        <w:rPr>
          <w:rFonts w:ascii="Arial" w:cs="Arial" w:eastAsia="Arial" w:hAnsi="Arial"/>
          <w:sz w:val="16"/>
          <w:szCs w:val="16"/>
          <w:color w:val="auto"/>
        </w:rPr>
        <w:t>. The Transfer is being effected pursuant to and in accordance with Rule 903 or Rule 904 under the Securities Act and,</w:t>
      </w:r>
      <w:r>
        <w:rPr>
          <w:rFonts w:ascii="Arial" w:cs="Arial" w:eastAsia="Arial" w:hAnsi="Arial"/>
          <w:sz w:val="16"/>
          <w:szCs w:val="16"/>
          <w:b w:val="1"/>
          <w:bCs w:val="1"/>
          <w:color w:val="auto"/>
        </w:rPr>
        <w:t xml:space="preserve"> </w:t>
      </w:r>
      <w:r>
        <w:rPr>
          <w:rFonts w:ascii="Arial" w:cs="Arial" w:eastAsia="Arial" w:hAnsi="Arial"/>
          <w:sz w:val="16"/>
          <w:szCs w:val="16"/>
          <w:color w:val="auto"/>
        </w:rPr>
        <w:t>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w:t>
      </w:r>
    </w:p>
    <w:p>
      <w:pPr>
        <w:spacing w:after="0" w:line="2" w:lineRule="exact"/>
        <w:rPr>
          <w:rFonts w:ascii="Arial" w:cs="Arial" w:eastAsia="Arial" w:hAnsi="Arial"/>
          <w:sz w:val="16"/>
          <w:szCs w:val="16"/>
          <w:color w:val="auto"/>
        </w:rPr>
      </w:pPr>
    </w:p>
    <w:p>
      <w:pPr>
        <w:jc w:val="both"/>
        <w:ind w:firstLine="8"/>
        <w:spacing w:after="0" w:line="253" w:lineRule="auto"/>
        <w:tabs>
          <w:tab w:leader="none" w:pos="33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ind w:firstLine="656"/>
        <w:spacing w:after="0" w:line="226" w:lineRule="exact"/>
        <w:tabs>
          <w:tab w:leader="none" w:pos="841" w:val="left"/>
        </w:tabs>
        <w:numPr>
          <w:ilvl w:val="0"/>
          <w:numId w:val="13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Check and complete if Transferee will take delivery of a beneficial interest in the IAI Global Note or a Restricted Definitive Note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pursuant to any provision of the Securities Act other than Rule 144A or Regulation S</w:t>
      </w:r>
      <w:r>
        <w:rPr>
          <w:rFonts w:ascii="Arial" w:cs="Arial" w:eastAsia="Arial" w:hAnsi="Arial"/>
          <w:sz w:val="18"/>
          <w:szCs w:val="18"/>
          <w:color w:val="auto"/>
        </w:rPr>
        <w:t>. The Transfer is being effected in compliance with the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70" w:lineRule="exact"/>
        <w:rPr>
          <w:rFonts w:ascii="Arial" w:cs="Arial" w:eastAsia="Arial" w:hAnsi="Arial"/>
          <w:sz w:val="18"/>
          <w:szCs w:val="18"/>
          <w:color w:val="auto"/>
        </w:rPr>
      </w:pPr>
    </w:p>
    <w:p>
      <w:pPr>
        <w:ind w:left="1780" w:hanging="476"/>
        <w:spacing w:after="0" w:line="207" w:lineRule="exact"/>
        <w:tabs>
          <w:tab w:leader="none" w:pos="1780" w:val="left"/>
        </w:tabs>
        <w:numPr>
          <w:ilvl w:val="1"/>
          <w:numId w:val="13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and in accordance with Rule 144 under the Securities Act;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192" w:lineRule="exact"/>
        <w:rPr>
          <w:sz w:val="20"/>
          <w:szCs w:val="20"/>
          <w:color w:val="auto"/>
        </w:rPr>
      </w:pPr>
    </w:p>
    <w:p>
      <w:pPr>
        <w:ind w:left="5540" w:right="4140" w:hanging="4236"/>
        <w:spacing w:after="0" w:line="347" w:lineRule="exact"/>
        <w:tabs>
          <w:tab w:leader="none" w:pos="1774" w:val="left"/>
        </w:tabs>
        <w:numPr>
          <w:ilvl w:val="0"/>
          <w:numId w:val="13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to the Company or a subsidiary thereof; or</w:t>
      </w:r>
    </w:p>
    <w:p>
      <w:pPr>
        <w:spacing w:after="0" w:line="170" w:lineRule="exact"/>
        <w:rPr>
          <w:rFonts w:ascii="Arial" w:cs="Arial" w:eastAsia="Arial" w:hAnsi="Arial"/>
          <w:sz w:val="18"/>
          <w:szCs w:val="18"/>
          <w:color w:val="auto"/>
        </w:rPr>
      </w:pPr>
    </w:p>
    <w:p>
      <w:pPr>
        <w:ind w:left="660" w:firstLine="644"/>
        <w:spacing w:after="0" w:line="239" w:lineRule="exact"/>
        <w:tabs>
          <w:tab w:leader="none" w:pos="1778" w:val="left"/>
        </w:tabs>
        <w:numPr>
          <w:ilvl w:val="0"/>
          <w:numId w:val="13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192" w:lineRule="exact"/>
        <w:rPr>
          <w:sz w:val="20"/>
          <w:szCs w:val="20"/>
          <w:color w:val="auto"/>
        </w:rPr>
      </w:pPr>
    </w:p>
    <w:p>
      <w:pPr>
        <w:jc w:val="both"/>
        <w:ind w:left="660" w:firstLine="644"/>
        <w:spacing w:after="0" w:line="220" w:lineRule="exact"/>
        <w:tabs>
          <w:tab w:leader="none" w:pos="1788" w:val="left"/>
        </w:tabs>
        <w:numPr>
          <w:ilvl w:val="1"/>
          <w:numId w:val="136"/>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76" w:lineRule="exact"/>
        <w:rPr>
          <w:rFonts w:ascii="Arial" w:cs="Arial" w:eastAsia="Arial" w:hAnsi="Arial"/>
          <w:sz w:val="17"/>
          <w:szCs w:val="17"/>
          <w:color w:val="auto"/>
        </w:rPr>
      </w:pPr>
    </w:p>
    <w:p>
      <w:pPr>
        <w:ind w:left="840" w:hanging="184"/>
        <w:spacing w:after="0" w:line="184" w:lineRule="exact"/>
        <w:tabs>
          <w:tab w:leader="none" w:pos="840" w:val="left"/>
        </w:tabs>
        <w:numPr>
          <w:ilvl w:val="0"/>
          <w:numId w:val="13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an Unrestricted Global Note or of an Unrestricted Definitive Note</w:t>
      </w:r>
      <w:r>
        <w:rPr>
          <w:rFonts w:ascii="Arial" w:cs="Arial" w:eastAsia="Arial" w:hAnsi="Arial"/>
          <w:sz w:val="16"/>
          <w:szCs w:val="16"/>
          <w:color w:val="auto"/>
        </w:rPr>
        <w:t>.</w:t>
      </w:r>
    </w:p>
    <w:p>
      <w:pPr>
        <w:spacing w:after="0" w:line="248" w:lineRule="exact"/>
        <w:rPr>
          <w:sz w:val="20"/>
          <w:szCs w:val="20"/>
          <w:color w:val="auto"/>
        </w:rPr>
      </w:pPr>
    </w:p>
    <w:p>
      <w:pPr>
        <w:jc w:val="both"/>
        <w:ind w:firstLine="656"/>
        <w:spacing w:after="0" w:line="224" w:lineRule="exact"/>
        <w:tabs>
          <w:tab w:leader="none" w:pos="965" w:val="left"/>
        </w:tabs>
        <w:numPr>
          <w:ilvl w:val="0"/>
          <w:numId w:val="1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Rule 144</w:t>
      </w:r>
      <w:r>
        <w:rPr>
          <w:rFonts w:ascii="Arial" w:cs="Arial" w:eastAsia="Arial" w:hAnsi="Arial"/>
          <w:sz w:val="18"/>
          <w:szCs w:val="18"/>
          <w:color w:val="auto"/>
        </w:rPr>
        <w:t>. (i) The Transfer is being effected pursuant to and in accordance with Rule 144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93" w:name="page94"/>
    <w:bookmarkEnd w:id="93"/>
    <w:p>
      <w:pPr>
        <w:jc w:val="both"/>
        <w:ind w:left="-20" w:firstLine="656"/>
        <w:spacing w:after="0" w:line="224" w:lineRule="exact"/>
        <w:tabs>
          <w:tab w:leader="none" w:pos="968" w:val="left"/>
        </w:tabs>
        <w:numPr>
          <w:ilvl w:val="0"/>
          <w:numId w:val="13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Regulation S</w:t>
      </w:r>
      <w:r>
        <w:rPr>
          <w:rFonts w:ascii="Arial" w:cs="Arial" w:eastAsia="Arial" w:hAnsi="Arial"/>
          <w:sz w:val="18"/>
          <w:szCs w:val="18"/>
          <w:color w:val="auto"/>
        </w:rPr>
        <w:t>. (i) The Transfer is being effected pursuant to and in accordance with Rule 903 or</w:t>
      </w:r>
      <w:r>
        <w:rPr>
          <w:rFonts w:ascii="Arial" w:cs="Arial" w:eastAsia="Arial" w:hAnsi="Arial"/>
          <w:sz w:val="18"/>
          <w:szCs w:val="18"/>
          <w:b w:val="1"/>
          <w:bCs w:val="1"/>
          <w:color w:val="auto"/>
        </w:rPr>
        <w:t xml:space="preserve"> </w:t>
      </w:r>
      <w:r>
        <w:rPr>
          <w:rFonts w:ascii="Arial" w:cs="Arial" w:eastAsia="Arial" w:hAnsi="Arial"/>
          <w:sz w:val="18"/>
          <w:szCs w:val="18"/>
          <w:color w:val="auto"/>
        </w:rPr>
        <w:t>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71" w:lineRule="exact"/>
        <w:rPr>
          <w:rFonts w:ascii="Arial" w:cs="Arial" w:eastAsia="Arial" w:hAnsi="Arial"/>
          <w:sz w:val="18"/>
          <w:szCs w:val="18"/>
          <w:color w:val="auto"/>
        </w:rPr>
      </w:pPr>
    </w:p>
    <w:p>
      <w:pPr>
        <w:jc w:val="both"/>
        <w:ind w:left="-20" w:firstLine="656"/>
        <w:spacing w:after="0" w:line="224" w:lineRule="exact"/>
        <w:tabs>
          <w:tab w:leader="none" w:pos="931" w:val="left"/>
        </w:tabs>
        <w:numPr>
          <w:ilvl w:val="0"/>
          <w:numId w:val="13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Transfer is Pursuant to Other Exemption</w:t>
      </w:r>
      <w:r>
        <w:rPr>
          <w:rFonts w:ascii="Arial" w:cs="Arial" w:eastAsia="Arial" w:hAnsi="Arial"/>
          <w:sz w:val="16"/>
          <w:szCs w:val="16"/>
          <w:color w:val="auto"/>
        </w:rPr>
        <w:t>. (i) The Transfer is being effected pursuant to and in compliance with an exemption</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00" w:lineRule="exact"/>
        <w:rPr>
          <w:sz w:val="20"/>
          <w:szCs w:val="20"/>
          <w:color w:val="auto"/>
        </w:rPr>
      </w:pPr>
    </w:p>
    <w:p>
      <w:pPr>
        <w:spacing w:after="0" w:line="25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-130175</wp:posOffset>
            </wp:positionV>
            <wp:extent cx="35572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33515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Dated: ___________________________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876"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ANNEX A TO CERTIFICATE OF TRANSFER</w:t>
      </w:r>
    </w:p>
    <w:p>
      <w:pPr>
        <w:spacing w:after="0" w:line="225" w:lineRule="exact"/>
        <w:rPr>
          <w:sz w:val="20"/>
          <w:szCs w:val="20"/>
          <w:color w:val="auto"/>
        </w:rPr>
      </w:pPr>
    </w:p>
    <w:p>
      <w:pPr>
        <w:ind w:left="1000" w:hanging="344"/>
        <w:spacing w:after="0"/>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225"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5"/>
          </w:tcPr>
          <w:p>
            <w:pPr>
              <w:jc w:val="center"/>
              <w:spacing w:after="0"/>
              <w:rPr>
                <w:sz w:val="20"/>
                <w:szCs w:val="20"/>
                <w:color w:val="auto"/>
              </w:rPr>
            </w:pPr>
            <w:r>
              <w:rPr>
                <w:rFonts w:ascii="Arial" w:cs="Arial" w:eastAsia="Arial" w:hAnsi="Arial"/>
                <w:sz w:val="18"/>
                <w:szCs w:val="18"/>
                <w:color w:val="auto"/>
                <w:w w:val="95"/>
              </w:rPr>
              <w:t>[CHECK ONE OF (a) OR (b)]</w:t>
            </w:r>
          </w:p>
        </w:tc>
      </w:tr>
      <w:tr>
        <w:trPr>
          <w:trHeight w:val="452"/>
        </w:trPr>
        <w:tc>
          <w:tcPr>
            <w:tcW w:w="288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2"/>
        </w:trPr>
        <w:tc>
          <w:tcPr>
            <w:tcW w:w="640" w:type="dxa"/>
            <w:vAlign w:val="bottom"/>
          </w:tcPr>
          <w:p>
            <w:pPr>
              <w:ind w:left="340"/>
              <w:spacing w:after="0"/>
              <w:rPr>
                <w:sz w:val="20"/>
                <w:szCs w:val="20"/>
                <w:color w:val="auto"/>
              </w:rPr>
            </w:pPr>
            <w:r>
              <w:rPr>
                <w:rFonts w:ascii="Arial" w:cs="Arial" w:eastAsia="Arial" w:hAnsi="Arial"/>
                <w:sz w:val="18"/>
                <w:szCs w:val="18"/>
                <w:color w:val="auto"/>
              </w:rPr>
              <w:t>(i)</w:t>
            </w:r>
          </w:p>
        </w:tc>
        <w:tc>
          <w:tcPr>
            <w:tcW w:w="2240" w:type="dxa"/>
            <w:vAlign w:val="bottom"/>
            <w:gridSpan w:val="2"/>
          </w:tcPr>
          <w:p>
            <w:pPr>
              <w:ind w:left="40"/>
              <w:spacing w:after="0" w:line="207" w:lineRule="exact"/>
              <w:rPr>
                <w:sz w:val="20"/>
                <w:szCs w:val="20"/>
                <w:color w:val="auto"/>
              </w:rPr>
            </w:pPr>
            <w:r>
              <w:rPr>
                <w:rFonts w:ascii="MS PGothic" w:cs="MS PGothic" w:eastAsia="MS PGothic" w:hAnsi="MS PGothic"/>
                <w:sz w:val="18"/>
                <w:szCs w:val="18"/>
                <w:color w:val="auto"/>
                <w:w w:val="94"/>
              </w:rPr>
              <w:t>☐</w:t>
            </w:r>
            <w:r>
              <w:rPr>
                <w:rFonts w:ascii="Arial" w:cs="Arial" w:eastAsia="Arial" w:hAnsi="Arial"/>
                <w:sz w:val="18"/>
                <w:szCs w:val="18"/>
                <w:color w:val="auto"/>
                <w:w w:val="94"/>
              </w:rPr>
              <w:t xml:space="preserve"> 144A Global Note (CUSIP</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 or</w:t>
            </w:r>
          </w:p>
        </w:tc>
        <w:tc>
          <w:tcPr>
            <w:tcW w:w="1260" w:type="dxa"/>
            <w:vAlign w:val="bottom"/>
          </w:tcPr>
          <w:p>
            <w:pPr>
              <w:spacing w:after="0"/>
              <w:rPr>
                <w:sz w:val="24"/>
                <w:szCs w:val="24"/>
                <w:color w:val="auto"/>
              </w:rPr>
            </w:pPr>
          </w:p>
        </w:tc>
      </w:tr>
      <w:tr>
        <w:trPr>
          <w:trHeight w:val="412"/>
        </w:trPr>
        <w:tc>
          <w:tcPr>
            <w:tcW w:w="640" w:type="dxa"/>
            <w:vAlign w:val="bottom"/>
          </w:tcPr>
          <w:p>
            <w:pPr>
              <w:ind w:left="340"/>
              <w:spacing w:after="0"/>
              <w:rPr>
                <w:sz w:val="20"/>
                <w:szCs w:val="20"/>
                <w:color w:val="auto"/>
              </w:rPr>
            </w:pPr>
            <w:r>
              <w:rPr>
                <w:rFonts w:ascii="Arial" w:cs="Arial" w:eastAsia="Arial" w:hAnsi="Arial"/>
                <w:sz w:val="18"/>
                <w:szCs w:val="18"/>
                <w:color w:val="auto"/>
              </w:rPr>
              <w:t>(ii)</w:t>
            </w:r>
          </w:p>
        </w:tc>
        <w:tc>
          <w:tcPr>
            <w:tcW w:w="2800" w:type="dxa"/>
            <w:vAlign w:val="bottom"/>
            <w:gridSpan w:val="5"/>
          </w:tcPr>
          <w:p>
            <w:pPr>
              <w:ind w:left="60"/>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Regulation S Global Note (CUSIP</w:t>
            </w:r>
          </w:p>
        </w:tc>
        <w:tc>
          <w:tcPr>
            <w:tcW w:w="420" w:type="dxa"/>
            <w:vAlign w:val="bottom"/>
            <w:tcBorders>
              <w:bottom w:val="single" w:sz="8" w:color="auto"/>
            </w:tcBorders>
          </w:tcPr>
          <w:p>
            <w:pPr>
              <w:spacing w:after="0"/>
              <w:rPr>
                <w:sz w:val="24"/>
                <w:szCs w:val="24"/>
                <w:color w:val="auto"/>
              </w:rPr>
            </w:pPr>
          </w:p>
        </w:tc>
        <w:tc>
          <w:tcPr>
            <w:tcW w:w="1260" w:type="dxa"/>
            <w:vAlign w:val="bottom"/>
          </w:tcPr>
          <w:p>
            <w:pPr>
              <w:jc w:val="center"/>
              <w:ind w:right="870"/>
              <w:spacing w:after="0"/>
              <w:rPr>
                <w:sz w:val="20"/>
                <w:szCs w:val="20"/>
                <w:color w:val="auto"/>
              </w:rPr>
            </w:pPr>
            <w:r>
              <w:rPr>
                <w:rFonts w:ascii="Arial" w:cs="Arial" w:eastAsia="Arial" w:hAnsi="Arial"/>
                <w:sz w:val="18"/>
                <w:szCs w:val="18"/>
                <w:color w:val="auto"/>
                <w:w w:val="93"/>
              </w:rPr>
              <w:t>), or</w:t>
            </w:r>
          </w:p>
        </w:tc>
      </w:tr>
      <w:tr>
        <w:trPr>
          <w:trHeight w:val="412"/>
        </w:trPr>
        <w:tc>
          <w:tcPr>
            <w:tcW w:w="640" w:type="dxa"/>
            <w:vAlign w:val="bottom"/>
          </w:tcPr>
          <w:p>
            <w:pPr>
              <w:ind w:left="340"/>
              <w:spacing w:after="0"/>
              <w:rPr>
                <w:sz w:val="20"/>
                <w:szCs w:val="20"/>
                <w:color w:val="auto"/>
              </w:rPr>
            </w:pPr>
            <w:r>
              <w:rPr>
                <w:rFonts w:ascii="Arial" w:cs="Arial" w:eastAsia="Arial" w:hAnsi="Arial"/>
                <w:sz w:val="18"/>
                <w:szCs w:val="18"/>
                <w:color w:val="auto"/>
              </w:rPr>
              <w:t>(iii)</w:t>
            </w:r>
          </w:p>
        </w:tc>
        <w:tc>
          <w:tcPr>
            <w:tcW w:w="214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IAI Global Note (CUSIP</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auto"/>
              </w:rPr>
              <w:t>); or</w:t>
            </w:r>
          </w:p>
        </w:tc>
        <w:tc>
          <w:tcPr>
            <w:tcW w:w="1260" w:type="dxa"/>
            <w:vAlign w:val="bottom"/>
          </w:tcPr>
          <w:p>
            <w:pPr>
              <w:spacing w:after="0"/>
              <w:rPr>
                <w:sz w:val="24"/>
                <w:szCs w:val="24"/>
                <w:color w:val="auto"/>
              </w:rPr>
            </w:pPr>
          </w:p>
        </w:tc>
      </w:tr>
    </w:tbl>
    <w:p>
      <w:pPr>
        <w:spacing w:after="0" w:line="196" w:lineRule="exact"/>
        <w:rPr>
          <w:sz w:val="20"/>
          <w:szCs w:val="20"/>
          <w:color w:val="auto"/>
        </w:rPr>
      </w:pPr>
    </w:p>
    <w:p>
      <w:pPr>
        <w:ind w:left="1920" w:hanging="292"/>
        <w:spacing w:after="0" w:line="207" w:lineRule="exact"/>
        <w:tabs>
          <w:tab w:leader="none" w:pos="1920" w:val="left"/>
        </w:tabs>
        <w:numPr>
          <w:ilvl w:val="1"/>
          <w:numId w:val="14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w:t>
      </w:r>
    </w:p>
    <w:p>
      <w:pPr>
        <w:spacing w:after="0" w:line="257" w:lineRule="exact"/>
        <w:rPr>
          <w:rFonts w:ascii="Arial" w:cs="Arial" w:eastAsia="Arial" w:hAnsi="Arial"/>
          <w:sz w:val="18"/>
          <w:szCs w:val="18"/>
          <w:color w:val="auto"/>
        </w:rPr>
      </w:pPr>
    </w:p>
    <w:p>
      <w:pPr>
        <w:ind w:left="980" w:hanging="32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4"/>
          </w:tcPr>
          <w:p>
            <w:pPr>
              <w:ind w:left="120"/>
              <w:spacing w:after="0"/>
              <w:rPr>
                <w:sz w:val="20"/>
                <w:szCs w:val="20"/>
                <w:color w:val="auto"/>
              </w:rPr>
            </w:pPr>
            <w:r>
              <w:rPr>
                <w:rFonts w:ascii="Arial" w:cs="Arial" w:eastAsia="Arial" w:hAnsi="Arial"/>
                <w:sz w:val="18"/>
                <w:szCs w:val="18"/>
                <w:color w:val="auto"/>
                <w:w w:val="95"/>
              </w:rPr>
              <w:t>[CHECK ONE]</w:t>
            </w:r>
          </w:p>
        </w:tc>
        <w:tc>
          <w:tcPr>
            <w:tcW w:w="0" w:type="dxa"/>
            <w:vAlign w:val="bottom"/>
          </w:tcPr>
          <w:p>
            <w:pPr>
              <w:spacing w:after="0"/>
              <w:rPr>
                <w:sz w:val="1"/>
                <w:szCs w:val="1"/>
                <w:color w:val="auto"/>
              </w:rPr>
            </w:pPr>
          </w:p>
        </w:tc>
      </w:tr>
      <w:tr>
        <w:trPr>
          <w:trHeight w:val="452"/>
        </w:trPr>
        <w:tc>
          <w:tcPr>
            <w:tcW w:w="290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40" w:type="dxa"/>
            <w:vAlign w:val="bottom"/>
          </w:tcPr>
          <w:p>
            <w:pPr>
              <w:ind w:left="340"/>
              <w:spacing w:after="0"/>
              <w:rPr>
                <w:sz w:val="20"/>
                <w:szCs w:val="20"/>
                <w:color w:val="auto"/>
              </w:rPr>
            </w:pPr>
            <w:r>
              <w:rPr>
                <w:rFonts w:ascii="Arial" w:cs="Arial" w:eastAsia="Arial" w:hAnsi="Arial"/>
                <w:sz w:val="18"/>
                <w:szCs w:val="18"/>
                <w:color w:val="auto"/>
              </w:rPr>
              <w:t>(i)</w:t>
            </w:r>
          </w:p>
        </w:tc>
        <w:tc>
          <w:tcPr>
            <w:tcW w:w="2260" w:type="dxa"/>
            <w:vAlign w:val="bottom"/>
            <w:gridSpan w:val="2"/>
          </w:tcPr>
          <w:p>
            <w:pPr>
              <w:jc w:val="center"/>
              <w:ind w:right="20"/>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144A Global Note (CUSIP</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8"/>
                <w:szCs w:val="18"/>
                <w:color w:val="auto"/>
              </w:rPr>
              <w:t>), or</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40" w:type="dxa"/>
            <w:vAlign w:val="bottom"/>
          </w:tcPr>
          <w:p>
            <w:pPr>
              <w:ind w:left="340"/>
              <w:spacing w:after="0"/>
              <w:rPr>
                <w:sz w:val="20"/>
                <w:szCs w:val="20"/>
                <w:color w:val="auto"/>
              </w:rPr>
            </w:pPr>
            <w:r>
              <w:rPr>
                <w:rFonts w:ascii="Arial" w:cs="Arial" w:eastAsia="Arial" w:hAnsi="Arial"/>
                <w:sz w:val="18"/>
                <w:szCs w:val="18"/>
                <w:color w:val="auto"/>
              </w:rPr>
              <w:t>(ii)</w:t>
            </w:r>
          </w:p>
        </w:tc>
        <w:tc>
          <w:tcPr>
            <w:tcW w:w="2860" w:type="dxa"/>
            <w:vAlign w:val="bottom"/>
            <w:gridSpan w:val="6"/>
          </w:tcPr>
          <w:p>
            <w:pPr>
              <w:ind w:left="6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Regulation S Global Note (CUSIP</w:t>
            </w:r>
          </w:p>
        </w:tc>
        <w:tc>
          <w:tcPr>
            <w:tcW w:w="4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 or</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180" w:type="dxa"/>
            <w:vAlign w:val="bottom"/>
            <w:vMerge w:val="restart"/>
          </w:tcPr>
          <w:p>
            <w:pPr>
              <w:jc w:val="center"/>
              <w:spacing w:after="0" w:line="207" w:lineRule="exact"/>
              <w:rPr>
                <w:sz w:val="20"/>
                <w:szCs w:val="20"/>
                <w:color w:val="auto"/>
              </w:rPr>
            </w:pP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IAI Global Note (CUSIP</w:t>
            </w:r>
          </w:p>
        </w:tc>
        <w:tc>
          <w:tcPr>
            <w:tcW w:w="8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tcPr>
          <w:p>
            <w:pPr>
              <w:ind w:left="340"/>
              <w:spacing w:after="0"/>
              <w:rPr>
                <w:sz w:val="20"/>
                <w:szCs w:val="20"/>
                <w:color w:val="auto"/>
              </w:rPr>
            </w:pPr>
            <w:r>
              <w:rPr>
                <w:rFonts w:ascii="Arial" w:cs="Arial" w:eastAsia="Arial" w:hAnsi="Arial"/>
                <w:sz w:val="18"/>
                <w:szCs w:val="18"/>
                <w:color w:val="auto"/>
              </w:rPr>
              <w:t>(iii)</w:t>
            </w:r>
          </w:p>
        </w:tc>
        <w:tc>
          <w:tcPr>
            <w:tcW w:w="2180" w:type="dxa"/>
            <w:vAlign w:val="bottom"/>
            <w:vMerge w:val="continue"/>
          </w:tcPr>
          <w:p>
            <w:pPr>
              <w:spacing w:after="0"/>
              <w:rPr>
                <w:sz w:val="24"/>
                <w:szCs w:val="24"/>
                <w:color w:val="auto"/>
              </w:rPr>
            </w:pPr>
          </w:p>
        </w:tc>
        <w:tc>
          <w:tcPr>
            <w:tcW w:w="8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auto"/>
              </w:rPr>
              <w:t>); or</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40" w:type="dxa"/>
            <w:vAlign w:val="bottom"/>
          </w:tcPr>
          <w:p>
            <w:pPr>
              <w:ind w:left="340"/>
              <w:spacing w:after="0"/>
              <w:rPr>
                <w:sz w:val="20"/>
                <w:szCs w:val="20"/>
                <w:color w:val="auto"/>
              </w:rPr>
            </w:pPr>
            <w:r>
              <w:rPr>
                <w:rFonts w:ascii="Arial" w:cs="Arial" w:eastAsia="Arial" w:hAnsi="Arial"/>
                <w:sz w:val="18"/>
                <w:szCs w:val="18"/>
                <w:color w:val="auto"/>
              </w:rPr>
              <w:t>(iv)</w:t>
            </w:r>
          </w:p>
        </w:tc>
        <w:tc>
          <w:tcPr>
            <w:tcW w:w="2820" w:type="dxa"/>
            <w:vAlign w:val="bottom"/>
            <w:gridSpan w:val="5"/>
          </w:tcPr>
          <w:p>
            <w:pPr>
              <w:ind w:left="8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Unrestricted Global Note (CUSIP</w:t>
            </w:r>
          </w:p>
        </w:tc>
        <w:tc>
          <w:tcPr>
            <w:tcW w:w="480" w:type="dxa"/>
            <w:vAlign w:val="bottom"/>
            <w:tcBorders>
              <w:bottom w:val="single" w:sz="8" w:color="auto"/>
            </w:tcBorders>
            <w:gridSpan w:val="2"/>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 or</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900" w:hanging="272"/>
        <w:spacing w:after="0" w:line="207" w:lineRule="exact"/>
        <w:tabs>
          <w:tab w:leader="none" w:pos="1900" w:val="left"/>
        </w:tabs>
        <w:numPr>
          <w:ilvl w:val="0"/>
          <w:numId w:val="1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 or</w:t>
      </w:r>
    </w:p>
    <w:p>
      <w:pPr>
        <w:spacing w:after="0" w:line="225" w:lineRule="exact"/>
        <w:rPr>
          <w:rFonts w:ascii="Arial" w:cs="Arial" w:eastAsia="Arial" w:hAnsi="Arial"/>
          <w:sz w:val="18"/>
          <w:szCs w:val="18"/>
          <w:color w:val="auto"/>
        </w:rPr>
      </w:pPr>
    </w:p>
    <w:p>
      <w:pPr>
        <w:ind w:left="1900" w:hanging="272"/>
        <w:spacing w:after="0" w:line="207" w:lineRule="exact"/>
        <w:tabs>
          <w:tab w:leader="none" w:pos="1900" w:val="left"/>
        </w:tabs>
        <w:numPr>
          <w:ilvl w:val="0"/>
          <w:numId w:val="1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Unrestricted Definitive Note,</w:t>
      </w:r>
    </w:p>
    <w:p>
      <w:pPr>
        <w:spacing w:after="0" w:line="2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accordance with the terms of the Indenture.</w:t>
      </w:r>
    </w:p>
    <w:p>
      <w:pPr>
        <w:spacing w:after="0" w:line="200" w:lineRule="exact"/>
        <w:rPr>
          <w:sz w:val="20"/>
          <w:szCs w:val="20"/>
          <w:color w:val="auto"/>
        </w:rPr>
      </w:pPr>
    </w:p>
    <w:p>
      <w:pPr>
        <w:spacing w:after="0" w:line="24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124"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3.750% Senior Notes due 2031</w:t>
      </w:r>
    </w:p>
    <w:p>
      <w:pPr>
        <w:spacing w:after="0" w:line="225" w:lineRule="exact"/>
        <w:rPr>
          <w:sz w:val="20"/>
          <w:szCs w:val="20"/>
          <w:color w:val="auto"/>
        </w:rPr>
      </w:pPr>
    </w:p>
    <w:p>
      <w:pPr>
        <w:ind w:left="5040"/>
        <w:spacing w:after="0"/>
        <w:tabs>
          <w:tab w:leader="none" w:pos="6080" w:val="left"/>
        </w:tabs>
        <w:rPr>
          <w:sz w:val="20"/>
          <w:szCs w:val="20"/>
          <w:color w:val="auto"/>
        </w:rPr>
      </w:pPr>
      <w:r>
        <w:rPr>
          <w:rFonts w:ascii="Arial" w:cs="Arial" w:eastAsia="Arial" w:hAnsi="Arial"/>
          <w:sz w:val="18"/>
          <w:szCs w:val="18"/>
          <w:color w:val="auto"/>
        </w:rPr>
        <w:t>(CUSIP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hereby made to the Indenture, dated as of March 9, 2021 (the “</w:t>
      </w:r>
      <w:r>
        <w:rPr>
          <w:rFonts w:ascii="Arial" w:cs="Arial" w:eastAsia="Arial" w:hAnsi="Arial"/>
          <w:sz w:val="18"/>
          <w:szCs w:val="18"/>
          <w:i w:val="1"/>
          <w:iCs w:val="1"/>
          <w:color w:val="auto"/>
        </w:rPr>
        <w:t>Indenture</w:t>
      </w:r>
      <w:r>
        <w:rPr>
          <w:rFonts w:ascii="Arial" w:cs="Arial" w:eastAsia="Arial" w:hAnsi="Arial"/>
          <w:sz w:val="18"/>
          <w:szCs w:val="18"/>
          <w:color w:val="auto"/>
        </w:rPr>
        <w:t>”), among Clearway Energy Operating LLC,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Delaware Trust Company, as trustee. Capitalized terms used but not defined herein shall have the meanings given to them in the Indenture.</w:t>
      </w:r>
    </w:p>
    <w:p>
      <w:pPr>
        <w:spacing w:after="0" w:line="184" w:lineRule="exact"/>
        <w:rPr>
          <w:sz w:val="20"/>
          <w:szCs w:val="20"/>
          <w:color w:val="auto"/>
        </w:rPr>
      </w:pPr>
    </w:p>
    <w:p>
      <w:pPr>
        <w:ind w:left="2140" w:hanging="90"/>
        <w:spacing w:after="0"/>
        <w:tabs>
          <w:tab w:leader="none" w:pos="214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i w:val="1"/>
          <w:iCs w:val="1"/>
          <w:color w:val="auto"/>
        </w:rPr>
        <w:t>Owner</w:t>
      </w:r>
      <w:r>
        <w:rPr>
          <w:rFonts w:ascii="Arial" w:cs="Arial" w:eastAsia="Arial" w:hAnsi="Arial"/>
          <w:sz w:val="16"/>
          <w:szCs w:val="16"/>
          <w:color w:val="auto"/>
        </w:rPr>
        <w:t>”) owns and proposes to exchange the Note[s] or interest in such Note[s] specified herein, in the principal amount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w:t>
      </w:r>
      <w:r>
        <w:rPr>
          <w:rFonts w:ascii="Arial" w:cs="Arial" w:eastAsia="Arial" w:hAnsi="Arial"/>
          <w:sz w:val="16"/>
          <w:szCs w:val="16"/>
          <w:color w:val="auto"/>
        </w:rPr>
        <w:t>in such Note[s] or interests (the “</w:t>
      </w:r>
      <w:r>
        <w:rPr>
          <w:rFonts w:ascii="Arial" w:cs="Arial" w:eastAsia="Arial" w:hAnsi="Arial"/>
          <w:sz w:val="16"/>
          <w:szCs w:val="16"/>
          <w:i w:val="1"/>
          <w:iCs w:val="1"/>
          <w:color w:val="auto"/>
        </w:rPr>
        <w:t>Exchange</w:t>
      </w:r>
      <w:r>
        <w:rPr>
          <w:rFonts w:ascii="Arial" w:cs="Arial" w:eastAsia="Arial" w:hAnsi="Arial"/>
          <w:sz w:val="16"/>
          <w:szCs w:val="16"/>
          <w:color w:val="auto"/>
        </w:rPr>
        <w:t>”). In connection with the Exchange, the Owner hereby certifies that:</w:t>
      </w:r>
    </w:p>
    <w:p>
      <w:pPr>
        <w:spacing w:after="0" w:line="206" w:lineRule="exact"/>
        <w:rPr>
          <w:rFonts w:ascii="Arial" w:cs="Arial" w:eastAsia="Arial" w:hAnsi="Arial"/>
          <w:sz w:val="16"/>
          <w:szCs w:val="16"/>
          <w:color w:val="auto"/>
        </w:rPr>
      </w:pPr>
    </w:p>
    <w:p>
      <w:pPr>
        <w:ind w:right="20" w:firstLine="656"/>
        <w:spacing w:after="0" w:line="282" w:lineRule="auto"/>
        <w:tabs>
          <w:tab w:leader="none" w:pos="1053" w:val="left"/>
        </w:tabs>
        <w:numPr>
          <w:ilvl w:val="0"/>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-596900</wp:posOffset>
            </wp:positionV>
            <wp:extent cx="8851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5190"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-459740</wp:posOffset>
            </wp:positionV>
            <wp:extent cx="314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pacing w:after="0" w:line="113" w:lineRule="exact"/>
        <w:rPr>
          <w:sz w:val="20"/>
          <w:szCs w:val="20"/>
          <w:color w:val="auto"/>
        </w:rPr>
      </w:pPr>
    </w:p>
    <w:p>
      <w:pPr>
        <w:jc w:val="both"/>
        <w:ind w:firstLine="656"/>
        <w:spacing w:after="0" w:line="223" w:lineRule="exact"/>
        <w:tabs>
          <w:tab w:leader="none" w:pos="915" w:val="left"/>
        </w:tabs>
        <w:numPr>
          <w:ilvl w:val="0"/>
          <w:numId w:val="145"/>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beneficial interest in an Unrestricted Global Note</w:t>
      </w:r>
      <w:r>
        <w:rPr>
          <w:rFonts w:ascii="Arial" w:cs="Arial" w:eastAsia="Arial" w:hAnsi="Arial"/>
          <w:sz w:val="17"/>
          <w:szCs w:val="17"/>
          <w:color w:val="auto"/>
        </w:rPr>
        <w:t>.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71" w:lineRule="exact"/>
        <w:rPr>
          <w:rFonts w:ascii="Arial" w:cs="Arial" w:eastAsia="Arial" w:hAnsi="Arial"/>
          <w:sz w:val="17"/>
          <w:szCs w:val="17"/>
          <w:color w:val="auto"/>
        </w:rPr>
      </w:pPr>
    </w:p>
    <w:p>
      <w:pPr>
        <w:jc w:val="both"/>
        <w:ind w:firstLine="656"/>
        <w:spacing w:after="0" w:line="224" w:lineRule="exact"/>
        <w:tabs>
          <w:tab w:leader="none" w:pos="903" w:val="left"/>
        </w:tabs>
        <w:numPr>
          <w:ilvl w:val="0"/>
          <w:numId w:val="145"/>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Unrestricted Definitive Note</w:t>
      </w:r>
      <w:r>
        <w:rPr>
          <w:rFonts w:ascii="Arial" w:cs="Arial" w:eastAsia="Arial" w:hAnsi="Arial"/>
          <w:sz w:val="17"/>
          <w:szCs w:val="17"/>
          <w:color w:val="auto"/>
        </w:rPr>
        <w: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jc w:val="both"/>
        <w:ind w:firstLine="656"/>
        <w:spacing w:after="0" w:line="224" w:lineRule="exact"/>
        <w:tabs>
          <w:tab w:leader="none" w:pos="965" w:val="left"/>
        </w:tabs>
        <w:numPr>
          <w:ilvl w:val="0"/>
          <w:numId w:val="146"/>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Restricted Definitive Note to beneficial interest in an Unrestricted Global Note</w:t>
      </w:r>
      <w:r>
        <w:rPr>
          <w:rFonts w:ascii="Arial" w:cs="Arial" w:eastAsia="Arial" w:hAnsi="Arial"/>
          <w:sz w:val="17"/>
          <w:szCs w:val="17"/>
          <w:color w:val="auto"/>
        </w:rPr>
        <w: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73" w:lineRule="exact"/>
        <w:rPr>
          <w:rFonts w:ascii="Arial" w:cs="Arial" w:eastAsia="Arial" w:hAnsi="Arial"/>
          <w:sz w:val="17"/>
          <w:szCs w:val="17"/>
          <w:color w:val="auto"/>
        </w:rPr>
      </w:pPr>
    </w:p>
    <w:p>
      <w:pPr>
        <w:jc w:val="both"/>
        <w:ind w:firstLine="656"/>
        <w:spacing w:after="0" w:line="224" w:lineRule="exact"/>
        <w:tabs>
          <w:tab w:leader="none" w:pos="961" w:val="left"/>
        </w:tabs>
        <w:numPr>
          <w:ilvl w:val="0"/>
          <w:numId w:val="1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Restricted Definitive Note to Unrestricted Definitive Note</w:t>
      </w:r>
      <w:r>
        <w:rPr>
          <w:rFonts w:ascii="Arial" w:cs="Arial" w:eastAsia="Arial" w:hAnsi="Arial"/>
          <w:sz w:val="18"/>
          <w:szCs w:val="18"/>
          <w:color w:val="auto"/>
        </w:rPr>
        <w:t>. In connection with the Owner’s Exchange of a</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200" w:lineRule="exact"/>
        <w:rPr>
          <w:sz w:val="20"/>
          <w:szCs w:val="20"/>
          <w:color w:val="auto"/>
        </w:rPr>
      </w:pPr>
    </w:p>
    <w:p>
      <w:pPr>
        <w:ind w:firstLine="656"/>
        <w:spacing w:after="0" w:line="282" w:lineRule="auto"/>
        <w:tabs>
          <w:tab w:leader="none" w:pos="1053" w:val="left"/>
        </w:tabs>
        <w:numPr>
          <w:ilvl w:val="0"/>
          <w:numId w:val="147"/>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33" w:lineRule="exact"/>
        <w:rPr>
          <w:sz w:val="20"/>
          <w:szCs w:val="20"/>
          <w:color w:val="auto"/>
        </w:rPr>
      </w:pPr>
    </w:p>
    <w:p>
      <w:pPr>
        <w:jc w:val="both"/>
        <w:ind w:firstLine="656"/>
        <w:spacing w:after="0" w:line="225" w:lineRule="exact"/>
        <w:tabs>
          <w:tab w:leader="none" w:pos="978" w:val="left"/>
        </w:tabs>
        <w:numPr>
          <w:ilvl w:val="0"/>
          <w:numId w:val="14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Restricted Definitive Note. </w:t>
      </w:r>
      <w:r>
        <w:rPr>
          <w:rFonts w:ascii="Arial" w:cs="Arial" w:eastAsia="Arial" w:hAnsi="Arial"/>
          <w:sz w:val="17"/>
          <w:szCs w:val="17"/>
          <w:color w:val="auto"/>
        </w:rPr>
        <w:t>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72" w:lineRule="exact"/>
        <w:rPr>
          <w:rFonts w:ascii="Arial" w:cs="Arial" w:eastAsia="Arial" w:hAnsi="Arial"/>
          <w:sz w:val="17"/>
          <w:szCs w:val="17"/>
          <w:color w:val="auto"/>
        </w:rPr>
      </w:pPr>
    </w:p>
    <w:p>
      <w:pPr>
        <w:jc w:val="both"/>
        <w:ind w:firstLine="656"/>
        <w:spacing w:after="0" w:line="222" w:lineRule="exact"/>
        <w:tabs>
          <w:tab w:leader="none" w:pos="988" w:val="left"/>
        </w:tabs>
        <w:numPr>
          <w:ilvl w:val="0"/>
          <w:numId w:val="14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Restricted Definitive Note to beneficial interest in a Restricted Global Note</w:t>
      </w:r>
      <w:r>
        <w:rPr>
          <w:rFonts w:ascii="Arial" w:cs="Arial" w:eastAsia="Arial" w:hAnsi="Arial"/>
          <w:sz w:val="18"/>
          <w:szCs w:val="18"/>
          <w:color w:val="auto"/>
        </w:rPr>
        <w:t>.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Exchange of the Owner’s Restricted Definitive Note for a beneficial interest in the [CHECK ONE] </w:t>
      </w: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w:t>
      </w: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w:t>
      </w:r>
      <w:r>
        <w:rPr>
          <w:rFonts w:ascii="MS PGothic" w:cs="MS PGothic" w:eastAsia="MS PGothic" w:hAnsi="MS PGothic"/>
          <w:sz w:val="18"/>
          <w:szCs w:val="18"/>
          <w:color w:val="auto"/>
        </w:rPr>
        <w:t>☐</w:t>
      </w:r>
      <w:r>
        <w:rPr>
          <w:rFonts w:ascii="Arial" w:cs="Arial" w:eastAsia="Arial" w:hAnsi="Arial"/>
          <w:sz w:val="18"/>
          <w:szCs w:val="18"/>
          <w:color w:val="auto"/>
        </w:rPr>
        <w:t xml:space="preserve">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00" w:lineRule="exact"/>
        <w:rPr>
          <w:sz w:val="20"/>
          <w:szCs w:val="20"/>
          <w:color w:val="auto"/>
        </w:rPr>
      </w:pPr>
    </w:p>
    <w:p>
      <w:pPr>
        <w:spacing w:after="0" w:line="25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143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97" w:name="page98"/>
    <w:bookmarkEnd w:id="97"/>
    <w:p>
      <w:pPr>
        <w:ind w:left="10340"/>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ACQUIRING INSTITUTIONAL ACCREDITED INVESTOR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3.750</w:t>
      </w:r>
      <w:r>
        <w:rPr>
          <w:rFonts w:ascii="Arial" w:cs="Arial" w:eastAsia="Arial" w:hAnsi="Arial"/>
          <w:sz w:val="18"/>
          <w:szCs w:val="18"/>
          <w:u w:val="single" w:color="auto"/>
          <w:color w:val="auto"/>
        </w:rPr>
        <w:t>% Senior Notes due 2031</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hereby made to the Indenture, dated as of March 9, 2021 (the “</w:t>
      </w:r>
      <w:r>
        <w:rPr>
          <w:rFonts w:ascii="Arial" w:cs="Arial" w:eastAsia="Arial" w:hAnsi="Arial"/>
          <w:sz w:val="18"/>
          <w:szCs w:val="18"/>
          <w:i w:val="1"/>
          <w:iCs w:val="1"/>
          <w:color w:val="auto"/>
        </w:rPr>
        <w:t>Indenture</w:t>
      </w:r>
      <w:r>
        <w:rPr>
          <w:rFonts w:ascii="Arial" w:cs="Arial" w:eastAsia="Arial" w:hAnsi="Arial"/>
          <w:sz w:val="18"/>
          <w:szCs w:val="18"/>
          <w:color w:val="auto"/>
        </w:rPr>
        <w:t>”), among Clearway Energy Operating LLC,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Delaware Trust Company, as trustee. Capitalized terms used but not defined herein shall have the meanings given to them in the Indenture.</w:t>
      </w:r>
    </w:p>
    <w:p>
      <w:pPr>
        <w:spacing w:after="0" w:line="184" w:lineRule="exact"/>
        <w:rPr>
          <w:sz w:val="20"/>
          <w:szCs w:val="20"/>
          <w:color w:val="auto"/>
        </w:rPr>
      </w:pPr>
    </w:p>
    <w:p>
      <w:pPr>
        <w:ind w:left="660"/>
        <w:spacing w:after="0"/>
        <w:tabs>
          <w:tab w:leader="none" w:pos="4480" w:val="left"/>
        </w:tabs>
        <w:rPr>
          <w:sz w:val="20"/>
          <w:szCs w:val="20"/>
          <w:color w:val="auto"/>
        </w:rPr>
      </w:pPr>
      <w:r>
        <w:rPr>
          <w:rFonts w:ascii="Arial" w:cs="Arial" w:eastAsia="Arial" w:hAnsi="Arial"/>
          <w:sz w:val="18"/>
          <w:szCs w:val="18"/>
          <w:color w:val="auto"/>
        </w:rPr>
        <w:t>In connection with our proposed purchase of $</w:t>
      </w:r>
      <w:r>
        <w:rPr>
          <w:sz w:val="20"/>
          <w:szCs w:val="20"/>
          <w:color w:val="auto"/>
        </w:rPr>
        <w:tab/>
      </w:r>
      <w:r>
        <w:rPr>
          <w:rFonts w:ascii="Arial" w:cs="Arial" w:eastAsia="Arial" w:hAnsi="Arial"/>
          <w:sz w:val="16"/>
          <w:szCs w:val="16"/>
          <w:color w:val="auto"/>
        </w:rPr>
        <w:t>aggregate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2545715</wp:posOffset>
            </wp:positionH>
            <wp:positionV relativeFrom="paragraph">
              <wp:posOffset>-10160</wp:posOffset>
            </wp:positionV>
            <wp:extent cx="314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172" w:lineRule="exact"/>
        <w:rPr>
          <w:sz w:val="20"/>
          <w:szCs w:val="20"/>
          <w:color w:val="auto"/>
        </w:rPr>
      </w:pPr>
    </w:p>
    <w:p>
      <w:pPr>
        <w:ind w:left="940" w:hanging="284"/>
        <w:spacing w:after="0" w:line="207" w:lineRule="exact"/>
        <w:tabs>
          <w:tab w:leader="none" w:pos="940" w:val="left"/>
        </w:tabs>
        <w:numPr>
          <w:ilvl w:val="0"/>
          <w:numId w:val="14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a Global Note, or</w:t>
      </w:r>
    </w:p>
    <w:p>
      <w:pPr>
        <w:spacing w:after="0" w:line="225" w:lineRule="exact"/>
        <w:rPr>
          <w:rFonts w:ascii="Arial" w:cs="Arial" w:eastAsia="Arial" w:hAnsi="Arial"/>
          <w:sz w:val="18"/>
          <w:szCs w:val="18"/>
          <w:color w:val="auto"/>
        </w:rPr>
      </w:pPr>
    </w:p>
    <w:p>
      <w:pPr>
        <w:ind w:left="960" w:hanging="304"/>
        <w:spacing w:after="0" w:line="207" w:lineRule="exact"/>
        <w:tabs>
          <w:tab w:leader="none" w:pos="960" w:val="left"/>
        </w:tabs>
        <w:numPr>
          <w:ilvl w:val="0"/>
          <w:numId w:val="14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Definitive Note,</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confirm that:</w:t>
      </w:r>
    </w:p>
    <w:p>
      <w:pPr>
        <w:spacing w:after="0" w:line="225" w:lineRule="exact"/>
        <w:rPr>
          <w:sz w:val="20"/>
          <w:szCs w:val="20"/>
          <w:color w:val="auto"/>
        </w:rPr>
      </w:pPr>
    </w:p>
    <w:p>
      <w:pPr>
        <w:jc w:val="both"/>
        <w:ind w:firstLine="656"/>
        <w:spacing w:after="0" w:line="263" w:lineRule="auto"/>
        <w:tabs>
          <w:tab w:leader="none" w:pos="105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656"/>
        <w:spacing w:after="0" w:line="287" w:lineRule="auto"/>
        <w:tabs>
          <w:tab w:leader="none" w:pos="105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w:t>
      </w:r>
    </w:p>
    <w:p>
      <w:pPr>
        <w:spacing w:after="0" w:line="2" w:lineRule="exact"/>
        <w:rPr>
          <w:rFonts w:ascii="Arial" w:cs="Arial" w:eastAsia="Arial" w:hAnsi="Arial"/>
          <w:sz w:val="16"/>
          <w:szCs w:val="16"/>
          <w:color w:val="auto"/>
        </w:rPr>
      </w:pPr>
    </w:p>
    <w:p>
      <w:pPr>
        <w:jc w:val="both"/>
        <w:ind w:firstLine="8"/>
        <w:spacing w:after="0" w:line="281" w:lineRule="auto"/>
        <w:tabs>
          <w:tab w:leader="none" w:pos="30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if such transfer is in respect of a principal amount of Notes, at the time of transfer of less than $250,000, an Opinion of Counsel in form reasonably acceptable to the Company to the effect that such transfer is in compliance with the Securities Act,</w:t>
      </w:r>
    </w:p>
    <w:p>
      <w:pPr>
        <w:spacing w:after="0" w:line="2" w:lineRule="exact"/>
        <w:rPr>
          <w:rFonts w:ascii="Arial" w:cs="Arial" w:eastAsia="Arial" w:hAnsi="Arial"/>
          <w:sz w:val="16"/>
          <w:szCs w:val="16"/>
          <w:color w:val="auto"/>
        </w:rPr>
      </w:pPr>
    </w:p>
    <w:p>
      <w:pPr>
        <w:jc w:val="both"/>
        <w:ind w:firstLine="8"/>
        <w:spacing w:after="0" w:line="253" w:lineRule="auto"/>
        <w:tabs>
          <w:tab w:leader="none" w:pos="30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outside the United States in accordance with Rule 904 of Regulation S under the Securities Act, (E) pursuant to the provisions of Rule 144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jc w:val="both"/>
        <w:ind w:right="20" w:firstLine="656"/>
        <w:spacing w:after="0" w:line="286" w:lineRule="auto"/>
        <w:tabs>
          <w:tab w:leader="none" w:pos="105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165" w:lineRule="exact"/>
        <w:rPr>
          <w:rFonts w:ascii="Arial" w:cs="Arial" w:eastAsia="Arial" w:hAnsi="Arial"/>
          <w:sz w:val="17"/>
          <w:szCs w:val="17"/>
          <w:color w:val="auto"/>
        </w:rPr>
      </w:pPr>
    </w:p>
    <w:p>
      <w:pPr>
        <w:jc w:val="both"/>
        <w:ind w:firstLine="656"/>
        <w:spacing w:after="0" w:line="263" w:lineRule="auto"/>
        <w:tabs>
          <w:tab w:leader="none" w:pos="105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83" w:lineRule="exact"/>
        <w:rPr>
          <w:rFonts w:ascii="Arial" w:cs="Arial" w:eastAsia="Arial" w:hAnsi="Arial"/>
          <w:sz w:val="18"/>
          <w:szCs w:val="18"/>
          <w:color w:val="auto"/>
        </w:rPr>
      </w:pPr>
    </w:p>
    <w:p>
      <w:pPr>
        <w:ind w:firstLine="656"/>
        <w:spacing w:after="0" w:line="277" w:lineRule="auto"/>
        <w:tabs>
          <w:tab w:leader="none" w:pos="107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40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[Insert Name of Accredited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143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SUBSEQUENT GUARANTORS</w:t>
      </w:r>
    </w:p>
    <w:p>
      <w:pPr>
        <w:spacing w:after="0" w:line="211" w:lineRule="exact"/>
        <w:rPr>
          <w:sz w:val="20"/>
          <w:szCs w:val="20"/>
          <w:color w:val="auto"/>
        </w:rPr>
      </w:pPr>
    </w:p>
    <w:p>
      <w:pPr>
        <w:ind w:left="660"/>
        <w:spacing w:after="0"/>
        <w:tabs>
          <w:tab w:leader="none" w:pos="6320" w:val="left"/>
          <w:tab w:leader="none" w:pos="7660" w:val="left"/>
        </w:tabs>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UPPLEMENTAL</w:t>
      </w:r>
      <w:r>
        <w:rPr>
          <w:rFonts w:ascii="Arial" w:cs="Arial" w:eastAsia="Arial" w:hAnsi="Arial"/>
          <w:sz w:val="18"/>
          <w:szCs w:val="18"/>
          <w:color w:val="auto"/>
        </w:rPr>
        <w:t xml:space="preserve"> I</w:t>
      </w:r>
      <w:r>
        <w:rPr>
          <w:rFonts w:ascii="Arial" w:cs="Arial" w:eastAsia="Arial" w:hAnsi="Arial"/>
          <w:sz w:val="12"/>
          <w:szCs w:val="12"/>
          <w:color w:val="auto"/>
        </w:rPr>
        <w:t>NDENTURE</w:t>
      </w:r>
      <w:r>
        <w:rPr>
          <w:rFonts w:ascii="Arial" w:cs="Arial" w:eastAsia="Arial" w:hAnsi="Arial"/>
          <w:sz w:val="18"/>
          <w:szCs w:val="18"/>
          <w:color w:val="auto"/>
        </w:rPr>
        <w:t xml:space="preserv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w:t>
      </w:r>
      <w:r>
        <w:rPr>
          <w:sz w:val="20"/>
          <w:szCs w:val="20"/>
          <w:color w:val="auto"/>
        </w:rPr>
        <w:tab/>
      </w:r>
      <w:r>
        <w:rPr>
          <w:rFonts w:ascii="Arial" w:cs="Arial" w:eastAsia="Arial" w:hAnsi="Arial"/>
          <w:sz w:val="18"/>
          <w:szCs w:val="18"/>
          <w:color w:val="auto"/>
        </w:rPr>
        <w:t>, among</w:t>
      </w:r>
      <w:r>
        <w:rPr>
          <w:sz w:val="20"/>
          <w:szCs w:val="20"/>
          <w:color w:val="auto"/>
        </w:rPr>
        <w:tab/>
      </w:r>
      <w:r>
        <w:rPr>
          <w:rFonts w:ascii="Arial" w:cs="Arial" w:eastAsia="Arial" w:hAnsi="Arial"/>
          <w:sz w:val="16"/>
          <w:szCs w:val="16"/>
          <w:color w:val="auto"/>
        </w:rPr>
        <w:t>(the “</w:t>
      </w:r>
      <w:r>
        <w:rPr>
          <w:rFonts w:ascii="Arial" w:cs="Arial" w:eastAsia="Arial" w:hAnsi="Arial"/>
          <w:sz w:val="16"/>
          <w:szCs w:val="16"/>
          <w:i w:val="1"/>
          <w:iCs w:val="1"/>
          <w:color w:val="auto"/>
        </w:rPr>
        <w:t>Guaranteeing Subsidiary</w:t>
      </w:r>
      <w:r>
        <w:rPr>
          <w:rFonts w:ascii="Arial" w:cs="Arial" w:eastAsia="Arial" w:hAnsi="Arial"/>
          <w:sz w:val="16"/>
          <w:szCs w:val="16"/>
          <w:color w:val="auto"/>
        </w:rPr>
        <w:t>”), a subsidiary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-10160</wp:posOffset>
            </wp:positionV>
            <wp:extent cx="4286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-10160</wp:posOffset>
            </wp:positionV>
            <wp:extent cx="4286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Clearway Energy Operating LLC (or its permitted successor), a Delaware limited liability company (the “</w:t>
      </w:r>
      <w:r>
        <w:rPr>
          <w:rFonts w:ascii="Arial" w:cs="Arial" w:eastAsia="Arial" w:hAnsi="Arial"/>
          <w:sz w:val="16"/>
          <w:szCs w:val="16"/>
          <w:i w:val="1"/>
          <w:iCs w:val="1"/>
          <w:color w:val="auto"/>
        </w:rPr>
        <w:t>Company</w:t>
      </w:r>
      <w:r>
        <w:rPr>
          <w:rFonts w:ascii="Arial" w:cs="Arial" w:eastAsia="Arial" w:hAnsi="Arial"/>
          <w:sz w:val="16"/>
          <w:szCs w:val="16"/>
          <w:color w:val="auto"/>
        </w:rPr>
        <w:t>”), the Company, the other Guarantors (as defined in the Indenture referred to herein) and Delaware Trust Company, as trustee under the Indenture referred to below (the “</w:t>
      </w:r>
      <w:r>
        <w:rPr>
          <w:rFonts w:ascii="Arial" w:cs="Arial" w:eastAsia="Arial" w:hAnsi="Arial"/>
          <w:sz w:val="16"/>
          <w:szCs w:val="16"/>
          <w:i w:val="1"/>
          <w:iCs w:val="1"/>
          <w:color w:val="auto"/>
        </w:rPr>
        <w:t>Trustee</w:t>
      </w:r>
      <w:r>
        <w:rPr>
          <w:rFonts w:ascii="Arial" w:cs="Arial" w:eastAsia="Arial" w:hAnsi="Arial"/>
          <w:sz w:val="16"/>
          <w:szCs w:val="16"/>
          <w:color w:val="auto"/>
        </w:rPr>
        <w: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March 9, 2021 providing for the issuance of 3.750% Senior Notes due 2031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000" w:hanging="344"/>
        <w:spacing w:after="0"/>
        <w:tabs>
          <w:tab w:leader="none" w:pos="10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2"/>
          <w:szCs w:val="12"/>
          <w:color w:val="auto"/>
        </w:rPr>
        <w:t>APITALIZED</w:t>
      </w:r>
      <w:r>
        <w:rPr>
          <w:rFonts w:ascii="Arial" w:cs="Arial" w:eastAsia="Arial" w:hAnsi="Arial"/>
          <w:sz w:val="18"/>
          <w:szCs w:val="18"/>
          <w:color w:val="auto"/>
        </w:rPr>
        <w:t xml:space="preserve"> T</w:t>
      </w:r>
      <w:r>
        <w:rPr>
          <w:rFonts w:ascii="Arial" w:cs="Arial" w:eastAsia="Arial" w:hAnsi="Arial"/>
          <w:sz w:val="12"/>
          <w:szCs w:val="12"/>
          <w:color w:val="auto"/>
        </w:rPr>
        <w:t>ERMS</w:t>
      </w:r>
      <w:r>
        <w:rPr>
          <w:rFonts w:ascii="Arial" w:cs="Arial" w:eastAsia="Arial" w:hAnsi="Arial"/>
          <w:sz w:val="18"/>
          <w:szCs w:val="18"/>
          <w:color w:val="auto"/>
        </w:rPr>
        <w:t>. Capitalized terms used herein without definition shall have the meanings assigned to them in the Indenture.</w:t>
      </w:r>
    </w:p>
    <w:p>
      <w:pPr>
        <w:spacing w:after="0" w:line="225" w:lineRule="exact"/>
        <w:rPr>
          <w:rFonts w:ascii="Arial" w:cs="Arial" w:eastAsia="Arial" w:hAnsi="Arial"/>
          <w:sz w:val="18"/>
          <w:szCs w:val="18"/>
          <w:color w:val="auto"/>
        </w:rPr>
      </w:pPr>
    </w:p>
    <w:p>
      <w:pPr>
        <w:jc w:val="both"/>
        <w:ind w:firstLine="656"/>
        <w:spacing w:after="0" w:line="259" w:lineRule="auto"/>
        <w:tabs>
          <w:tab w:leader="none" w:pos="98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GREEMENT TO</w:t>
      </w:r>
      <w:r>
        <w:rPr>
          <w:rFonts w:ascii="Arial" w:cs="Arial" w:eastAsia="Arial" w:hAnsi="Arial"/>
          <w:sz w:val="18"/>
          <w:szCs w:val="18"/>
          <w:color w:val="auto"/>
        </w:rPr>
        <w:t xml:space="preserve"> G</w:t>
      </w:r>
      <w:r>
        <w:rPr>
          <w:rFonts w:ascii="Arial" w:cs="Arial" w:eastAsia="Arial" w:hAnsi="Arial"/>
          <w:sz w:val="12"/>
          <w:szCs w:val="12"/>
          <w:color w:val="auto"/>
        </w:rPr>
        <w:t>UARANTEE</w:t>
      </w:r>
      <w:r>
        <w:rPr>
          <w:rFonts w:ascii="Arial" w:cs="Arial" w:eastAsia="Arial" w:hAnsi="Arial"/>
          <w:sz w:val="18"/>
          <w:szCs w:val="18"/>
          <w:color w:val="auto"/>
        </w:rPr>
        <w:t>.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7" w:lineRule="exact"/>
        <w:rPr>
          <w:sz w:val="20"/>
          <w:szCs w:val="20"/>
          <w:color w:val="auto"/>
        </w:rPr>
      </w:pPr>
    </w:p>
    <w:p>
      <w:pPr>
        <w:jc w:val="both"/>
        <w:ind w:firstLine="656"/>
        <w:spacing w:after="0" w:line="257" w:lineRule="auto"/>
        <w:tabs>
          <w:tab w:leader="none" w:pos="98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R</w:t>
      </w:r>
      <w:r>
        <w:rPr>
          <w:rFonts w:ascii="Arial" w:cs="Arial" w:eastAsia="Arial" w:hAnsi="Arial"/>
          <w:sz w:val="12"/>
          <w:szCs w:val="12"/>
          <w:color w:val="auto"/>
        </w:rPr>
        <w:t>ECOURSE</w:t>
      </w:r>
      <w:r>
        <w:rPr>
          <w:rFonts w:ascii="Arial" w:cs="Arial" w:eastAsia="Arial" w:hAnsi="Arial"/>
          <w:sz w:val="18"/>
          <w:szCs w:val="18"/>
          <w:color w:val="auto"/>
        </w:rPr>
        <w:t xml:space="preserve"> A</w:t>
      </w:r>
      <w:r>
        <w:rPr>
          <w:rFonts w:ascii="Arial" w:cs="Arial" w:eastAsia="Arial" w:hAnsi="Arial"/>
          <w:sz w:val="12"/>
          <w:szCs w:val="12"/>
          <w:color w:val="auto"/>
        </w:rPr>
        <w:t>GAINST</w:t>
      </w:r>
      <w:r>
        <w:rPr>
          <w:rFonts w:ascii="Arial" w:cs="Arial" w:eastAsia="Arial" w:hAnsi="Arial"/>
          <w:sz w:val="18"/>
          <w:szCs w:val="18"/>
          <w:color w:val="auto"/>
        </w:rPr>
        <w:t xml:space="preserve"> O</w:t>
      </w:r>
      <w:r>
        <w:rPr>
          <w:rFonts w:ascii="Arial" w:cs="Arial" w:eastAsia="Arial" w:hAnsi="Arial"/>
          <w:sz w:val="12"/>
          <w:szCs w:val="12"/>
          <w:color w:val="auto"/>
        </w:rPr>
        <w:t>THERS</w:t>
      </w:r>
      <w:r>
        <w:rPr>
          <w:rFonts w:ascii="Arial" w:cs="Arial" w:eastAsia="Arial" w:hAnsi="Arial"/>
          <w:sz w:val="18"/>
          <w:szCs w:val="18"/>
          <w:color w:val="auto"/>
        </w:rPr>
        <w:t>.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7" w:lineRule="exact"/>
        <w:rPr>
          <w:rFonts w:ascii="Arial" w:cs="Arial" w:eastAsia="Arial" w:hAnsi="Arial"/>
          <w:sz w:val="18"/>
          <w:szCs w:val="18"/>
          <w:color w:val="auto"/>
        </w:rPr>
      </w:pPr>
    </w:p>
    <w:p>
      <w:pPr>
        <w:jc w:val="both"/>
        <w:ind w:firstLine="656"/>
        <w:spacing w:after="0" w:line="263" w:lineRule="auto"/>
        <w:tabs>
          <w:tab w:leader="none" w:pos="98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ind w:firstLine="656"/>
        <w:spacing w:after="0" w:line="277" w:lineRule="auto"/>
        <w:tabs>
          <w:tab w:leader="none" w:pos="98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2"/>
          <w:szCs w:val="12"/>
          <w:color w:val="auto"/>
        </w:rPr>
        <w:t>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2"/>
          <w:szCs w:val="12"/>
          <w:color w:val="auto"/>
        </w:rPr>
        <w:t>FFECT OF</w:t>
      </w:r>
      <w:r>
        <w:rPr>
          <w:rFonts w:ascii="Arial" w:cs="Arial" w:eastAsia="Arial" w:hAnsi="Arial"/>
          <w:sz w:val="18"/>
          <w:szCs w:val="18"/>
          <w:color w:val="auto"/>
        </w:rPr>
        <w:t xml:space="preserve"> H</w:t>
      </w:r>
      <w:r>
        <w:rPr>
          <w:rFonts w:ascii="Arial" w:cs="Arial" w:eastAsia="Arial" w:hAnsi="Arial"/>
          <w:sz w:val="12"/>
          <w:szCs w:val="12"/>
          <w:color w:val="auto"/>
        </w:rPr>
        <w:t>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8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T</w:t>
      </w:r>
      <w:r>
        <w:rPr>
          <w:rFonts w:ascii="Arial" w:cs="Arial" w:eastAsia="Arial" w:hAnsi="Arial"/>
          <w:sz w:val="12"/>
          <w:szCs w:val="12"/>
          <w:color w:val="auto"/>
        </w:rPr>
        <w:t>RUSTEE</w:t>
      </w:r>
      <w:r>
        <w:rPr>
          <w:rFonts w:ascii="Arial" w:cs="Arial" w:eastAsia="Arial" w:hAnsi="Arial"/>
          <w:sz w:val="18"/>
          <w:szCs w:val="18"/>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8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640"/>
        <w:spacing w:after="0"/>
        <w:tabs>
          <w:tab w:leader="none" w:pos="35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14605</wp:posOffset>
            </wp:positionV>
            <wp:extent cx="1534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0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UARANTEEING</w:t>
      </w:r>
      <w:r>
        <w:rPr>
          <w:rFonts w:ascii="Arial" w:cs="Arial" w:eastAsia="Arial" w:hAnsi="Arial"/>
          <w:sz w:val="18"/>
          <w:szCs w:val="18"/>
          <w:color w:val="auto"/>
        </w:rPr>
        <w:t xml:space="preserve"> S</w:t>
      </w:r>
      <w:r>
        <w:rPr>
          <w:rFonts w:ascii="Arial" w:cs="Arial" w:eastAsia="Arial" w:hAnsi="Arial"/>
          <w:sz w:val="12"/>
          <w:szCs w:val="12"/>
          <w:color w:val="auto"/>
        </w:rPr>
        <w:t>UBSIDIARY</w:t>
      </w:r>
      <w:r>
        <w:rPr>
          <w:rFonts w:ascii="Arial" w:cs="Arial" w:eastAsia="Arial" w:hAnsi="Arial"/>
          <w:sz w:val="18"/>
          <w:szCs w:val="18"/>
          <w:color w:val="auto"/>
        </w:rPr>
        <w:t>]</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CLEARWAY ENERGY O</w:t>
      </w:r>
      <w:r>
        <w:rPr>
          <w:rFonts w:ascii="Arial" w:cs="Arial" w:eastAsia="Arial" w:hAnsi="Arial"/>
          <w:sz w:val="12"/>
          <w:szCs w:val="12"/>
          <w:color w:val="auto"/>
        </w:rPr>
        <w:t>PERATING</w:t>
      </w:r>
      <w:r>
        <w:rPr>
          <w:rFonts w:ascii="Arial" w:cs="Arial" w:eastAsia="Arial" w:hAnsi="Arial"/>
          <w:sz w:val="18"/>
          <w:szCs w:val="18"/>
          <w:color w:val="auto"/>
        </w:rPr>
        <w:t xml:space="preserve"> LLC</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XISTING</w:t>
      </w:r>
      <w:r>
        <w:rPr>
          <w:rFonts w:ascii="Arial" w:cs="Arial" w:eastAsia="Arial" w:hAnsi="Arial"/>
          <w:sz w:val="18"/>
          <w:szCs w:val="18"/>
          <w:color w:val="auto"/>
        </w:rPr>
        <w:t xml:space="preserve"> G</w:t>
      </w:r>
      <w:r>
        <w:rPr>
          <w:rFonts w:ascii="Arial" w:cs="Arial" w:eastAsia="Arial" w:hAnsi="Arial"/>
          <w:sz w:val="12"/>
          <w:szCs w:val="12"/>
          <w:color w:val="auto"/>
        </w:rPr>
        <w:t>UARANTORS</w:t>
      </w:r>
      <w:r>
        <w:rPr>
          <w:rFonts w:ascii="Arial" w:cs="Arial" w:eastAsia="Arial" w:hAnsi="Arial"/>
          <w:sz w:val="18"/>
          <w:szCs w:val="18"/>
          <w:color w:val="auto"/>
        </w:rPr>
        <w:t>]</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RUSTEE</w:t>
      </w:r>
      <w:r>
        <w:rPr>
          <w:rFonts w:ascii="Arial" w:cs="Arial" w:eastAsia="Arial" w:hAnsi="Arial"/>
          <w:sz w:val="18"/>
          <w:szCs w:val="18"/>
          <w:color w:val="auto"/>
        </w:rPr>
        <w:t>],</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o"/>
      <w:numFmt w:val="bullet"/>
      <w:start w:val="1"/>
    </w:lvl>
  </w:abstractNum>
  <w:abstractNum w:abstractNumId="1">
    <w:nsid w:val="1A32234B"/>
    <w:multiLevelType w:val="hybridMultilevel"/>
    <w:lvl w:ilvl="0">
      <w:lvlJc w:val="left"/>
      <w:lvlText w:val="(%1)"/>
      <w:numFmt w:val="lowerLetter"/>
      <w:start w:val="4"/>
    </w:lvl>
  </w:abstractNum>
  <w:abstractNum w:abstractNumId="2">
    <w:nsid w:val="3B0FD379"/>
    <w:multiLevelType w:val="hybridMultilevel"/>
    <w:lvl w:ilvl="0">
      <w:lvlJc w:val="left"/>
      <w:lvlText w:val="%1"/>
      <w:numFmt w:val="decimal"/>
      <w:start w:val="104"/>
    </w:lvl>
  </w:abstractNum>
  <w:abstractNum w:abstractNumId="3">
    <w:nsid w:val="68EB2F63"/>
    <w:multiLevelType w:val="hybridMultilevel"/>
    <w:lvl w:ilvl="0">
      <w:lvlJc w:val="left"/>
      <w:lvlText w:val="(%1)"/>
      <w:numFmt w:val="decimal"/>
      <w:start w:val="1"/>
    </w:lvl>
  </w:abstractNum>
  <w:abstractNum w:abstractNumId="4">
    <w:nsid w:val="4962813B"/>
    <w:multiLevelType w:val="hybridMultilevel"/>
    <w:lvl w:ilvl="0">
      <w:lvlJc w:val="left"/>
      <w:lvlText w:val="(%1)"/>
      <w:numFmt w:val="decimal"/>
      <w:start w:val="3"/>
    </w:lvl>
  </w:abstractNum>
  <w:abstractNum w:abstractNumId="5">
    <w:nsid w:val="60B6DF70"/>
    <w:multiLevelType w:val="hybridMultilevel"/>
    <w:lvl w:ilvl="0">
      <w:lvlJc w:val="left"/>
      <w:lvlText w:val="(%1)"/>
      <w:numFmt w:val="decimal"/>
      <w:start w:val="4"/>
    </w:lvl>
  </w:abstractNum>
  <w:abstractNum w:abstractNumId="6">
    <w:nsid w:val="6A5EE64"/>
    <w:multiLevelType w:val="hybridMultilevel"/>
    <w:lvl w:ilvl="0">
      <w:lvlJc w:val="left"/>
      <w:lvlText w:val="(%1)"/>
      <w:numFmt w:val="decimal"/>
      <w:start w:val="19"/>
    </w:lvl>
  </w:abstractNum>
  <w:abstractNum w:abstractNumId="7">
    <w:nsid w:val="14330624"/>
    <w:multiLevelType w:val="hybridMultilevel"/>
    <w:lvl w:ilvl="0">
      <w:lvlJc w:val="left"/>
      <w:lvlText w:val="(%1)"/>
      <w:numFmt w:val="decimal"/>
      <w:start w:val="1"/>
    </w:lvl>
  </w:abstractNum>
  <w:abstractNum w:abstractNumId="8">
    <w:nsid w:val="7FFFCA11"/>
    <w:multiLevelType w:val="hybridMultilevel"/>
    <w:lvl w:ilvl="0">
      <w:lvlJc w:val="left"/>
      <w:lvlText w:val="(%1)"/>
      <w:numFmt w:val="decimal"/>
      <w:start w:val="1"/>
    </w:lvl>
    <w:lvl w:ilvl="1">
      <w:lvlJc w:val="left"/>
      <w:lvlText w:val="(%2)"/>
      <w:numFmt w:val="lowerLetter"/>
      <w:start w:val="1"/>
    </w:lvl>
  </w:abstractNum>
  <w:abstractNum w:abstractNumId="9">
    <w:nsid w:val="1A27709E"/>
    <w:multiLevelType w:val="hybridMultilevel"/>
    <w:lvl w:ilvl="0">
      <w:lvlJc w:val="left"/>
      <w:lvlText w:val="(%1)"/>
      <w:numFmt w:val="decimal"/>
      <w:start w:val="1"/>
    </w:lvl>
  </w:abstractNum>
  <w:abstractNum w:abstractNumId="10">
    <w:nsid w:val="71EA1109"/>
    <w:multiLevelType w:val="hybridMultilevel"/>
    <w:lvl w:ilvl="0">
      <w:lvlJc w:val="left"/>
      <w:lvlText w:val="(%1)"/>
      <w:numFmt w:val="decimal"/>
      <w:start w:val="1"/>
    </w:lvl>
  </w:abstractNum>
  <w:abstractNum w:abstractNumId="11">
    <w:nsid w:val="100F59DC"/>
    <w:multiLevelType w:val="hybridMultilevel"/>
    <w:lvl w:ilvl="0">
      <w:lvlJc w:val="left"/>
      <w:lvlText w:val="(%1)"/>
      <w:numFmt w:val="decimal"/>
      <w:start w:val="3"/>
    </w:lvl>
  </w:abstractNum>
  <w:abstractNum w:abstractNumId="12">
    <w:nsid w:val="7FB7E0AA"/>
    <w:multiLevelType w:val="hybridMultilevel"/>
    <w:lvl w:ilvl="0">
      <w:lvlJc w:val="left"/>
      <w:lvlText w:val="(%1)"/>
      <w:numFmt w:val="decimal"/>
      <w:start w:val="4"/>
    </w:lvl>
  </w:abstractNum>
  <w:abstractNum w:abstractNumId="13">
    <w:nsid w:val="6EB5BD4"/>
    <w:multiLevelType w:val="hybridMultilevel"/>
    <w:lvl w:ilvl="0">
      <w:lvlJc w:val="left"/>
      <w:lvlText w:val="(%1)"/>
      <w:numFmt w:val="decimal"/>
      <w:start w:val="1"/>
    </w:lvl>
  </w:abstractNum>
  <w:abstractNum w:abstractNumId="14">
    <w:nsid w:val="6F6DD9AC"/>
    <w:multiLevelType w:val="hybridMultilevel"/>
    <w:lvl w:ilvl="0">
      <w:lvlJc w:val="left"/>
      <w:lvlText w:val="(%1)"/>
      <w:numFmt w:val="decimal"/>
      <w:start w:val="1"/>
    </w:lvl>
  </w:abstractNum>
  <w:abstractNum w:abstractNumId="15">
    <w:nsid w:val="94211F2"/>
    <w:multiLevelType w:val="hybridMultilevel"/>
    <w:lvl w:ilvl="0">
      <w:lvlJc w:val="left"/>
      <w:lvlText w:val="(%1)"/>
      <w:numFmt w:val="decimal"/>
      <w:start w:val="1"/>
    </w:lvl>
  </w:abstractNum>
  <w:abstractNum w:abstractNumId="16">
    <w:nsid w:val="885E1B"/>
    <w:multiLevelType w:val="hybridMultilevel"/>
    <w:lvl w:ilvl="0">
      <w:lvlJc w:val="left"/>
      <w:lvlText w:val="(%1)"/>
      <w:numFmt w:val="decimal"/>
      <w:start w:val="1"/>
    </w:lvl>
  </w:abstractNum>
  <w:abstractNum w:abstractNumId="17">
    <w:nsid w:val="76272110"/>
    <w:multiLevelType w:val="hybridMultilevel"/>
    <w:lvl w:ilvl="0">
      <w:lvlJc w:val="left"/>
      <w:lvlText w:val="(%1)"/>
      <w:numFmt w:val="decimal"/>
      <w:start w:val="1"/>
    </w:lvl>
  </w:abstractNum>
  <w:abstractNum w:abstractNumId="18">
    <w:nsid w:val="4C04A8AF"/>
    <w:multiLevelType w:val="hybridMultilevel"/>
    <w:lvl w:ilvl="0">
      <w:lvlJc w:val="left"/>
      <w:lvlText w:val="(%1)"/>
      <w:numFmt w:val="decimal"/>
      <w:start w:val="1"/>
    </w:lvl>
  </w:abstractNum>
  <w:abstractNum w:abstractNumId="19">
    <w:nsid w:val="1716703B"/>
    <w:multiLevelType w:val="hybridMultilevel"/>
    <w:lvl w:ilvl="0">
      <w:lvlJc w:val="left"/>
      <w:lvlText w:val="(%1)"/>
      <w:numFmt w:val="lowerLetter"/>
      <w:start w:val="1"/>
    </w:lvl>
  </w:abstractNum>
  <w:abstractNum w:abstractNumId="20">
    <w:nsid w:val="14E17E33"/>
    <w:multiLevelType w:val="hybridMultilevel"/>
    <w:lvl w:ilvl="0">
      <w:lvlJc w:val="left"/>
      <w:lvlText w:val="(%1)"/>
      <w:numFmt w:val="decimal"/>
      <w:start w:val="1"/>
    </w:lvl>
  </w:abstractNum>
  <w:abstractNum w:abstractNumId="21">
    <w:nsid w:val="3222E7CD"/>
    <w:multiLevelType w:val="hybridMultilevel"/>
    <w:lvl w:ilvl="0">
      <w:lvlJc w:val="left"/>
      <w:lvlText w:val="(%1)"/>
      <w:numFmt w:val="decimal"/>
      <w:start w:val="1"/>
    </w:lvl>
  </w:abstractNum>
  <w:abstractNum w:abstractNumId="22">
    <w:nsid w:val="74DE0EE3"/>
    <w:multiLevelType w:val="hybridMultilevel"/>
    <w:lvl w:ilvl="0">
      <w:lvlJc w:val="left"/>
      <w:lvlText w:val="(%1)"/>
      <w:numFmt w:val="decimal"/>
      <w:start w:val="1"/>
    </w:lvl>
  </w:abstractNum>
  <w:abstractNum w:abstractNumId="23">
    <w:nsid w:val="68EBC550"/>
    <w:multiLevelType w:val="hybridMultilevel"/>
    <w:lvl w:ilvl="0">
      <w:lvlJc w:val="left"/>
      <w:lvlText w:val="(%1)"/>
      <w:numFmt w:val="lowerLetter"/>
      <w:start w:val="1"/>
    </w:lvl>
  </w:abstractNum>
  <w:abstractNum w:abstractNumId="24">
    <w:nsid w:val="2DF6D648"/>
    <w:multiLevelType w:val="hybridMultilevel"/>
    <w:lvl w:ilvl="0">
      <w:lvlJc w:val="left"/>
      <w:lvlText w:val="(%1)"/>
      <w:numFmt w:val="decimal"/>
      <w:start w:val="1"/>
    </w:lvl>
  </w:abstractNum>
  <w:abstractNum w:abstractNumId="25">
    <w:nsid w:val="46B7D447"/>
    <w:multiLevelType w:val="hybridMultilevel"/>
    <w:lvl w:ilvl="0">
      <w:lvlJc w:val="left"/>
      <w:lvlText w:val="(%1)"/>
      <w:numFmt w:val="decimal"/>
      <w:start w:val="7"/>
    </w:lvl>
  </w:abstractNum>
  <w:abstractNum w:abstractNumId="26">
    <w:nsid w:val="4A2AC315"/>
    <w:multiLevelType w:val="hybridMultilevel"/>
    <w:lvl w:ilvl="0">
      <w:lvlJc w:val="left"/>
      <w:lvlText w:val="(%1)"/>
      <w:numFmt w:val="decimal"/>
      <w:start w:val="20"/>
    </w:lvl>
  </w:abstractNum>
  <w:abstractNum w:abstractNumId="27">
    <w:nsid w:val="39EE015C"/>
    <w:multiLevelType w:val="hybridMultilevel"/>
    <w:lvl w:ilvl="0">
      <w:lvlJc w:val="left"/>
      <w:lvlText w:val="(%1)"/>
      <w:numFmt w:val="lowerLetter"/>
      <w:start w:val="2"/>
    </w:lvl>
  </w:abstractNum>
  <w:abstractNum w:abstractNumId="28">
    <w:nsid w:val="57FC4FBB"/>
    <w:multiLevelType w:val="hybridMultilevel"/>
    <w:lvl w:ilvl="0">
      <w:lvlJc w:val="left"/>
      <w:lvlText w:val="(%1)"/>
      <w:numFmt w:val="lowerLetter"/>
      <w:start w:val="3"/>
    </w:lvl>
  </w:abstractNum>
  <w:abstractNum w:abstractNumId="29">
    <w:nsid w:val="CC1016F"/>
    <w:multiLevelType w:val="hybridMultilevel"/>
    <w:lvl w:ilvl="0">
      <w:lvlJc w:val="left"/>
      <w:lvlText w:val="(%1)"/>
      <w:numFmt w:val="lowerLetter"/>
      <w:start w:val="1"/>
    </w:lvl>
    <w:lvl w:ilvl="1">
      <w:lvlJc w:val="left"/>
      <w:lvlText w:val="(%2)"/>
      <w:numFmt w:val="decimal"/>
      <w:start w:val="1"/>
    </w:lvl>
  </w:abstractNum>
  <w:abstractNum w:abstractNumId="30">
    <w:nsid w:val="43F18422"/>
    <w:multiLevelType w:val="hybridMultilevel"/>
    <w:lvl w:ilvl="0">
      <w:lvlJc w:val="left"/>
      <w:lvlText w:val="(%1)"/>
      <w:numFmt w:val="lowerLetter"/>
      <w:start w:val="2"/>
    </w:lvl>
  </w:abstractNum>
  <w:abstractNum w:abstractNumId="31">
    <w:nsid w:val="60EF0119"/>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32">
    <w:nsid w:val="26F324BA"/>
    <w:multiLevelType w:val="hybridMultilevel"/>
    <w:lvl w:ilvl="0">
      <w:lvlJc w:val="left"/>
      <w:lvlText w:val="%1"/>
      <w:numFmt w:val="decimal"/>
      <w:start w:val="1"/>
    </w:lvl>
    <w:lvl w:ilvl="1">
      <w:lvlJc w:val="left"/>
      <w:lvlText w:val="(%2)"/>
      <w:numFmt w:val="upperLetter"/>
      <w:start w:val="3"/>
    </w:lvl>
  </w:abstractNum>
  <w:abstractNum w:abstractNumId="33">
    <w:nsid w:val="7F01579B"/>
    <w:multiLevelType w:val="hybridMultilevel"/>
    <w:lvl w:ilvl="0">
      <w:lvlJc w:val="left"/>
      <w:lvlText w:val="(%1)"/>
      <w:numFmt w:val="decimal"/>
      <w:start w:val="3"/>
    </w:lvl>
    <w:lvl w:ilvl="1">
      <w:lvlJc w:val="left"/>
      <w:lvlText w:val="(%2)"/>
      <w:numFmt w:val="upperLetter"/>
      <w:start w:val="1"/>
    </w:lvl>
  </w:abstractNum>
  <w:abstractNum w:abstractNumId="34">
    <w:nsid w:val="49DA307D"/>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35">
    <w:nsid w:val="7055A5F5"/>
    <w:multiLevelType w:val="hybridMultilevel"/>
    <w:lvl w:ilvl="0">
      <w:lvlJc w:val="left"/>
      <w:lvlText w:val="%1"/>
      <w:numFmt w:val="lowerLetter"/>
      <w:start w:val="1"/>
    </w:lvl>
    <w:lvl w:ilvl="1">
      <w:lvlJc w:val="left"/>
      <w:lvlText w:val="(%2)"/>
      <w:numFmt w:val="upperLetter"/>
      <w:start w:val="2"/>
    </w:lvl>
  </w:abstractNum>
  <w:abstractNum w:abstractNumId="36">
    <w:nsid w:val="5FB8370B"/>
    <w:multiLevelType w:val="hybridMultilevel"/>
    <w:lvl w:ilvl="0">
      <w:lvlJc w:val="left"/>
      <w:lvlText w:val="(%1)"/>
      <w:numFmt w:val="lowerLetter"/>
      <w:start w:val="1"/>
    </w:lvl>
    <w:lvl w:ilvl="1">
      <w:lvlJc w:val="left"/>
      <w:lvlText w:val="(%2)"/>
      <w:numFmt w:val="upperLetter"/>
      <w:start w:val="5"/>
    </w:lvl>
  </w:abstractNum>
  <w:abstractNum w:abstractNumId="37">
    <w:nsid w:val="50801EE1"/>
    <w:multiLevelType w:val="hybridMultilevel"/>
    <w:lvl w:ilvl="0">
      <w:lvlJc w:val="left"/>
      <w:lvlText w:val="(%1)"/>
      <w:numFmt w:val="decimal"/>
      <w:start w:val="2"/>
    </w:lvl>
    <w:lvl w:ilvl="1">
      <w:lvlJc w:val="left"/>
      <w:lvlText w:val="(%2)"/>
      <w:numFmt w:val="upperLetter"/>
      <w:start w:val="1"/>
    </w:lvl>
  </w:abstractNum>
  <w:abstractNum w:abstractNumId="38">
    <w:nsid w:val="488AC1A"/>
    <w:multiLevelType w:val="hybridMultilevel"/>
    <w:lvl w:ilvl="0">
      <w:lvlJc w:val="left"/>
      <w:lvlText w:val="(%1)"/>
      <w:numFmt w:val="upperLetter"/>
      <w:start w:val="2"/>
    </w:lvl>
  </w:abstractNum>
  <w:abstractNum w:abstractNumId="39">
    <w:nsid w:val="5FB8011C"/>
    <w:multiLevelType w:val="hybridMultilevel"/>
    <w:lvl w:ilvl="0">
      <w:lvlJc w:val="left"/>
      <w:lvlText w:val="%1"/>
      <w:numFmt w:val="decimal"/>
      <w:start w:val="1"/>
    </w:lvl>
    <w:lvl w:ilvl="1">
      <w:lvlJc w:val="left"/>
      <w:lvlText w:val="(%2)"/>
      <w:numFmt w:val="decimal"/>
      <w:start w:val="3"/>
    </w:lvl>
  </w:abstractNum>
  <w:abstractNum w:abstractNumId="40">
    <w:nsid w:val="6AA78F7F"/>
    <w:multiLevelType w:val="hybridMultilevel"/>
    <w:lvl w:ilvl="0">
      <w:lvlJc w:val="left"/>
      <w:lvlText w:val="(%1)"/>
      <w:numFmt w:val="decimal"/>
      <w:start w:val="2"/>
    </w:lvl>
    <w:lvl w:ilvl="1">
      <w:lvlJc w:val="left"/>
      <w:lvlText w:val="%2"/>
      <w:numFmt w:val="decimal"/>
      <w:start w:val="1"/>
    </w:lvl>
  </w:abstractNum>
  <w:abstractNum w:abstractNumId="41">
    <w:nsid w:val="7672BD23"/>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42">
    <w:nsid w:val="6FC75AF8"/>
    <w:multiLevelType w:val="hybridMultilevel"/>
    <w:lvl w:ilvl="0">
      <w:lvlJc w:val="left"/>
      <w:lvlText w:val="%1"/>
      <w:numFmt w:val="decimal"/>
      <w:start w:val="1"/>
    </w:lvl>
    <w:lvl w:ilvl="1">
      <w:lvlJc w:val="left"/>
      <w:lvlText w:val="(%2)"/>
      <w:numFmt w:val="upperLetter"/>
      <w:start w:val="4"/>
    </w:lvl>
  </w:abstractNum>
  <w:abstractNum w:abstractNumId="43">
    <w:nsid w:val="6A5F7029"/>
    <w:multiLevelType w:val="hybridMultilevel"/>
    <w:lvl w:ilvl="0">
      <w:lvlJc w:val="left"/>
      <w:lvlText w:val="(%1)"/>
      <w:numFmt w:val="decimal"/>
      <w:start w:val="3"/>
    </w:lvl>
    <w:lvl w:ilvl="1">
      <w:lvlJc w:val="left"/>
      <w:lvlText w:val="(%2)"/>
      <w:numFmt w:val="upperLetter"/>
      <w:start w:val="6"/>
    </w:lvl>
  </w:abstractNum>
  <w:abstractNum w:abstractNumId="44">
    <w:nsid w:val="7D5E18F8"/>
    <w:multiLevelType w:val="hybridMultilevel"/>
    <w:lvl w:ilvl="0">
      <w:lvlJc w:val="left"/>
      <w:lvlText w:val="(%1)"/>
      <w:numFmt w:val="upperLetter"/>
      <w:start w:val="1"/>
    </w:lvl>
    <w:lvl w:ilvl="1">
      <w:lvlJc w:val="left"/>
      <w:lvlText w:val="(%2)"/>
      <w:numFmt w:val="decimal"/>
      <w:start w:val="2"/>
    </w:lvl>
    <w:lvl w:ilvl="2">
      <w:lvlJc w:val="left"/>
      <w:lvlText w:val="(%3)"/>
      <w:numFmt w:val="upperLetter"/>
      <w:start w:val="1"/>
    </w:lvl>
  </w:abstractNum>
  <w:abstractNum w:abstractNumId="45">
    <w:nsid w:val="5F3534A4"/>
    <w:multiLevelType w:val="hybridMultilevel"/>
    <w:lvl w:ilvl="0">
      <w:lvlJc w:val="left"/>
      <w:lvlText w:val="(%1)"/>
      <w:numFmt w:val="decimal"/>
      <w:start w:val="3"/>
    </w:lvl>
  </w:abstractNum>
  <w:abstractNum w:abstractNumId="46">
    <w:nsid w:val="73A1821B"/>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47">
    <w:nsid w:val="7DE67713"/>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48">
    <w:nsid w:val="555C55B5"/>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49">
    <w:nsid w:val="3FA62ACA"/>
    <w:multiLevelType w:val="hybridMultilevel"/>
    <w:lvl w:ilvl="0">
      <w:lvlJc w:val="left"/>
      <w:lvlText w:val="(%1)"/>
      <w:numFmt w:val="decimal"/>
      <w:start w:val="3"/>
    </w:lvl>
  </w:abstractNum>
  <w:abstractNum w:abstractNumId="50">
    <w:nsid w:val="14FCE74E"/>
    <w:multiLevelType w:val="hybridMultilevel"/>
    <w:lvl w:ilvl="0">
      <w:lvlJc w:val="left"/>
      <w:lvlText w:val="%1"/>
      <w:numFmt w:val="decimal"/>
      <w:start w:val="1"/>
    </w:lvl>
    <w:lvl w:ilvl="1">
      <w:lvlJc w:val="left"/>
      <w:lvlText w:val="(%2)"/>
      <w:numFmt w:val="upperLetter"/>
      <w:start w:val="2"/>
    </w:lvl>
  </w:abstractNum>
  <w:abstractNum w:abstractNumId="51">
    <w:nsid w:val="6A3DD3E8"/>
    <w:multiLevelType w:val="hybridMultilevel"/>
    <w:lvl w:ilvl="0">
      <w:lvlJc w:val="left"/>
      <w:lvlText w:val="(%1)"/>
      <w:numFmt w:val="decimal"/>
      <w:start w:val="2"/>
    </w:lvl>
    <w:lvl w:ilvl="1">
      <w:lvlJc w:val="left"/>
      <w:lvlText w:val="%2"/>
      <w:numFmt w:val="upperLetter"/>
      <w:start w:val="1"/>
    </w:lvl>
  </w:abstractNum>
  <w:abstractNum w:abstractNumId="52">
    <w:nsid w:val="71C91298"/>
    <w:multiLevelType w:val="hybridMultilevel"/>
    <w:lvl w:ilvl="0">
      <w:lvlJc w:val="left"/>
      <w:lvlText w:val="(%1)"/>
      <w:numFmt w:val="decimal"/>
      <w:start w:val="3"/>
    </w:lvl>
  </w:abstractNum>
  <w:abstractNum w:abstractNumId="53">
    <w:nsid w:val="9DAF632"/>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54">
    <w:nsid w:val="53299938"/>
    <w:multiLevelType w:val="hybridMultilevel"/>
    <w:lvl w:ilvl="0">
      <w:lvlJc w:val="left"/>
      <w:lvlText w:val="(%1)"/>
      <w:numFmt w:val="decimal"/>
      <w:start w:val="7"/>
    </w:lvl>
  </w:abstractNum>
  <w:abstractNum w:abstractNumId="55">
    <w:nsid w:val="1FBFE8E0"/>
    <w:multiLevelType w:val="hybridMultilevel"/>
    <w:lvl w:ilvl="0">
      <w:lvlJc w:val="left"/>
      <w:lvlText w:val="(%1)"/>
      <w:numFmt w:val="lowerLetter"/>
      <w:start w:val="1"/>
    </w:lvl>
  </w:abstractNum>
  <w:abstractNum w:abstractNumId="56">
    <w:nsid w:val="5092CA79"/>
    <w:multiLevelType w:val="hybridMultilevel"/>
    <w:lvl w:ilvl="0">
      <w:lvlJc w:val="left"/>
      <w:lvlText w:val="(%1)"/>
      <w:numFmt w:val="decimal"/>
      <w:start w:val="1"/>
    </w:lvl>
  </w:abstractNum>
  <w:abstractNum w:abstractNumId="57">
    <w:nsid w:val="1D545C4D"/>
    <w:multiLevelType w:val="hybridMultilevel"/>
    <w:lvl w:ilvl="0">
      <w:lvlJc w:val="left"/>
      <w:lvlText w:val="(%1)"/>
      <w:numFmt w:val="decimal"/>
      <w:start w:val="1"/>
    </w:lvl>
  </w:abstractNum>
  <w:abstractNum w:abstractNumId="58">
    <w:nsid w:val="59ADEA3D"/>
    <w:multiLevelType w:val="hybridMultilevel"/>
    <w:lvl w:ilvl="0">
      <w:lvlJc w:val="left"/>
      <w:lvlText w:val="(%1)"/>
      <w:numFmt w:val="decimal"/>
      <w:start w:val="3"/>
    </w:lvl>
  </w:abstractNum>
  <w:abstractNum w:abstractNumId="59">
    <w:nsid w:val="288F1A34"/>
    <w:multiLevelType w:val="hybridMultilevel"/>
    <w:lvl w:ilvl="0">
      <w:lvlJc w:val="left"/>
      <w:lvlText w:val="(%1)"/>
      <w:numFmt w:val="lowerLetter"/>
      <w:start w:val="1"/>
    </w:lvl>
    <w:lvl w:ilvl="1">
      <w:lvlJc w:val="left"/>
      <w:lvlText w:val="(%2)"/>
      <w:numFmt w:val="decimal"/>
      <w:start w:val="1"/>
    </w:lvl>
  </w:abstractNum>
  <w:abstractNum w:abstractNumId="60">
    <w:nsid w:val="2A155DBC"/>
    <w:multiLevelType w:val="hybridMultilevel"/>
    <w:lvl w:ilvl="0">
      <w:lvlJc w:val="left"/>
      <w:lvlText w:val="%1"/>
      <w:numFmt w:val="lowerLetter"/>
      <w:start w:val="1"/>
    </w:lvl>
    <w:lvl w:ilvl="1">
      <w:lvlJc w:val="left"/>
      <w:lvlText w:val="(%2)"/>
      <w:numFmt w:val="decimal"/>
      <w:start w:val="2"/>
    </w:lvl>
  </w:abstractNum>
  <w:abstractNum w:abstractNumId="61">
    <w:nsid w:val="1D9F6E5F"/>
    <w:multiLevelType w:val="hybridMultilevel"/>
    <w:lvl w:ilvl="0">
      <w:lvlJc w:val="left"/>
      <w:lvlText w:val="(%1)"/>
      <w:numFmt w:val="lowerLetter"/>
      <w:start w:val="2"/>
    </w:lvl>
    <w:lvl w:ilvl="1">
      <w:lvlJc w:val="left"/>
      <w:lvlText w:val="%2"/>
      <w:numFmt w:val="decimal"/>
      <w:start w:val="1"/>
    </w:lvl>
  </w:abstractNum>
  <w:abstractNum w:abstractNumId="62">
    <w:nsid w:val="97E1B4E"/>
    <w:multiLevelType w:val="hybridMultilevel"/>
    <w:lvl w:ilvl="0">
      <w:lvlJc w:val="left"/>
      <w:lvlText w:val="(%1)"/>
      <w:numFmt w:val="lowerLetter"/>
      <w:start w:val="5"/>
    </w:lvl>
  </w:abstractNum>
  <w:abstractNum w:abstractNumId="63">
    <w:nsid w:val="51088277"/>
    <w:multiLevelType w:val="hybridMultilevel"/>
    <w:lvl w:ilvl="0">
      <w:lvlJc w:val="left"/>
      <w:lvlText w:val="(%1)"/>
      <w:numFmt w:val="lowerLetter"/>
      <w:start w:val="1"/>
    </w:lvl>
    <w:lvl w:ilvl="1">
      <w:lvlJc w:val="left"/>
      <w:lvlText w:val="(%2)"/>
      <w:numFmt w:val="decimal"/>
      <w:start w:val="1"/>
    </w:lvl>
  </w:abstractNum>
  <w:abstractNum w:abstractNumId="64">
    <w:nsid w:val="1CA0C5FA"/>
    <w:multiLevelType w:val="hybridMultilevel"/>
    <w:lvl w:ilvl="0">
      <w:lvlJc w:val="left"/>
      <w:lvlText w:val="(%1)"/>
      <w:numFmt w:val="lowerLetter"/>
      <w:start w:val="2"/>
    </w:lvl>
  </w:abstractNum>
  <w:abstractNum w:abstractNumId="65">
    <w:nsid w:val="53584BCB"/>
    <w:multiLevelType w:val="hybridMultilevel"/>
    <w:lvl w:ilvl="0">
      <w:lvlJc w:val="left"/>
      <w:lvlText w:val="(%1)"/>
      <w:numFmt w:val="lowerLetter"/>
      <w:start w:val="1"/>
    </w:lvl>
  </w:abstractNum>
  <w:abstractNum w:abstractNumId="66">
    <w:nsid w:val="415E286C"/>
    <w:multiLevelType w:val="hybridMultilevel"/>
    <w:lvl w:ilvl="0">
      <w:lvlJc w:val="left"/>
      <w:lvlText w:val="%1"/>
      <w:numFmt w:val="lowerLetter"/>
      <w:start w:val="1"/>
    </w:lvl>
    <w:lvl w:ilvl="1">
      <w:lvlJc w:val="left"/>
      <w:lvlText w:val="(%2)"/>
      <w:numFmt w:val="decimal"/>
      <w:start w:val="1"/>
    </w:lvl>
  </w:abstractNum>
  <w:abstractNum w:abstractNumId="67">
    <w:nsid w:val="7C58FD05"/>
    <w:multiLevelType w:val="hybridMultilevel"/>
    <w:lvl w:ilvl="0">
      <w:lvlJc w:val="left"/>
      <w:lvlText w:val="(%1)"/>
      <w:numFmt w:val="lowerLetter"/>
      <w:start w:val="2"/>
    </w:lvl>
    <w:lvl w:ilvl="1">
      <w:lvlJc w:val="left"/>
      <w:lvlText w:val="(%2)"/>
      <w:numFmt w:val="decimal"/>
      <w:start w:val="4"/>
    </w:lvl>
  </w:abstractNum>
  <w:abstractNum w:abstractNumId="68">
    <w:nsid w:val="23D86AAC"/>
    <w:multiLevelType w:val="hybridMultilevel"/>
    <w:lvl w:ilvl="0">
      <w:lvlJc w:val="left"/>
      <w:lvlText w:val="(%1)"/>
      <w:numFmt w:val="decimal"/>
      <w:start w:val="5"/>
    </w:lvl>
  </w:abstractNum>
  <w:abstractNum w:abstractNumId="69">
    <w:nsid w:val="45E6D486"/>
    <w:multiLevelType w:val="hybridMultilevel"/>
    <w:lvl w:ilvl="0">
      <w:lvlJc w:val="left"/>
      <w:lvlText w:val="(%1)"/>
      <w:numFmt w:val="decimal"/>
      <w:start w:val="1"/>
    </w:lvl>
  </w:abstractNum>
  <w:abstractNum w:abstractNumId="70">
    <w:nsid w:val="5C10FE21"/>
    <w:multiLevelType w:val="hybridMultilevel"/>
    <w:lvl w:ilvl="0">
      <w:lvlJc w:val="left"/>
      <w:lvlText w:val="(%1)"/>
      <w:numFmt w:val="lowerLetter"/>
      <w:start w:val="1"/>
    </w:lvl>
    <w:lvl w:ilvl="1">
      <w:lvlJc w:val="left"/>
      <w:lvlText w:val="(%2)"/>
      <w:numFmt w:val="decimal"/>
      <w:start w:val="1"/>
    </w:lvl>
  </w:abstractNum>
  <w:abstractNum w:abstractNumId="71">
    <w:nsid w:val="E7FFA2B"/>
    <w:multiLevelType w:val="hybridMultilevel"/>
    <w:lvl w:ilvl="0">
      <w:lvlJc w:val="left"/>
      <w:lvlText w:val="(%1)"/>
      <w:numFmt w:val="decimal"/>
      <w:start w:val="6"/>
    </w:lvl>
  </w:abstractNum>
  <w:abstractNum w:abstractNumId="72">
    <w:nsid w:val="3C5991AA"/>
    <w:multiLevelType w:val="hybridMultilevel"/>
    <w:lvl w:ilvl="0">
      <w:lvlJc w:val="left"/>
      <w:lvlText w:val="(%1)"/>
      <w:numFmt w:val="lowerLetter"/>
      <w:start w:val="2"/>
    </w:lvl>
    <w:lvl w:ilvl="1">
      <w:lvlJc w:val="left"/>
      <w:lvlText w:val="(%2)"/>
      <w:numFmt w:val="decimal"/>
      <w:start w:val="1"/>
    </w:lvl>
  </w:abstractNum>
  <w:abstractNum w:abstractNumId="73">
    <w:nsid w:val="4BD8591A"/>
    <w:multiLevelType w:val="hybridMultilevel"/>
    <w:lvl w:ilvl="0">
      <w:lvlJc w:val="left"/>
      <w:lvlText w:val="(%1)"/>
      <w:numFmt w:val="lowerLetter"/>
      <w:start w:val="3"/>
    </w:lvl>
  </w:abstractNum>
  <w:abstractNum w:abstractNumId="74">
    <w:nsid w:val="78DF6A55"/>
    <w:multiLevelType w:val="hybridMultilevel"/>
    <w:lvl w:ilvl="0">
      <w:lvlJc w:val="left"/>
      <w:lvlText w:val="(%1)"/>
      <w:numFmt w:val="lowerLetter"/>
      <w:start w:val="5"/>
    </w:lvl>
  </w:abstractNum>
  <w:abstractNum w:abstractNumId="75">
    <w:nsid w:val="39B7AAA2"/>
    <w:multiLevelType w:val="hybridMultilevel"/>
    <w:lvl w:ilvl="0">
      <w:lvlJc w:val="left"/>
      <w:lvlText w:val="(%1)"/>
      <w:numFmt w:val="decimal"/>
      <w:start w:val="1"/>
    </w:lvl>
  </w:abstractNum>
  <w:abstractNum w:abstractNumId="76">
    <w:nsid w:val="2B0D8DBE"/>
    <w:multiLevelType w:val="hybridMultilevel"/>
    <w:lvl w:ilvl="0">
      <w:lvlJc w:val="left"/>
      <w:lvlText w:val="(%1)"/>
      <w:numFmt w:val="decimal"/>
      <w:start w:val="1"/>
    </w:lvl>
  </w:abstractNum>
  <w:abstractNum w:abstractNumId="77">
    <w:nsid w:val="6C80EC70"/>
    <w:multiLevelType w:val="hybridMultilevel"/>
    <w:lvl w:ilvl="0">
      <w:lvlJc w:val="left"/>
      <w:lvlText w:val="(%1)"/>
      <w:numFmt w:val="decimal"/>
      <w:start w:val="3"/>
    </w:lvl>
  </w:abstractNum>
  <w:abstractNum w:abstractNumId="78">
    <w:nsid w:val="379E21B5"/>
    <w:multiLevelType w:val="hybridMultilevel"/>
    <w:lvl w:ilvl="0">
      <w:lvlJc w:val="left"/>
      <w:lvlText w:val="(%1)"/>
      <w:numFmt w:val="decimal"/>
      <w:start w:val="1"/>
    </w:lvl>
    <w:lvl w:ilvl="1">
      <w:lvlJc w:val="left"/>
      <w:lvlText w:val="(%2)"/>
      <w:numFmt w:val="upperLetter"/>
      <w:start w:val="1"/>
    </w:lvl>
  </w:abstractNum>
  <w:abstractNum w:abstractNumId="79">
    <w:nsid w:val="69E373"/>
    <w:multiLevelType w:val="hybridMultilevel"/>
    <w:lvl w:ilvl="0">
      <w:lvlJc w:val="left"/>
      <w:lvlText w:val="(%1)"/>
      <w:numFmt w:val="decimal"/>
      <w:start w:val="2"/>
    </w:lvl>
  </w:abstractNum>
  <w:abstractNum w:abstractNumId="80">
    <w:nsid w:val="2C27173B"/>
    <w:multiLevelType w:val="hybridMultilevel"/>
    <w:lvl w:ilvl="0">
      <w:lvlJc w:val="left"/>
      <w:lvlText w:val="(%1)"/>
      <w:numFmt w:val="decimal"/>
      <w:start w:val="1"/>
    </w:lvl>
  </w:abstractNum>
  <w:abstractNum w:abstractNumId="81">
    <w:nsid w:val="4C9B0904"/>
    <w:multiLevelType w:val="hybridMultilevel"/>
    <w:lvl w:ilvl="0">
      <w:lvlJc w:val="left"/>
      <w:lvlText w:val="(%1)"/>
      <w:numFmt w:val="decimal"/>
      <w:start w:val="1"/>
    </w:lvl>
    <w:lvl w:ilvl="1">
      <w:lvlJc w:val="left"/>
      <w:lvlText w:val="(%2)"/>
      <w:numFmt w:val="upperLetter"/>
      <w:start w:val="1"/>
    </w:lvl>
  </w:abstractNum>
  <w:abstractNum w:abstractNumId="82">
    <w:nsid w:val="6AA7B75C"/>
    <w:multiLevelType w:val="hybridMultilevel"/>
    <w:lvl w:ilvl="0">
      <w:lvlJc w:val="left"/>
      <w:lvlText w:val="(%1)"/>
      <w:numFmt w:val="lowerRoman"/>
      <w:start w:val="2"/>
    </w:lvl>
    <w:lvl w:ilvl="1">
      <w:lvlJc w:val="left"/>
      <w:lvlText w:val="(%2)"/>
      <w:numFmt w:val="decimal"/>
      <w:start w:val="5"/>
    </w:lvl>
  </w:abstractNum>
  <w:abstractNum w:abstractNumId="83">
    <w:nsid w:val="1DF029D3"/>
    <w:multiLevelType w:val="hybridMultilevel"/>
    <w:lvl w:ilvl="0">
      <w:lvlJc w:val="left"/>
      <w:lvlText w:val="(%1)"/>
      <w:numFmt w:val="decimal"/>
      <w:start w:val="6"/>
    </w:lvl>
    <w:lvl w:ilvl="1">
      <w:lvlJc w:val="left"/>
      <w:lvlText w:val="(%2)"/>
      <w:numFmt w:val="upperLetter"/>
      <w:start w:val="1"/>
    </w:lvl>
  </w:abstractNum>
  <w:abstractNum w:abstractNumId="84">
    <w:nsid w:val="5675FF36"/>
    <w:multiLevelType w:val="hybridMultilevel"/>
    <w:lvl w:ilvl="0">
      <w:lvlJc w:val="left"/>
      <w:lvlText w:val="(%1)"/>
      <w:numFmt w:val="decimal"/>
      <w:start w:val="1"/>
    </w:lvl>
  </w:abstractNum>
  <w:abstractNum w:abstractNumId="85">
    <w:nsid w:val="3DD15094"/>
    <w:multiLevelType w:val="hybridMultilevel"/>
    <w:lvl w:ilvl="0">
      <w:lvlJc w:val="left"/>
      <w:lvlText w:val="(%1)"/>
      <w:numFmt w:val="decimal"/>
      <w:start w:val="3"/>
    </w:lvl>
  </w:abstractNum>
  <w:abstractNum w:abstractNumId="86">
    <w:nsid w:val="3DB012B3"/>
    <w:multiLevelType w:val="hybridMultilevel"/>
    <w:lvl w:ilvl="0">
      <w:lvlJc w:val="left"/>
      <w:lvlText w:val="(%1)"/>
      <w:numFmt w:val="decimal"/>
      <w:start w:val="4"/>
    </w:lvl>
  </w:abstractNum>
  <w:abstractNum w:abstractNumId="87">
    <w:nsid w:val="2708C9AF"/>
    <w:multiLevelType w:val="hybridMultilevel"/>
    <w:lvl w:ilvl="0">
      <w:lvlJc w:val="left"/>
      <w:lvlText w:val="(%1)"/>
      <w:numFmt w:val="decimal"/>
      <w:start w:val="5"/>
    </w:lvl>
  </w:abstractNum>
  <w:abstractNum w:abstractNumId="88">
    <w:nsid w:val="5B25ACE2"/>
    <w:multiLevelType w:val="hybridMultilevel"/>
    <w:lvl w:ilvl="0">
      <w:lvlJc w:val="left"/>
      <w:lvlText w:val="(%1)"/>
      <w:numFmt w:val="lowerLetter"/>
      <w:start w:val="1"/>
    </w:lvl>
    <w:lvl w:ilvl="1">
      <w:lvlJc w:val="left"/>
      <w:lvlText w:val="(%2)"/>
      <w:numFmt w:val="decimal"/>
      <w:start w:val="1"/>
    </w:lvl>
  </w:abstractNum>
  <w:abstractNum w:abstractNumId="89">
    <w:nsid w:val="175DFCF0"/>
    <w:multiLevelType w:val="hybridMultilevel"/>
    <w:lvl w:ilvl="0">
      <w:lvlJc w:val="left"/>
      <w:lvlText w:val="%1"/>
      <w:numFmt w:val="lowerLetter"/>
      <w:start w:val="1"/>
    </w:lvl>
    <w:lvl w:ilvl="1">
      <w:lvlJc w:val="left"/>
      <w:lvlText w:val="(%2)"/>
      <w:numFmt w:val="decimal"/>
      <w:start w:val="3"/>
    </w:lvl>
  </w:abstractNum>
  <w:abstractNum w:abstractNumId="90">
    <w:nsid w:val="4F97E3E4"/>
    <w:multiLevelType w:val="hybridMultilevel"/>
    <w:lvl w:ilvl="0">
      <w:lvlJc w:val="left"/>
      <w:lvlText w:val="(%1)"/>
      <w:numFmt w:val="lowerLetter"/>
      <w:start w:val="4"/>
    </w:lvl>
    <w:lvl w:ilvl="1">
      <w:lvlJc w:val="left"/>
      <w:lvlText w:val="%2"/>
      <w:numFmt w:val="decimal"/>
      <w:start w:val="1"/>
    </w:lvl>
  </w:abstractNum>
  <w:abstractNum w:abstractNumId="91">
    <w:nsid w:val="53B0A9E"/>
    <w:multiLevelType w:val="hybridMultilevel"/>
    <w:lvl w:ilvl="0">
      <w:lvlJc w:val="left"/>
      <w:lvlText w:val="(%1)"/>
      <w:numFmt w:val="lowerLetter"/>
      <w:start w:val="1"/>
    </w:lvl>
  </w:abstractNum>
  <w:abstractNum w:abstractNumId="92">
    <w:nsid w:val="34FD6B4F"/>
    <w:multiLevelType w:val="hybridMultilevel"/>
    <w:lvl w:ilvl="0">
      <w:lvlJc w:val="left"/>
      <w:lvlText w:val="(%1)"/>
      <w:numFmt w:val="lowerLetter"/>
      <w:start w:val="8"/>
    </w:lvl>
  </w:abstractNum>
  <w:abstractNum w:abstractNumId="93">
    <w:nsid w:val="5915FF32"/>
    <w:multiLevelType w:val="hybridMultilevel"/>
    <w:lvl w:ilvl="0">
      <w:lvlJc w:val="left"/>
      <w:lvlText w:val="(%1)"/>
      <w:numFmt w:val="lowerLetter"/>
      <w:start w:val="1"/>
    </w:lvl>
  </w:abstractNum>
  <w:abstractNum w:abstractNumId="94">
    <w:nsid w:val="56438D15"/>
    <w:multiLevelType w:val="hybridMultilevel"/>
    <w:lvl w:ilvl="0">
      <w:lvlJc w:val="left"/>
      <w:lvlText w:val="(%1)"/>
      <w:numFmt w:val="lowerLetter"/>
      <w:start w:val="6"/>
    </w:lvl>
  </w:abstractNum>
  <w:abstractNum w:abstractNumId="95">
    <w:nsid w:val="519E3149"/>
    <w:multiLevelType w:val="hybridMultilevel"/>
    <w:lvl w:ilvl="0">
      <w:lvlJc w:val="left"/>
      <w:lvlText w:val="(%1)"/>
      <w:numFmt w:val="lowerLetter"/>
      <w:start w:val="1"/>
    </w:lvl>
    <w:lvl w:ilvl="1">
      <w:lvlJc w:val="left"/>
      <w:lvlText w:val="(%2)"/>
      <w:numFmt w:val="decimal"/>
      <w:start w:val="1"/>
    </w:lvl>
  </w:abstractNum>
  <w:abstractNum w:abstractNumId="96">
    <w:nsid w:val="2C6E4AFD"/>
    <w:multiLevelType w:val="hybridMultilevel"/>
    <w:lvl w:ilvl="0">
      <w:lvlJc w:val="left"/>
      <w:lvlText w:val="(%1)"/>
      <w:numFmt w:val="decimal"/>
      <w:start w:val="1"/>
    </w:lvl>
  </w:abstractNum>
  <w:abstractNum w:abstractNumId="97">
    <w:nsid w:val="17A1B582"/>
    <w:multiLevelType w:val="hybridMultilevel"/>
    <w:lvl w:ilvl="0">
      <w:lvlJc w:val="left"/>
      <w:lvlText w:val="(%1)"/>
      <w:numFmt w:val="decimal"/>
      <w:start w:val="2"/>
    </w:lvl>
  </w:abstractNum>
  <w:abstractNum w:abstractNumId="98">
    <w:nsid w:val="4DF72E4E"/>
    <w:multiLevelType w:val="hybridMultilevel"/>
    <w:lvl w:ilvl="0">
      <w:lvlJc w:val="left"/>
      <w:lvlText w:val="(%1)"/>
      <w:numFmt w:val="decimal"/>
      <w:start w:val="1"/>
    </w:lvl>
    <w:lvl w:ilvl="1">
      <w:lvlJc w:val="left"/>
      <w:lvlText w:val="(%2)"/>
      <w:numFmt w:val="upperLetter"/>
      <w:start w:val="1"/>
    </w:lvl>
  </w:abstractNum>
  <w:abstractNum w:abstractNumId="99">
    <w:nsid w:val="5046B5A9"/>
    <w:multiLevelType w:val="hybridMultilevel"/>
    <w:lvl w:ilvl="0">
      <w:lvlJc w:val="left"/>
      <w:lvlText w:val="(%1)"/>
      <w:numFmt w:val="upperLetter"/>
      <w:start w:val="2"/>
    </w:lvl>
  </w:abstractNum>
  <w:abstractNum w:abstractNumId="100">
    <w:nsid w:val="5D888A08"/>
    <w:multiLevelType w:val="hybridMultilevel"/>
    <w:lvl w:ilvl="0">
      <w:lvlJc w:val="left"/>
      <w:lvlText w:val="(%1)"/>
      <w:numFmt w:val="decimal"/>
      <w:start w:val="3"/>
    </w:lvl>
  </w:abstractNum>
  <w:abstractNum w:abstractNumId="101">
    <w:nsid w:val="2A082C70"/>
    <w:multiLevelType w:val="hybridMultilevel"/>
    <w:lvl w:ilvl="0">
      <w:lvlJc w:val="left"/>
      <w:lvlText w:val="(%1)"/>
      <w:numFmt w:val="decimal"/>
      <w:start w:val="1"/>
    </w:lvl>
  </w:abstractNum>
  <w:abstractNum w:abstractNumId="102">
    <w:nsid w:val="5EC6AFD4"/>
    <w:multiLevelType w:val="hybridMultilevel"/>
    <w:lvl w:ilvl="0">
      <w:lvlJc w:val="left"/>
      <w:lvlText w:val="(%1)"/>
      <w:numFmt w:val="decimal"/>
      <w:start w:val="2"/>
    </w:lvl>
  </w:abstractNum>
  <w:abstractNum w:abstractNumId="103">
    <w:nsid w:val="19E21BB2"/>
    <w:multiLevelType w:val="hybridMultilevel"/>
    <w:lvl w:ilvl="0">
      <w:lvlJc w:val="left"/>
      <w:lvlText w:val="(%1)"/>
      <w:numFmt w:val="decimal"/>
      <w:start w:val="1"/>
    </w:lvl>
  </w:abstractNum>
  <w:abstractNum w:abstractNumId="104">
    <w:nsid w:val="75E0858A"/>
    <w:multiLevelType w:val="hybridMultilevel"/>
    <w:lvl w:ilvl="0">
      <w:lvlJc w:val="left"/>
      <w:lvlText w:val="(%1)"/>
      <w:numFmt w:val="lowerLetter"/>
      <w:start w:val="1"/>
    </w:lvl>
    <w:lvl w:ilvl="1">
      <w:lvlJc w:val="left"/>
      <w:lvlText w:val="(%2)"/>
      <w:numFmt w:val="decimal"/>
      <w:start w:val="1"/>
    </w:lvl>
  </w:abstractNum>
  <w:abstractNum w:abstractNumId="105">
    <w:nsid w:val="57A61A29"/>
    <w:multiLevelType w:val="hybridMultilevel"/>
    <w:lvl w:ilvl="0">
      <w:lvlJc w:val="left"/>
      <w:lvlText w:val="(%1)"/>
      <w:numFmt w:val="decimal"/>
      <w:start w:val="2"/>
    </w:lvl>
  </w:abstractNum>
  <w:abstractNum w:abstractNumId="106">
    <w:nsid w:val="5399C654"/>
    <w:multiLevelType w:val="hybridMultilevel"/>
    <w:lvl w:ilvl="0">
      <w:lvlJc w:val="left"/>
      <w:lvlText w:val="(%1)"/>
      <w:numFmt w:val="lowerLetter"/>
      <w:start w:val="2"/>
    </w:lvl>
  </w:abstractNum>
  <w:abstractNum w:abstractNumId="107">
    <w:nsid w:val="20EE1348"/>
    <w:multiLevelType w:val="hybridMultilevel"/>
    <w:lvl w:ilvl="0">
      <w:lvlJc w:val="left"/>
      <w:lvlText w:val="(%1)"/>
      <w:numFmt w:val="decimal"/>
      <w:start w:val="1"/>
    </w:lvl>
  </w:abstractNum>
  <w:abstractNum w:abstractNumId="108">
    <w:nsid w:val="4427069A"/>
    <w:multiLevelType w:val="hybridMultilevel"/>
    <w:lvl w:ilvl="0">
      <w:lvlJc w:val="left"/>
      <w:lvlText w:val="(%1)"/>
      <w:numFmt w:val="lowerLetter"/>
      <w:start w:val="1"/>
    </w:lvl>
  </w:abstractNum>
  <w:abstractNum w:abstractNumId="109">
    <w:nsid w:val="B37E80A"/>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10">
    <w:nsid w:val="2157F6BC"/>
    <w:multiLevelType w:val="hybridMultilevel"/>
    <w:lvl w:ilvl="0">
      <w:lvlJc w:val="left"/>
      <w:lvlText w:val="(%1)"/>
      <w:numFmt w:val="lowerLetter"/>
      <w:start w:val="5"/>
    </w:lvl>
  </w:abstractNum>
  <w:abstractNum w:abstractNumId="111">
    <w:nsid w:val="704E1DD5"/>
    <w:multiLevelType w:val="hybridMultilevel"/>
    <w:lvl w:ilvl="0">
      <w:lvlJc w:val="left"/>
      <w:lvlText w:val="(%1)"/>
      <w:numFmt w:val="decimal"/>
      <w:start w:val="1"/>
    </w:lvl>
    <w:lvl w:ilvl="1">
      <w:lvlJc w:val="left"/>
      <w:lvlText w:val="(%2)"/>
      <w:numFmt w:val="lowerLetter"/>
      <w:start w:val="1"/>
    </w:lvl>
  </w:abstractNum>
  <w:abstractNum w:abstractNumId="112">
    <w:nsid w:val="57D2F10E"/>
    <w:multiLevelType w:val="hybridMultilevel"/>
    <w:lvl w:ilvl="0">
      <w:lvlJc w:val="left"/>
      <w:lvlText w:val="(%1)"/>
      <w:numFmt w:val="decimal"/>
      <w:start w:val="1"/>
    </w:lvl>
  </w:abstractNum>
  <w:abstractNum w:abstractNumId="113">
    <w:nsid w:val="BFFAE18"/>
    <w:multiLevelType w:val="hybridMultilevel"/>
    <w:lvl w:ilvl="0">
      <w:lvlJc w:val="left"/>
      <w:lvlText w:val="(%1)"/>
      <w:numFmt w:val="decimal"/>
      <w:start w:val="1"/>
    </w:lvl>
  </w:abstractNum>
  <w:abstractNum w:abstractNumId="114">
    <w:nsid w:val="E3E47A8"/>
    <w:multiLevelType w:val="hybridMultilevel"/>
    <w:lvl w:ilvl="0">
      <w:lvlJc w:val="left"/>
      <w:lvlText w:val="(%1)"/>
      <w:numFmt w:val="decimal"/>
      <w:start w:val="1"/>
    </w:lvl>
  </w:abstractNum>
  <w:abstractNum w:abstractNumId="115">
    <w:nsid w:val="2E48F044"/>
    <w:multiLevelType w:val="hybridMultilevel"/>
    <w:lvl w:ilvl="0">
      <w:lvlJc w:val="left"/>
      <w:lvlText w:val="(%1)"/>
      <w:numFmt w:val="decimal"/>
      <w:start w:val="2"/>
    </w:lvl>
  </w:abstractNum>
  <w:abstractNum w:abstractNumId="116">
    <w:nsid w:val="49D0FEAC"/>
    <w:multiLevelType w:val="hybridMultilevel"/>
    <w:lvl w:ilvl="0">
      <w:lvlJc w:val="left"/>
      <w:lvlText w:val="(%1)"/>
      <w:numFmt w:val="decimal"/>
      <w:start w:val="1"/>
    </w:lvl>
  </w:abstractNum>
  <w:abstractNum w:abstractNumId="117">
    <w:nsid w:val="4BEE5A5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8">
    <w:nsid w:val="5551B9F3"/>
    <w:multiLevelType w:val="hybridMultilevel"/>
    <w:lvl w:ilvl="0">
      <w:lvlJc w:val="left"/>
      <w:lvlText w:val="(%1)"/>
      <w:numFmt w:val="lowerLetter"/>
      <w:start w:val="5"/>
    </w:lvl>
  </w:abstractNum>
  <w:abstractNum w:abstractNumId="119">
    <w:nsid w:val="24F6AB8E"/>
    <w:multiLevelType w:val="hybridMultilevel"/>
    <w:lvl w:ilvl="0">
      <w:lvlJc w:val="left"/>
      <w:lvlText w:val="%1"/>
      <w:numFmt w:val="decimal"/>
      <w:start w:val="1"/>
    </w:lvl>
    <w:lvl w:ilvl="1">
      <w:lvlJc w:val="left"/>
      <w:lvlText w:val="(%2)"/>
      <w:numFmt w:val="lowerLetter"/>
      <w:start w:val="6"/>
    </w:lvl>
  </w:abstractNum>
  <w:abstractNum w:abstractNumId="120">
    <w:nsid w:val="634C574C"/>
    <w:multiLevelType w:val="hybridMultilevel"/>
    <w:lvl w:ilvl="0">
      <w:lvlJc w:val="left"/>
      <w:lvlText w:val="(%1)"/>
      <w:numFmt w:val="decimal"/>
      <w:start w:val="6"/>
    </w:lvl>
    <w:lvl w:ilvl="1">
      <w:lvlJc w:val="left"/>
      <w:lvlText w:val="%2"/>
      <w:numFmt w:val="lowerLetter"/>
      <w:start w:val="1"/>
    </w:lvl>
  </w:abstractNum>
  <w:abstractNum w:abstractNumId="121">
    <w:nsid w:val="24E99DD7"/>
    <w:multiLevelType w:val="hybridMultilevel"/>
    <w:lvl w:ilvl="0">
      <w:lvlJc w:val="left"/>
      <w:lvlText w:val="(%1)"/>
      <w:numFmt w:val="decimal"/>
      <w:start w:val="7"/>
    </w:lvl>
    <w:lvl w:ilvl="1">
      <w:lvlJc w:val="left"/>
      <w:lvlText w:val="(%2)"/>
      <w:numFmt w:val="lowerLetter"/>
      <w:start w:val="1"/>
    </w:lvl>
  </w:abstractNum>
  <w:abstractNum w:abstractNumId="122">
    <w:nsid w:val="2A31B62D"/>
    <w:multiLevelType w:val="hybridMultilevel"/>
    <w:lvl w:ilvl="0">
      <w:lvlJc w:val="left"/>
      <w:lvlText w:val="(%1)"/>
      <w:numFmt w:val="decimal"/>
      <w:start w:val="9"/>
    </w:lvl>
  </w:abstractNum>
  <w:abstractNum w:abstractNumId="123">
    <w:nsid w:val="1849C29B"/>
    <w:multiLevelType w:val="hybridMultilevel"/>
    <w:lvl w:ilvl="0">
      <w:lvlJc w:val="left"/>
      <w:lvlText w:val="%1"/>
      <w:numFmt w:val="lowerRoman"/>
      <w:start w:val="1"/>
    </w:lvl>
    <w:lvl w:ilvl="1">
      <w:lvlJc w:val="left"/>
      <w:lvlText w:val="(%2)"/>
      <w:numFmt w:val="decimal"/>
      <w:start w:val="12"/>
    </w:lvl>
  </w:abstractNum>
  <w:abstractNum w:abstractNumId="124">
    <w:nsid w:val="7DFF9D09"/>
    <w:multiLevelType w:val="hybridMultilevel"/>
    <w:lvl w:ilvl="0">
      <w:lvlJc w:val="left"/>
      <w:lvlText w:val="(%1)"/>
      <w:numFmt w:val="lowerRoman"/>
      <w:start w:val="2"/>
    </w:lvl>
    <w:lvl w:ilvl="1">
      <w:lvlJc w:val="left"/>
      <w:lvlText w:val="%2"/>
      <w:numFmt w:val="decimal"/>
      <w:start w:val="1"/>
    </w:lvl>
  </w:abstractNum>
  <w:abstractNum w:abstractNumId="125">
    <w:nsid w:val="754342"/>
    <w:multiLevelType w:val="hybridMultilevel"/>
    <w:lvl w:ilvl="0">
      <w:lvlJc w:val="left"/>
      <w:lvlText w:val="(%1)"/>
      <w:numFmt w:val="lowerRoman"/>
      <w:start w:val="10"/>
    </w:lvl>
    <w:lvl w:ilvl="1">
      <w:lvlJc w:val="left"/>
      <w:lvlText w:val="%2"/>
      <w:numFmt w:val="decimal"/>
      <w:start w:val="1"/>
    </w:lvl>
  </w:abstractNum>
  <w:abstractNum w:abstractNumId="126">
    <w:nsid w:val="69E7F3E5"/>
    <w:multiLevelType w:val="hybridMultilevel"/>
    <w:lvl w:ilvl="0">
      <w:lvlJc w:val="left"/>
      <w:lvlText w:val="(%1)"/>
      <w:numFmt w:val="decimal"/>
      <w:start w:val="13"/>
    </w:lvl>
  </w:abstractNum>
  <w:abstractNum w:abstractNumId="127">
    <w:nsid w:val="2A6DE806"/>
    <w:multiLevelType w:val="hybridMultilevel"/>
    <w:lvl w:ilvl="0">
      <w:lvlJc w:val="left"/>
      <w:lvlText w:val="(%1)"/>
      <w:numFmt w:val="upperLetter"/>
      <w:start w:val="9"/>
    </w:lvl>
  </w:abstractNum>
  <w:abstractNum w:abstractNumId="128">
    <w:nsid w:val="1816F8C4"/>
    <w:multiLevelType w:val="hybridMultilevel"/>
    <w:lvl w:ilvl="0">
      <w:lvlJc w:val="left"/>
      <w:lvlText w:val="*"/>
      <w:numFmt w:val="bullet"/>
      <w:start w:val="1"/>
    </w:lvl>
  </w:abstractNum>
  <w:abstractNum w:abstractNumId="129">
    <w:nsid w:val="37DF2233"/>
    <w:multiLevelType w:val="hybridMultilevel"/>
    <w:lvl w:ilvl="0">
      <w:lvlJc w:val="left"/>
      <w:lvlText w:val="*"/>
      <w:numFmt w:val="bullet"/>
      <w:start w:val="1"/>
    </w:lvl>
  </w:abstractNum>
  <w:abstractNum w:abstractNumId="130">
    <w:nsid w:val="7AB49DAF"/>
    <w:multiLevelType w:val="hybridMultilevel"/>
    <w:lvl w:ilvl="0">
      <w:lvlJc w:val="left"/>
      <w:lvlText w:val="*"/>
      <w:numFmt w:val="bullet"/>
      <w:start w:val="1"/>
    </w:lvl>
  </w:abstractNum>
  <w:abstractNum w:abstractNumId="131">
    <w:nsid w:val="759F82CD"/>
    <w:multiLevelType w:val="hybridMultilevel"/>
    <w:lvl w:ilvl="0">
      <w:lvlJc w:val="left"/>
      <w:lvlText w:val="%1"/>
      <w:numFmt w:val="lowerRoman"/>
      <w:start w:val="1"/>
    </w:lvl>
    <w:lvl w:ilvl="1">
      <w:lvlJc w:val="left"/>
      <w:lvlText w:val="%2."/>
      <w:numFmt w:val="decimal"/>
      <w:start w:val="1"/>
    </w:lvl>
  </w:abstractNum>
  <w:abstractNum w:abstractNumId="132">
    <w:nsid w:val="61E74EA3"/>
    <w:multiLevelType w:val="hybridMultilevel"/>
    <w:lvl w:ilvl="0">
      <w:lvlJc w:val="left"/>
      <w:lvlText w:val="(%1)"/>
      <w:numFmt w:val="lowerRoman"/>
      <w:start w:val="3"/>
    </w:lvl>
    <w:lvl w:ilvl="1">
      <w:lvlJc w:val="left"/>
      <w:lvlText w:val="%2"/>
      <w:numFmt w:val="decimal"/>
      <w:start w:val="1"/>
    </w:lvl>
  </w:abstractNum>
  <w:abstractNum w:abstractNumId="133">
    <w:nsid w:val="597B4D84"/>
    <w:multiLevelType w:val="hybridMultilevel"/>
    <w:lvl w:ilvl="0">
      <w:lvlJc w:val="left"/>
      <w:lvlText w:val="%1."/>
      <w:numFmt w:val="decimal"/>
      <w:start w:val="3"/>
    </w:lvl>
    <w:lvl w:ilvl="1">
      <w:lvlJc w:val="left"/>
      <w:lvlText w:val="(%2)"/>
      <w:numFmt w:val="lowerLetter"/>
      <w:start w:val="1"/>
    </w:lvl>
  </w:abstractNum>
  <w:abstractNum w:abstractNumId="134">
    <w:nsid w:val="F819E7F"/>
    <w:multiLevelType w:val="hybridMultilevel"/>
    <w:lvl w:ilvl="0">
      <w:lvlJc w:val="left"/>
      <w:lvlText w:val="(%1)"/>
      <w:numFmt w:val="lowerLetter"/>
      <w:start w:val="2"/>
    </w:lvl>
  </w:abstractNum>
  <w:abstractNum w:abstractNumId="135">
    <w:nsid w:val="57C7D42D"/>
    <w:multiLevelType w:val="hybridMultilevel"/>
    <w:lvl w:ilvl="0">
      <w:lvlJc w:val="left"/>
      <w:lvlText w:val="%1"/>
      <w:numFmt w:val="decimal"/>
      <w:start w:val="1"/>
    </w:lvl>
    <w:lvl w:ilvl="1">
      <w:lvlJc w:val="left"/>
      <w:lvlText w:val="(%2)"/>
      <w:numFmt w:val="lowerLetter"/>
      <w:start w:val="4"/>
    </w:lvl>
  </w:abstractNum>
  <w:abstractNum w:abstractNumId="136">
    <w:nsid w:val="312167AD"/>
    <w:multiLevelType w:val="hybridMultilevel"/>
    <w:lvl w:ilvl="0">
      <w:lvlJc w:val="left"/>
      <w:lvlText w:val="%1."/>
      <w:numFmt w:val="decimal"/>
      <w:start w:val="4"/>
    </w:lvl>
    <w:lvl w:ilvl="1">
      <w:lvlJc w:val="left"/>
      <w:lvlText w:val="%2"/>
      <w:numFmt w:val="lowerLetter"/>
      <w:start w:val="1"/>
    </w:lvl>
  </w:abstractNum>
  <w:abstractNum w:abstractNumId="137">
    <w:nsid w:val="631B64D4"/>
    <w:multiLevelType w:val="hybridMultilevel"/>
    <w:lvl w:ilvl="0">
      <w:lvlJc w:val="left"/>
      <w:lvlText w:val="(%1)"/>
      <w:numFmt w:val="lowerLetter"/>
      <w:start w:val="1"/>
    </w:lvl>
  </w:abstractNum>
  <w:abstractNum w:abstractNumId="138">
    <w:nsid w:val="78B5E776"/>
    <w:multiLevelType w:val="hybridMultilevel"/>
    <w:lvl w:ilvl="0">
      <w:lvlJc w:val="left"/>
      <w:lvlText w:val="(%1)"/>
      <w:numFmt w:val="lowerLetter"/>
      <w:start w:val="2"/>
    </w:lvl>
  </w:abstractNum>
  <w:abstractNum w:abstractNumId="139">
    <w:nsid w:val="75486E47"/>
    <w:multiLevelType w:val="hybridMultilevel"/>
    <w:lvl w:ilvl="0">
      <w:lvlJc w:val="left"/>
      <w:lvlText w:val="%1."/>
      <w:numFmt w:val="decimal"/>
      <w:start w:val="1"/>
    </w:lvl>
  </w:abstractNum>
  <w:abstractNum w:abstractNumId="140">
    <w:nsid w:val="6E534CDE"/>
    <w:multiLevelType w:val="hybridMultilevel"/>
    <w:lvl w:ilvl="0">
      <w:lvlJc w:val="left"/>
      <w:lvlText w:val="%1"/>
      <w:numFmt w:val="decimal"/>
      <w:start w:val="1"/>
    </w:lvl>
    <w:lvl w:ilvl="1">
      <w:lvlJc w:val="left"/>
      <w:lvlText w:val="(%2)"/>
      <w:numFmt w:val="lowerLetter"/>
      <w:start w:val="2"/>
    </w:lvl>
  </w:abstractNum>
  <w:abstractNum w:abstractNumId="141">
    <w:nsid w:val="1A0DDE32"/>
    <w:multiLevelType w:val="hybridMultilevel"/>
    <w:lvl w:ilvl="0">
      <w:lvlJc w:val="left"/>
      <w:lvlText w:val="%1."/>
      <w:numFmt w:val="decimal"/>
      <w:start w:val="2"/>
    </w:lvl>
    <w:lvl w:ilvl="1">
      <w:lvlJc w:val="left"/>
      <w:lvlText w:val="%2"/>
      <w:numFmt w:val="lowerLetter"/>
      <w:start w:val="1"/>
    </w:lvl>
  </w:abstractNum>
  <w:abstractNum w:abstractNumId="142">
    <w:nsid w:val="65968C1C"/>
    <w:multiLevelType w:val="hybridMultilevel"/>
    <w:lvl w:ilvl="0">
      <w:lvlJc w:val="left"/>
      <w:lvlText w:val="(%1)"/>
      <w:numFmt w:val="lowerLetter"/>
      <w:start w:val="2"/>
    </w:lvl>
  </w:abstractNum>
  <w:abstractNum w:abstractNumId="143">
    <w:nsid w:val="46263DEC"/>
    <w:multiLevelType w:val="hybridMultilevel"/>
    <w:lvl w:ilvl="0">
      <w:lvlJc w:val="left"/>
      <w:lvlText w:val="%1."/>
      <w:numFmt w:val="decimal"/>
    </w:lvl>
    <w:lvl w:ilvl="1">
      <w:lvlJc w:val="left"/>
      <w:lvlText w:val=","/>
      <w:numFmt w:val="bullet"/>
      <w:start w:val="1"/>
    </w:lvl>
  </w:abstractNum>
  <w:abstractNum w:abstractNumId="144">
    <w:nsid w:val="260D8C4A"/>
    <w:multiLevelType w:val="hybridMultilevel"/>
    <w:lvl w:ilvl="0">
      <w:lvlJc w:val="left"/>
      <w:lvlText w:val="(%1)"/>
      <w:numFmt w:val="lowerLetter"/>
      <w:start w:val="1"/>
    </w:lvl>
  </w:abstractNum>
  <w:abstractNum w:abstractNumId="145">
    <w:nsid w:val="73D4D3C4"/>
    <w:multiLevelType w:val="hybridMultilevel"/>
    <w:lvl w:ilvl="0">
      <w:lvlJc w:val="left"/>
      <w:lvlText w:val="(%1)"/>
      <w:numFmt w:val="lowerLetter"/>
      <w:start w:val="3"/>
    </w:lvl>
  </w:abstractNum>
  <w:abstractNum w:abstractNumId="146">
    <w:nsid w:val="746F2E30"/>
    <w:multiLevelType w:val="hybridMultilevel"/>
    <w:lvl w:ilvl="0">
      <w:lvlJc w:val="left"/>
      <w:lvlText w:val="%1."/>
      <w:numFmt w:val="decimal"/>
      <w:start w:val="2"/>
    </w:lvl>
  </w:abstractNum>
  <w:abstractNum w:abstractNumId="147">
    <w:nsid w:val="6FDE8AF6"/>
    <w:multiLevelType w:val="hybridMultilevel"/>
    <w:lvl w:ilvl="0">
      <w:lvlJc w:val="left"/>
      <w:lvlText w:val="(%1)"/>
      <w:numFmt w:val="lowerLetter"/>
      <w:start w:val="1"/>
    </w:lvl>
  </w:abstractNum>
  <w:abstractNum w:abstractNumId="148">
    <w:nsid w:val="3FC32E20"/>
    <w:multiLevelType w:val="hybridMultilevel"/>
    <w:lvl w:ilvl="0">
      <w:lvlJc w:val="left"/>
      <w:lvlText w:val="(%1)"/>
      <w:numFmt w:val="lowerLetter"/>
      <w:start w:val="1"/>
    </w:lvl>
  </w:abstractNum>
  <w:abstractNum w:abstractNumId="149">
    <w:nsid w:val="49C0E823"/>
    <w:multiLevelType w:val="hybridMultilevel"/>
    <w:lvl w:ilvl="0">
      <w:lvlJc w:val="left"/>
      <w:lvlText w:val="%1"/>
      <w:numFmt w:val="upperLetter"/>
      <w:start w:val="1"/>
    </w:lvl>
    <w:lvl w:ilvl="1">
      <w:lvlJc w:val="left"/>
      <w:lvlText w:val="%2."/>
      <w:numFmt w:val="decimal"/>
      <w:start w:val="1"/>
    </w:lvl>
  </w:abstractNum>
  <w:abstractNum w:abstractNumId="150">
    <w:nsid w:val="14D53685"/>
    <w:multiLevelType w:val="hybridMultilevel"/>
    <w:lvl w:ilvl="0">
      <w:lvlJc w:val="left"/>
      <w:lvlText w:val="(%1)"/>
      <w:numFmt w:val="upperLetter"/>
      <w:start w:val="2"/>
    </w:lvl>
    <w:lvl w:ilvl="1">
      <w:lvlJc w:val="left"/>
      <w:lvlText w:val="%2"/>
      <w:numFmt w:val="decimal"/>
      <w:start w:val="1"/>
    </w:lvl>
  </w:abstractNum>
  <w:abstractNum w:abstractNumId="151">
    <w:nsid w:val="230F856C"/>
    <w:multiLevelType w:val="hybridMultilevel"/>
    <w:lvl w:ilvl="0">
      <w:lvlJc w:val="left"/>
      <w:lvlText w:val="(%1)"/>
      <w:numFmt w:val="upperLetter"/>
      <w:start w:val="4"/>
    </w:lvl>
    <w:lvl w:ilvl="1">
      <w:lvlJc w:val="left"/>
      <w:lvlText w:val="%2"/>
      <w:numFmt w:val="decimal"/>
      <w:start w:val="1"/>
    </w:lvl>
  </w:abstractNum>
  <w:abstractNum w:abstractNumId="152">
    <w:nsid w:val="6EAA85FB"/>
    <w:multiLevelType w:val="hybridMultilevel"/>
    <w:lvl w:ilvl="0">
      <w:lvlJc w:val="left"/>
      <w:lvlText w:val="%1."/>
      <w:numFmt w:val="decimal"/>
      <w:start w:val="3"/>
    </w:lvl>
  </w:abstractNum>
  <w:abstractNum w:abstractNumId="153">
    <w:nsid w:val="3F06ECB2"/>
    <w:multiLevelType w:val="hybridMultilevel"/>
    <w:lvl w:ilvl="0">
      <w:lvlJc w:val="left"/>
      <w:lvlText w:val="%1."/>
      <w:numFmt w:val="decimal"/>
      <w:start w:val="1"/>
    </w:lvl>
  </w:abstractNum>
  <w:abstractNum w:abstractNumId="154">
    <w:nsid w:val="3B594807"/>
    <w:multiLevelType w:val="hybridMultilevel"/>
    <w:lvl w:ilvl="0">
      <w:lvlJc w:val="left"/>
      <w:lvlText w:val="%1."/>
      <w:numFmt w:val="decimal"/>
      <w:start w:val="4"/>
    </w:lvl>
  </w:abstractNum>
  <w:abstractNum w:abstractNumId="155">
    <w:nsid w:val="6CAA2304"/>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2021-03-09T15:25:46Z</dcterms:created>
  <dcterms:modified xsi:type="dcterms:W3CDTF">2021-03-09T15:25:46Z</dcterms:modified>
</cp:coreProperties>
</file>