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880" w:right="2840" w:hanging="1397"/>
        <w:spacing w:after="0" w:line="657" w:lineRule="auto"/>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1" w:lineRule="exact"/>
        <w:rPr>
          <w:sz w:val="24"/>
          <w:szCs w:val="24"/>
          <w:color w:val="auto"/>
        </w:rPr>
      </w:pPr>
    </w:p>
    <w:p>
      <w:pPr>
        <w:ind w:left="4240" w:right="2800" w:hanging="3757"/>
        <w:spacing w:after="0" w:line="510" w:lineRule="auto"/>
        <w:tabs>
          <w:tab w:leader="none" w:pos="18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333-203369</w:t>
      </w:r>
    </w:p>
    <w:p>
      <w:pPr>
        <w:jc w:val="center"/>
        <w:spacing w:after="0"/>
        <w:rPr>
          <w:sz w:val="20"/>
          <w:szCs w:val="20"/>
          <w:color w:val="auto"/>
        </w:rPr>
      </w:pPr>
      <w:r>
        <w:rPr>
          <w:rFonts w:ascii="Arial" w:cs="Arial" w:eastAsia="Arial" w:hAnsi="Arial"/>
          <w:sz w:val="43"/>
          <w:szCs w:val="43"/>
          <w:b w:val="1"/>
          <w:bCs w:val="1"/>
          <w:color w:val="auto"/>
        </w:rPr>
        <w:t>NRG Yield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6580" w:type="dxa"/>
            <w:vAlign w:val="bottom"/>
          </w:tcPr>
          <w:p>
            <w:pPr>
              <w:jc w:val="center"/>
              <w:ind w:right="3090"/>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32-0407370</w:t>
            </w:r>
          </w:p>
        </w:tc>
      </w:tr>
      <w:tr>
        <w:trPr>
          <w:trHeight w:val="216"/>
        </w:trPr>
        <w:tc>
          <w:tcPr>
            <w:tcW w:w="6580" w:type="dxa"/>
            <w:vAlign w:val="bottom"/>
          </w:tcPr>
          <w:p>
            <w:pPr>
              <w:jc w:val="center"/>
              <w:ind w:right="3090"/>
              <w:spacing w:after="0"/>
              <w:rPr>
                <w:sz w:val="20"/>
                <w:szCs w:val="20"/>
                <w:color w:val="auto"/>
              </w:rPr>
            </w:pPr>
            <w:r>
              <w:rPr>
                <w:rFonts w:ascii="Arial" w:cs="Arial" w:eastAsia="Arial" w:hAnsi="Arial"/>
                <w:sz w:val="18"/>
                <w:szCs w:val="18"/>
                <w:color w:val="auto"/>
                <w:w w:val="91"/>
              </w:rPr>
              <w:t>(State or other jurisdiction</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6580" w:type="dxa"/>
            <w:vAlign w:val="bottom"/>
          </w:tcPr>
          <w:p>
            <w:pPr>
              <w:jc w:val="center"/>
              <w:ind w:right="3090"/>
              <w:spacing w:after="0"/>
              <w:rPr>
                <w:sz w:val="20"/>
                <w:szCs w:val="20"/>
                <w:color w:val="auto"/>
              </w:rPr>
            </w:pPr>
            <w:r>
              <w:rPr>
                <w:rFonts w:ascii="Arial" w:cs="Arial" w:eastAsia="Arial" w:hAnsi="Arial"/>
                <w:sz w:val="18"/>
                <w:szCs w:val="18"/>
                <w:color w:val="auto"/>
                <w:w w:val="92"/>
              </w:rPr>
              <w:t>of 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6580" w:type="dxa"/>
            <w:vAlign w:val="bottom"/>
          </w:tcPr>
          <w:p>
            <w:pPr>
              <w:jc w:val="center"/>
              <w:ind w:right="3110"/>
              <w:spacing w:after="0"/>
              <w:rPr>
                <w:sz w:val="20"/>
                <w:szCs w:val="20"/>
                <w:color w:val="auto"/>
              </w:rPr>
            </w:pPr>
            <w:r>
              <w:rPr>
                <w:rFonts w:ascii="Arial" w:cs="Arial" w:eastAsia="Arial" w:hAnsi="Arial"/>
                <w:sz w:val="18"/>
                <w:szCs w:val="18"/>
                <w:b w:val="1"/>
                <w:bCs w:val="1"/>
                <w:color w:val="auto"/>
                <w:w w:val="89"/>
              </w:rPr>
              <w:t>804 Carnegie Center, Princeton, New Jersey</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08540</w:t>
            </w:r>
          </w:p>
        </w:tc>
      </w:tr>
      <w:tr>
        <w:trPr>
          <w:trHeight w:val="230"/>
        </w:trPr>
        <w:tc>
          <w:tcPr>
            <w:tcW w:w="6580" w:type="dxa"/>
            <w:vAlign w:val="bottom"/>
          </w:tcPr>
          <w:p>
            <w:pPr>
              <w:jc w:val="center"/>
              <w:ind w:right="311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445"/>
        </w:trPr>
        <w:tc>
          <w:tcPr>
            <w:tcW w:w="6580" w:type="dxa"/>
            <w:vAlign w:val="bottom"/>
          </w:tcPr>
          <w:p>
            <w:pPr>
              <w:jc w:val="right"/>
              <w:ind w:right="1370"/>
              <w:spacing w:after="0"/>
              <w:rPr>
                <w:sz w:val="20"/>
                <w:szCs w:val="20"/>
                <w:color w:val="auto"/>
              </w:rPr>
            </w:pPr>
            <w:r>
              <w:rPr>
                <w:rFonts w:ascii="Arial" w:cs="Arial" w:eastAsia="Arial" w:hAnsi="Arial"/>
                <w:sz w:val="18"/>
                <w:szCs w:val="18"/>
                <w:b w:val="1"/>
                <w:bCs w:val="1"/>
                <w:color w:val="auto"/>
              </w:rPr>
              <w:t>(609) 524-4500</w:t>
            </w:r>
          </w:p>
        </w:tc>
        <w:tc>
          <w:tcPr>
            <w:tcW w:w="1460" w:type="dxa"/>
            <w:vAlign w:val="bottom"/>
          </w:tcPr>
          <w:p>
            <w:pPr>
              <w:spacing w:after="0"/>
              <w:rPr>
                <w:sz w:val="24"/>
                <w:szCs w:val="24"/>
                <w:color w:val="auto"/>
              </w:rPr>
            </w:pPr>
          </w:p>
        </w:tc>
      </w:tr>
      <w:tr>
        <w:trPr>
          <w:trHeight w:val="230"/>
        </w:trPr>
        <w:tc>
          <w:tcPr>
            <w:tcW w:w="6580" w:type="dxa"/>
            <w:vAlign w:val="bottom"/>
          </w:tcPr>
          <w:p>
            <w:pPr>
              <w:jc w:val="center"/>
              <w:ind w:left="2430"/>
              <w:spacing w:after="0"/>
              <w:rPr>
                <w:sz w:val="20"/>
                <w:szCs w:val="20"/>
                <w:color w:val="auto"/>
              </w:rPr>
            </w:pPr>
            <w:r>
              <w:rPr>
                <w:rFonts w:ascii="Arial" w:cs="Arial" w:eastAsia="Arial" w:hAnsi="Arial"/>
                <w:sz w:val="18"/>
                <w:szCs w:val="18"/>
                <w:color w:val="auto"/>
                <w:w w:val="90"/>
              </w:rPr>
              <w:t>(Registrant’s telephone number, including area code)</w:t>
            </w:r>
          </w:p>
        </w:tc>
        <w:tc>
          <w:tcPr>
            <w:tcW w:w="1460" w:type="dxa"/>
            <w:vAlign w:val="bottom"/>
          </w:tcPr>
          <w:p>
            <w:pPr>
              <w:spacing w:after="0"/>
              <w:rPr>
                <w:sz w:val="20"/>
                <w:szCs w:val="20"/>
                <w:color w:val="auto"/>
              </w:rPr>
            </w:pPr>
          </w:p>
        </w:tc>
      </w:tr>
    </w:tbl>
    <w:p>
      <w:pPr>
        <w:spacing w:after="0" w:line="98"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 </w:t>
      </w:r>
      <w:r>
        <w:rPr>
          <w:rFonts w:ascii="Arial" w:cs="Arial" w:eastAsia="Arial" w:hAnsi="Arial"/>
          <w:sz w:val="16"/>
          <w:szCs w:val="16"/>
          <w:b w:val="1"/>
          <w:bCs w:val="1"/>
          <w:color w:val="auto"/>
        </w:rPr>
        <w:t>Yes</w:t>
      </w:r>
      <w:r>
        <w:rPr>
          <w:rFonts w:ascii="Arial" w:cs="Arial" w:eastAsia="Arial" w:hAnsi="Arial"/>
          <w:sz w:val="16"/>
          <w:szCs w:val="16"/>
          <w:color w:val="auto"/>
        </w:rPr>
        <w:t xml:space="preserve"> o </w:t>
      </w:r>
      <w:r>
        <w:rPr>
          <w:rFonts w:ascii="Arial" w:cs="Arial" w:eastAsia="Arial" w:hAnsi="Arial"/>
          <w:sz w:val="16"/>
          <w:szCs w:val="16"/>
          <w:b w:val="1"/>
          <w:bCs w:val="1"/>
          <w:color w:val="auto"/>
        </w:rPr>
        <w:t>No</w:t>
      </w:r>
      <w:r>
        <w:rPr>
          <w:rFonts w:ascii="Arial" w:cs="Arial" w:eastAsia="Arial" w:hAnsi="Arial"/>
          <w:sz w:val="16"/>
          <w:szCs w:val="16"/>
          <w:color w:val="auto"/>
        </w:rPr>
        <w:t xml:space="preserve"> o</w:t>
      </w:r>
    </w:p>
    <w:p>
      <w:pPr>
        <w:spacing w:after="0" w:line="84"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o</w:t>
      </w:r>
    </w:p>
    <w:p>
      <w:pPr>
        <w:spacing w:after="0" w:line="75"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p>
      <w:pPr>
        <w:ind w:left="300"/>
        <w:spacing w:after="0"/>
        <w:tabs>
          <w:tab w:leader="none" w:pos="2480" w:val="left"/>
          <w:tab w:leader="none" w:pos="4400" w:val="left"/>
          <w:tab w:leader="none" w:pos="6700" w:val="left"/>
          <w:tab w:leader="none" w:pos="9260" w:val="left"/>
        </w:tabs>
        <w:rPr>
          <w:sz w:val="20"/>
          <w:szCs w:val="20"/>
          <w:color w:val="auto"/>
        </w:rPr>
      </w:pPr>
      <w:r>
        <w:rPr>
          <w:rFonts w:ascii="Arial" w:cs="Arial" w:eastAsia="Arial" w:hAnsi="Arial"/>
          <w:sz w:val="14"/>
          <w:szCs w:val="14"/>
          <w:b w:val="1"/>
          <w:bCs w:val="1"/>
          <w:color w:val="auto"/>
        </w:rPr>
        <w:t xml:space="preserve">Large 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 xml:space="preserve">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Non-accelerated filer x</w:t>
      </w:r>
      <w:r>
        <w:rPr>
          <w:sz w:val="20"/>
          <w:szCs w:val="20"/>
          <w:color w:val="auto"/>
        </w:rPr>
        <w:tab/>
      </w:r>
      <w:r>
        <w:rPr>
          <w:rFonts w:ascii="Arial" w:cs="Arial" w:eastAsia="Arial" w:hAnsi="Arial"/>
          <w:sz w:val="14"/>
          <w:szCs w:val="14"/>
          <w:b w:val="1"/>
          <w:bCs w:val="1"/>
          <w:color w:val="auto"/>
        </w:rPr>
        <w:t xml:space="preserve">Smaller reporting company </w:t>
      </w:r>
      <w:r>
        <w:rPr>
          <w:rFonts w:ascii="Arial" w:cs="Arial" w:eastAsia="Arial" w:hAnsi="Arial"/>
          <w:sz w:val="14"/>
          <w:szCs w:val="14"/>
          <w:color w:val="auto"/>
        </w:rPr>
        <w:t>o</w:t>
      </w:r>
      <w:r>
        <w:rPr>
          <w:sz w:val="20"/>
          <w:szCs w:val="20"/>
          <w:color w:val="auto"/>
        </w:rPr>
        <w:tab/>
      </w:r>
      <w:r>
        <w:rPr>
          <w:rFonts w:ascii="Arial" w:cs="Arial" w:eastAsia="Arial" w:hAnsi="Arial"/>
          <w:sz w:val="12"/>
          <w:szCs w:val="12"/>
          <w:b w:val="1"/>
          <w:bCs w:val="1"/>
          <w:color w:val="auto"/>
        </w:rPr>
        <w:t xml:space="preserve">Emerging growth company </w:t>
      </w:r>
      <w:r>
        <w:rPr>
          <w:rFonts w:ascii="Arial" w:cs="Arial" w:eastAsia="Arial" w:hAnsi="Arial"/>
          <w:sz w:val="12"/>
          <w:szCs w:val="12"/>
          <w:color w:val="auto"/>
        </w:rPr>
        <w:t>o</w:t>
      </w:r>
    </w:p>
    <w:p>
      <w:pPr>
        <w:spacing w:after="0" w:line="45" w:lineRule="exact"/>
        <w:rPr>
          <w:sz w:val="24"/>
          <w:szCs w:val="24"/>
          <w:color w:val="auto"/>
        </w:rPr>
      </w:pPr>
    </w:p>
    <w:p>
      <w:pPr>
        <w:jc w:val="center"/>
        <w:ind w:right="1200"/>
        <w:spacing w:after="0"/>
        <w:rPr>
          <w:sz w:val="20"/>
          <w:szCs w:val="20"/>
          <w:color w:val="auto"/>
        </w:rPr>
      </w:pPr>
      <w:r>
        <w:rPr>
          <w:rFonts w:ascii="Arial" w:cs="Arial" w:eastAsia="Arial" w:hAnsi="Arial"/>
          <w:sz w:val="14"/>
          <w:szCs w:val="14"/>
          <w:color w:val="auto"/>
        </w:rPr>
        <w:t>(Do not check if a smaller reporting</w:t>
      </w:r>
    </w:p>
    <w:p>
      <w:pPr>
        <w:jc w:val="center"/>
        <w:ind w:right="1200"/>
        <w:spacing w:after="0"/>
        <w:rPr>
          <w:sz w:val="20"/>
          <w:szCs w:val="20"/>
          <w:color w:val="auto"/>
        </w:rPr>
      </w:pPr>
      <w:r>
        <w:rPr>
          <w:rFonts w:ascii="Arial" w:cs="Arial" w:eastAsia="Arial" w:hAnsi="Arial"/>
          <w:sz w:val="14"/>
          <w:szCs w:val="14"/>
          <w:color w:val="auto"/>
        </w:rPr>
        <w:t>company)</w:t>
      </w:r>
    </w:p>
    <w:p>
      <w:pPr>
        <w:spacing w:after="0" w:line="79" w:lineRule="exact"/>
        <w:rPr>
          <w:sz w:val="24"/>
          <w:szCs w:val="24"/>
          <w:color w:val="auto"/>
        </w:rPr>
      </w:pPr>
    </w:p>
    <w:p>
      <w:pPr>
        <w:jc w:val="both"/>
        <w:ind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5"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09" w:lineRule="exact"/>
        <w:rPr>
          <w:sz w:val="24"/>
          <w:szCs w:val="24"/>
          <w:color w:val="auto"/>
        </w:rPr>
      </w:pPr>
    </w:p>
    <w:p>
      <w:pPr>
        <w:ind w:left="5240"/>
        <w:spacing w:after="0"/>
        <w:tabs>
          <w:tab w:leader="none" w:pos="586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17" w:lineRule="exact"/>
        <w:rPr>
          <w:sz w:val="24"/>
          <w:szCs w:val="24"/>
          <w:color w:val="auto"/>
        </w:rPr>
      </w:pPr>
    </w:p>
    <w:p>
      <w:pPr>
        <w:jc w:val="both"/>
        <w:ind w:firstLine="270"/>
        <w:spacing w:after="0" w:line="275" w:lineRule="auto"/>
        <w:rPr>
          <w:sz w:val="20"/>
          <w:szCs w:val="20"/>
          <w:color w:val="auto"/>
        </w:rPr>
      </w:pPr>
      <w:r>
        <w:rPr>
          <w:rFonts w:ascii="Arial" w:cs="Arial" w:eastAsia="Arial" w:hAnsi="Arial"/>
          <w:sz w:val="16"/>
          <w:szCs w:val="16"/>
          <w:color w:val="auto"/>
        </w:rPr>
        <w:t>As of July 31, 2018, there were 34,586,250 Class A units outstanding, 42,738,750 Class B units outstanding, 69,129,643 Class C units outstanding, and 42,738,750 Class D units outstanding. There is no public market for the registrant's outstanding units.</w:t>
      </w:r>
    </w:p>
    <w:p>
      <w:pPr>
        <w:spacing w:after="0" w:line="38"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NOTE: WHEREAS NRG YIELD LLC MEETS THE CONDITIONS SET FORTH IN GENERAL INSTRUCTION H(1)(a) AND (b) OF FORM 10-Q, THIS FORM 10-Q IS BEING FILED WITH THE REDUCED DISCLOSURE FORMAT PURSUANT TO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201295</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115570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359"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10"/>
          </w:tcPr>
          <w:p>
            <w:pPr>
              <w:spacing w:after="0"/>
              <w:rPr>
                <w:sz w:val="21"/>
                <w:szCs w:val="21"/>
                <w:color w:val="auto"/>
              </w:rPr>
            </w:pPr>
          </w:p>
        </w:tc>
        <w:tc>
          <w:tcPr>
            <w:tcW w:w="438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ITEM 1 — FINANCIAL STATEMENTS AND NOTES</w:t>
            </w:r>
          </w:p>
        </w:tc>
        <w:tc>
          <w:tcPr>
            <w:tcW w:w="68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240" w:type="dxa"/>
            <w:vAlign w:val="bottom"/>
          </w:tcPr>
          <w:p>
            <w:pPr>
              <w:spacing w:after="0"/>
              <w:rPr>
                <w:sz w:val="21"/>
                <w:szCs w:val="21"/>
                <w:color w:val="auto"/>
              </w:rPr>
            </w:pPr>
          </w:p>
        </w:tc>
        <w:tc>
          <w:tcPr>
            <w:tcW w:w="86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w:t>
            </w: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OPERATIONS</w:t>
            </w:r>
          </w:p>
        </w:tc>
        <w:tc>
          <w:tcPr>
            <w:tcW w:w="878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80" w:type="dxa"/>
            <w:vAlign w:val="bottom"/>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250"/>
        </w:trPr>
        <w:tc>
          <w:tcPr>
            <w:tcW w:w="240" w:type="dxa"/>
            <w:vAlign w:val="bottom"/>
          </w:tcPr>
          <w:p>
            <w:pPr>
              <w:spacing w:after="0"/>
              <w:rPr>
                <w:sz w:val="21"/>
                <w:szCs w:val="21"/>
                <w:color w:val="auto"/>
              </w:rPr>
            </w:pPr>
          </w:p>
        </w:tc>
        <w:tc>
          <w:tcPr>
            <w:tcW w:w="69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ITEM 4 — CONTROLS AND PROCEDURES</w:t>
            </w:r>
          </w:p>
        </w:tc>
        <w:tc>
          <w:tcPr>
            <w:tcW w:w="396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II — OTHER INFORMATION</w:t>
            </w:r>
          </w:p>
        </w:tc>
        <w:tc>
          <w:tcPr>
            <w:tcW w:w="180" w:type="dxa"/>
            <w:vAlign w:val="bottom"/>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5"/>
              </w:rPr>
              <w:t>ITEM 1 — LEGAL PROCEEDINGS</w:t>
            </w:r>
          </w:p>
        </w:tc>
        <w:tc>
          <w:tcPr>
            <w:tcW w:w="822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1A — RISK FACTORS</w:t>
            </w:r>
          </w:p>
        </w:tc>
        <w:tc>
          <w:tcPr>
            <w:tcW w:w="180" w:type="dxa"/>
            <w:vAlign w:val="bottom"/>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40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10340" w:type="dxa"/>
            <w:vAlign w:val="bottom"/>
            <w:gridSpan w:val="18"/>
          </w:tcPr>
          <w:p>
            <w:pPr>
              <w:ind w:left="20"/>
              <w:spacing w:after="0"/>
              <w:rPr>
                <w:sz w:val="20"/>
                <w:szCs w:val="20"/>
                <w:color w:val="auto"/>
              </w:rPr>
            </w:pPr>
            <w:r>
              <w:rPr>
                <w:rFonts w:ascii="Arial" w:cs="Arial" w:eastAsia="Arial" w:hAnsi="Arial"/>
                <w:sz w:val="18"/>
                <w:szCs w:val="18"/>
                <w:color w:val="0000EE"/>
              </w:rPr>
              <w:t>— DEFAULTS UPON SENIOR SECURITIES</w:t>
            </w:r>
          </w:p>
        </w:tc>
        <w:tc>
          <w:tcPr>
            <w:tcW w:w="180" w:type="dxa"/>
            <w:vAlign w:val="bottom"/>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tcBorders>
              <w:top w:val="single" w:sz="8" w:color="0000EE"/>
            </w:tcBorders>
            <w:gridSpan w:val="12"/>
          </w:tcPr>
          <w:p>
            <w:pPr>
              <w:ind w:left="20"/>
              <w:spacing w:after="0"/>
              <w:rPr>
                <w:sz w:val="20"/>
                <w:szCs w:val="20"/>
                <w:color w:val="auto"/>
              </w:rPr>
            </w:pPr>
            <w:r>
              <w:rPr>
                <w:rFonts w:ascii="Arial" w:cs="Arial" w:eastAsia="Arial" w:hAnsi="Arial"/>
                <w:sz w:val="18"/>
                <w:szCs w:val="18"/>
                <w:color w:val="0000EE"/>
              </w:rPr>
              <w:t>— MINE SAFETY DISCLOSURES</w:t>
            </w:r>
          </w:p>
        </w:tc>
        <w:tc>
          <w:tcPr>
            <w:tcW w:w="69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tcBorders>
              <w:top w:val="single" w:sz="8" w:color="0000EE"/>
            </w:tcBorders>
            <w:gridSpan w:val="10"/>
          </w:tcPr>
          <w:p>
            <w:pPr>
              <w:ind w:left="20"/>
              <w:spacing w:after="0"/>
              <w:rPr>
                <w:sz w:val="20"/>
                <w:szCs w:val="20"/>
                <w:color w:val="auto"/>
              </w:rPr>
            </w:pPr>
            <w:r>
              <w:rPr>
                <w:rFonts w:ascii="Arial" w:cs="Arial" w:eastAsia="Arial" w:hAnsi="Arial"/>
                <w:sz w:val="18"/>
                <w:szCs w:val="18"/>
                <w:color w:val="0000EE"/>
              </w:rPr>
              <w:t>— OTHER INFORMATION</w:t>
            </w:r>
          </w:p>
        </w:tc>
        <w:tc>
          <w:tcPr>
            <w:tcW w:w="7660" w:type="dxa"/>
            <w:vAlign w:val="bottom"/>
            <w:gridSpan w:val="8"/>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tcBorders>
              <w:top w:val="single" w:sz="8" w:color="0000EE"/>
            </w:tcBorders>
            <w:gridSpan w:val="8"/>
          </w:tcPr>
          <w:p>
            <w:pPr>
              <w:ind w:left="20"/>
              <w:spacing w:after="0"/>
              <w:rPr>
                <w:sz w:val="20"/>
                <w:szCs w:val="20"/>
                <w:color w:val="auto"/>
              </w:rPr>
            </w:pPr>
            <w:r>
              <w:rPr>
                <w:rFonts w:ascii="Arial" w:cs="Arial" w:eastAsia="Arial" w:hAnsi="Arial"/>
                <w:sz w:val="18"/>
                <w:szCs w:val="18"/>
                <w:color w:val="0000EE"/>
              </w:rPr>
              <w:t>— EXHIBITS</w:t>
            </w:r>
          </w:p>
        </w:tc>
        <w:tc>
          <w:tcPr>
            <w:tcW w:w="8220" w:type="dxa"/>
            <w:vAlign w:val="bottom"/>
            <w:gridSpan w:val="10"/>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250"/>
        </w:trPr>
        <w:tc>
          <w:tcPr>
            <w:tcW w:w="240" w:type="dxa"/>
            <w:vAlign w:val="bottom"/>
          </w:tcPr>
          <w:p>
            <w:pPr>
              <w:spacing w:after="0"/>
              <w:rPr>
                <w:sz w:val="21"/>
                <w:szCs w:val="21"/>
                <w:color w:val="auto"/>
              </w:rPr>
            </w:pPr>
          </w:p>
        </w:tc>
        <w:tc>
          <w:tcPr>
            <w:tcW w:w="11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Borders>
              <w:top w:val="single" w:sz="8" w:color="0000EE"/>
            </w:tcBorders>
          </w:tcPr>
          <w:p>
            <w:pPr>
              <w:spacing w:after="0"/>
              <w:rPr>
                <w:sz w:val="21"/>
                <w:szCs w:val="21"/>
                <w:color w:val="auto"/>
              </w:rPr>
            </w:pPr>
          </w:p>
        </w:tc>
        <w:tc>
          <w:tcPr>
            <w:tcW w:w="9280" w:type="dxa"/>
            <w:vAlign w:val="bottom"/>
            <w:gridSpan w:val="15"/>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r>
      <w:tr>
        <w:trPr>
          <w:trHeight w:val="831"/>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60" w:type="dxa"/>
            <w:vAlign w:val="bottom"/>
            <w:gridSpan w:val="14"/>
          </w:tcPr>
          <w:p>
            <w:pPr>
              <w:ind w:left="47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1067"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This Quarterly Report on Form 10-Q of NRG Yield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of the Company's Annual Report on Form 10-K for the year ended December 31, 2017, as well as the following:</w:t>
      </w:r>
    </w:p>
    <w:p>
      <w:pPr>
        <w:spacing w:after="0" w:line="1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to the Company as a result of the NRG Transaction;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NRG and, following the consummation of the NRG Transaction, the Company's ability to acquire assets under a new right of first offer agreement;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NRG Yield Operating LLC amended and restated revolving credit facility and in the indentures governing the Senior Notes;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6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8620" w:type="dxa"/>
            <w:vAlign w:val="bottom"/>
          </w:tcPr>
          <w:p>
            <w:pPr>
              <w:ind w:left="196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360" w:type="dxa"/>
            <w:vAlign w:val="bottom"/>
            <w:gridSpan w:val="2"/>
          </w:tcPr>
          <w:p>
            <w:pPr>
              <w:ind w:left="24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378"/>
        </w:trPr>
        <w:tc>
          <w:tcPr>
            <w:tcW w:w="2740" w:type="dxa"/>
            <w:vAlign w:val="bottom"/>
          </w:tcPr>
          <w:p>
            <w:pPr>
              <w:spacing w:after="0"/>
              <w:rPr>
                <w:sz w:val="20"/>
                <w:szCs w:val="20"/>
                <w:color w:val="auto"/>
              </w:rPr>
            </w:pPr>
            <w:r>
              <w:rPr>
                <w:rFonts w:ascii="Arial" w:cs="Arial" w:eastAsia="Arial" w:hAnsi="Arial"/>
                <w:sz w:val="18"/>
                <w:szCs w:val="18"/>
                <w:color w:val="auto"/>
              </w:rPr>
              <w:t>2017 Form 10-K</w:t>
            </w: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rPr>
              <w:t>NRG Yield LLC's Annual Report on Form 10-K for the year ended December 31, 2017</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8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2740" w:type="dxa"/>
            <w:vAlign w:val="bottom"/>
          </w:tcPr>
          <w:p>
            <w:pPr>
              <w:spacing w:after="0"/>
              <w:rPr>
                <w:sz w:val="20"/>
                <w:szCs w:val="20"/>
                <w:color w:val="auto"/>
              </w:rPr>
            </w:pPr>
            <w:r>
              <w:rPr>
                <w:rFonts w:ascii="Arial" w:cs="Arial" w:eastAsia="Arial" w:hAnsi="Arial"/>
                <w:sz w:val="18"/>
                <w:szCs w:val="18"/>
                <w:color w:val="auto"/>
              </w:rPr>
              <w:t>2024 Senior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8"/>
              </w:rPr>
              <w:t>$500 million aggregate principal amount of 5.375% unsecured senior notes due 2024, issued by NRG Yield</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2026 Senior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9"/>
              </w:rPr>
              <w:t>$350 million aggregate principal amount of 5.00% unsecured senior notes due 2026, issued by NRG Yield</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Adjusted EBITDA</w:t>
            </w:r>
          </w:p>
        </w:tc>
        <w:tc>
          <w:tcPr>
            <w:tcW w:w="8620" w:type="dxa"/>
            <w:vAlign w:val="bottom"/>
          </w:tcPr>
          <w:p>
            <w:pPr>
              <w:ind w:left="220"/>
              <w:spacing w:after="0"/>
              <w:rPr>
                <w:sz w:val="20"/>
                <w:szCs w:val="20"/>
                <w:color w:val="auto"/>
              </w:rPr>
            </w:pPr>
            <w:r>
              <w:rPr>
                <w:rFonts w:ascii="Arial" w:cs="Arial" w:eastAsia="Arial" w:hAnsi="Arial"/>
                <w:sz w:val="18"/>
                <w:szCs w:val="18"/>
                <w:color w:val="auto"/>
                <w:w w:val="95"/>
              </w:rPr>
              <w:t>Represents EBITDA adjusted for mark-to-market gains or losses, asset write offs and impairments; and factors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which the Company does not consider indicative of future operating performance</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ASC</w:t>
            </w:r>
          </w:p>
        </w:tc>
        <w:tc>
          <w:tcPr>
            <w:tcW w:w="8620" w:type="dxa"/>
            <w:vAlign w:val="bottom"/>
          </w:tcPr>
          <w:p>
            <w:pPr>
              <w:ind w:left="22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ASU</w:t>
            </w:r>
          </w:p>
        </w:tc>
        <w:tc>
          <w:tcPr>
            <w:tcW w:w="8620" w:type="dxa"/>
            <w:vAlign w:val="bottom"/>
          </w:tcPr>
          <w:p>
            <w:pPr>
              <w:ind w:left="22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ATM Program</w:t>
            </w:r>
          </w:p>
        </w:tc>
        <w:tc>
          <w:tcPr>
            <w:tcW w:w="8620" w:type="dxa"/>
            <w:vAlign w:val="bottom"/>
          </w:tcPr>
          <w:p>
            <w:pPr>
              <w:ind w:left="22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August 2017 Drop Down Assets</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The remaining 25% interest in NRG Wind TE Holdco, an 814 net MW portfolio of twelve wind projects, acquired</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from NRG on August 1, 2017</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w w:val="99"/>
              </w:rPr>
              <w:t>Buckthorn Solar Drop Down Asset</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Buckthorn Renewables, LLC, which owns 100% of Buckthorn Solar Portfolio, LLC, which was acquired by NRG</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Yield Operating LLC from NRG on March 30, 2018</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Buffalo Bear</w:t>
            </w:r>
          </w:p>
        </w:tc>
        <w:tc>
          <w:tcPr>
            <w:tcW w:w="8620" w:type="dxa"/>
            <w:vAlign w:val="bottom"/>
          </w:tcPr>
          <w:p>
            <w:pPr>
              <w:ind w:left="220"/>
              <w:spacing w:after="0"/>
              <w:rPr>
                <w:sz w:val="20"/>
                <w:szCs w:val="20"/>
                <w:color w:val="auto"/>
              </w:rPr>
            </w:pPr>
            <w:r>
              <w:rPr>
                <w:rFonts w:ascii="Arial" w:cs="Arial" w:eastAsia="Arial" w:hAnsi="Arial"/>
                <w:sz w:val="18"/>
                <w:szCs w:val="18"/>
                <w:color w:val="auto"/>
              </w:rPr>
              <w:t>Buffalo Bear, LLC, the operating subsidiary of Tapestry Wind LLC, which owns the Buffalo Bear project</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CAFD</w:t>
            </w:r>
          </w:p>
        </w:tc>
        <w:tc>
          <w:tcPr>
            <w:tcW w:w="8620" w:type="dxa"/>
            <w:vAlign w:val="bottom"/>
          </w:tcPr>
          <w:p>
            <w:pPr>
              <w:ind w:left="220"/>
              <w:spacing w:after="0"/>
              <w:rPr>
                <w:sz w:val="20"/>
                <w:szCs w:val="20"/>
                <w:color w:val="auto"/>
              </w:rPr>
            </w:pPr>
            <w:r>
              <w:rPr>
                <w:rFonts w:ascii="Arial" w:cs="Arial" w:eastAsia="Arial" w:hAnsi="Arial"/>
                <w:sz w:val="18"/>
                <w:szCs w:val="18"/>
                <w:color w:val="auto"/>
                <w:w w:val="97"/>
              </w:rPr>
              <w:t>Cash Available for Distribution (CAFD) is Adjusted EBITDA plus cash distributions/return of investment from</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2"/>
              </w:rPr>
              <w:t>unconsolidated affiliates, cash receipts from notes receivable, cash distributions from noncontrolling interests, less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cash distributions to noncontrolling interests, maintenance capital expenditures, pro-rata Adjusted EBITDA from</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5"/>
              </w:rPr>
              <w:t>unconsolidated affiliates, cash interest paid, income taxes paid, principal amortization of indebtedness, Walnut</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Creek investment payments, and changes in prepaid and accrued capacity payments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Company</w:t>
            </w:r>
          </w:p>
        </w:tc>
        <w:tc>
          <w:tcPr>
            <w:tcW w:w="8620" w:type="dxa"/>
            <w:vAlign w:val="bottom"/>
          </w:tcPr>
          <w:p>
            <w:pPr>
              <w:ind w:left="220"/>
              <w:spacing w:after="0"/>
              <w:rPr>
                <w:sz w:val="20"/>
                <w:szCs w:val="20"/>
                <w:color w:val="auto"/>
              </w:rPr>
            </w:pPr>
            <w:r>
              <w:rPr>
                <w:rFonts w:ascii="Arial" w:cs="Arial" w:eastAsia="Arial" w:hAnsi="Arial"/>
                <w:sz w:val="18"/>
                <w:szCs w:val="18"/>
                <w:color w:val="auto"/>
              </w:rPr>
              <w:t>NRG Yield LLC, together with its consolidated subsidiaries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CVSR</w:t>
            </w:r>
          </w:p>
        </w:tc>
        <w:tc>
          <w:tcPr>
            <w:tcW w:w="8620" w:type="dxa"/>
            <w:vAlign w:val="bottom"/>
          </w:tcPr>
          <w:p>
            <w:pPr>
              <w:ind w:left="22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CVSR Drop Down</w:t>
            </w:r>
          </w:p>
        </w:tc>
        <w:tc>
          <w:tcPr>
            <w:tcW w:w="8620" w:type="dxa"/>
            <w:vAlign w:val="bottom"/>
          </w:tcPr>
          <w:p>
            <w:pPr>
              <w:ind w:left="220"/>
              <w:spacing w:after="0"/>
              <w:rPr>
                <w:sz w:val="20"/>
                <w:szCs w:val="20"/>
                <w:color w:val="auto"/>
              </w:rPr>
            </w:pPr>
            <w:r>
              <w:rPr>
                <w:rFonts w:ascii="Arial" w:cs="Arial" w:eastAsia="Arial" w:hAnsi="Arial"/>
                <w:sz w:val="18"/>
                <w:szCs w:val="18"/>
                <w:color w:val="auto"/>
              </w:rPr>
              <w:t>The Company's acquisition from NRG of the remaining 51.05% interest of CVSR Holdco</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CVSR Holdco</w:t>
            </w:r>
          </w:p>
        </w:tc>
        <w:tc>
          <w:tcPr>
            <w:tcW w:w="8620" w:type="dxa"/>
            <w:vAlign w:val="bottom"/>
          </w:tcPr>
          <w:p>
            <w:pPr>
              <w:ind w:left="22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DGPV Holdco 1</w:t>
            </w:r>
          </w:p>
        </w:tc>
        <w:tc>
          <w:tcPr>
            <w:tcW w:w="8620" w:type="dxa"/>
            <w:vAlign w:val="bottom"/>
          </w:tcPr>
          <w:p>
            <w:pPr>
              <w:ind w:left="220"/>
              <w:spacing w:after="0"/>
              <w:rPr>
                <w:sz w:val="20"/>
                <w:szCs w:val="20"/>
                <w:color w:val="auto"/>
              </w:rPr>
            </w:pPr>
            <w:r>
              <w:rPr>
                <w:rFonts w:ascii="Arial" w:cs="Arial" w:eastAsia="Arial" w:hAnsi="Arial"/>
                <w:sz w:val="18"/>
                <w:szCs w:val="18"/>
                <w:color w:val="auto"/>
              </w:rPr>
              <w:t>NRG DGPV Holdco 1 LLC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DGPV Holdco 2</w:t>
            </w:r>
          </w:p>
        </w:tc>
        <w:tc>
          <w:tcPr>
            <w:tcW w:w="8620" w:type="dxa"/>
            <w:vAlign w:val="bottom"/>
          </w:tcPr>
          <w:p>
            <w:pPr>
              <w:ind w:left="220"/>
              <w:spacing w:after="0"/>
              <w:rPr>
                <w:sz w:val="20"/>
                <w:szCs w:val="20"/>
                <w:color w:val="auto"/>
              </w:rPr>
            </w:pPr>
            <w:r>
              <w:rPr>
                <w:rFonts w:ascii="Arial" w:cs="Arial" w:eastAsia="Arial" w:hAnsi="Arial"/>
                <w:sz w:val="18"/>
                <w:szCs w:val="18"/>
                <w:color w:val="auto"/>
              </w:rPr>
              <w:t>NRG DGPV Holdco 2 LLC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DGPV Holdco 3</w:t>
            </w:r>
          </w:p>
        </w:tc>
        <w:tc>
          <w:tcPr>
            <w:tcW w:w="8620" w:type="dxa"/>
            <w:vAlign w:val="bottom"/>
          </w:tcPr>
          <w:p>
            <w:pPr>
              <w:ind w:left="220"/>
              <w:spacing w:after="0"/>
              <w:rPr>
                <w:sz w:val="20"/>
                <w:szCs w:val="20"/>
                <w:color w:val="auto"/>
              </w:rPr>
            </w:pPr>
            <w:r>
              <w:rPr>
                <w:rFonts w:ascii="Arial" w:cs="Arial" w:eastAsia="Arial" w:hAnsi="Arial"/>
                <w:sz w:val="18"/>
                <w:szCs w:val="18"/>
                <w:color w:val="auto"/>
              </w:rPr>
              <w:t>NRG DGPV Holdco 3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Distributed Solar</w:t>
            </w:r>
          </w:p>
        </w:tc>
        <w:tc>
          <w:tcPr>
            <w:tcW w:w="8620" w:type="dxa"/>
            <w:vAlign w:val="bottom"/>
          </w:tcPr>
          <w:p>
            <w:pPr>
              <w:ind w:left="220"/>
              <w:spacing w:after="0"/>
              <w:rPr>
                <w:sz w:val="20"/>
                <w:szCs w:val="20"/>
                <w:color w:val="auto"/>
              </w:rPr>
            </w:pPr>
            <w:r>
              <w:rPr>
                <w:rFonts w:ascii="Arial" w:cs="Arial" w:eastAsia="Arial" w:hAnsi="Arial"/>
                <w:sz w:val="18"/>
                <w:szCs w:val="18"/>
                <w:color w:val="auto"/>
                <w:w w:val="93"/>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Drop Down Assets</w:t>
            </w:r>
          </w:p>
        </w:tc>
        <w:tc>
          <w:tcPr>
            <w:tcW w:w="8620" w:type="dxa"/>
            <w:vAlign w:val="bottom"/>
          </w:tcPr>
          <w:p>
            <w:pPr>
              <w:ind w:left="220"/>
              <w:spacing w:after="0"/>
              <w:rPr>
                <w:sz w:val="20"/>
                <w:szCs w:val="20"/>
                <w:color w:val="auto"/>
              </w:rPr>
            </w:pPr>
            <w:r>
              <w:rPr>
                <w:rFonts w:ascii="Arial" w:cs="Arial" w:eastAsia="Arial" w:hAnsi="Arial"/>
                <w:sz w:val="18"/>
                <w:szCs w:val="18"/>
                <w:color w:val="auto"/>
                <w:w w:val="95"/>
              </w:rPr>
              <w:t>Collectively, the June 2014 Drop Down Assets, January 2015 Drop Down Assets, November 2015 Drop Down</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6"/>
              </w:rPr>
              <w:t>Assets, CVSR Drop Down, March 2017 Drop Down Assets, August 2017 Drop Down Assets, November 2017</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Drop Down Assets and Buckthorn Solar Drop Down Asset</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Economic Gross Margin</w:t>
            </w:r>
          </w:p>
        </w:tc>
        <w:tc>
          <w:tcPr>
            <w:tcW w:w="8620" w:type="dxa"/>
            <w:vAlign w:val="bottom"/>
          </w:tcPr>
          <w:p>
            <w:pPr>
              <w:ind w:left="220"/>
              <w:spacing w:after="0"/>
              <w:rPr>
                <w:sz w:val="20"/>
                <w:szCs w:val="20"/>
                <w:color w:val="auto"/>
              </w:rPr>
            </w:pPr>
            <w:r>
              <w:rPr>
                <w:rFonts w:ascii="Arial" w:cs="Arial" w:eastAsia="Arial" w:hAnsi="Arial"/>
                <w:sz w:val="18"/>
                <w:szCs w:val="18"/>
                <w:color w:val="auto"/>
              </w:rPr>
              <w:t>Energy and capacity revenue less cost of fuels</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El Segundo</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El Segundo Energy Center LLC, the indirect, operating subsidiary of Natural Gas Repowering LLC, which owns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the El Segundo Energy Center project</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EPC</w:t>
            </w:r>
          </w:p>
        </w:tc>
        <w:tc>
          <w:tcPr>
            <w:tcW w:w="8620" w:type="dxa"/>
            <w:vAlign w:val="bottom"/>
          </w:tcPr>
          <w:p>
            <w:pPr>
              <w:ind w:left="220"/>
              <w:spacing w:after="0"/>
              <w:rPr>
                <w:sz w:val="20"/>
                <w:szCs w:val="20"/>
                <w:color w:val="auto"/>
              </w:rPr>
            </w:pPr>
            <w:r>
              <w:rPr>
                <w:rFonts w:ascii="Arial" w:cs="Arial" w:eastAsia="Arial" w:hAnsi="Arial"/>
                <w:sz w:val="18"/>
                <w:szCs w:val="18"/>
                <w:color w:val="auto"/>
              </w:rPr>
              <w:t>Engineering, Procurement and Construction</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Exchange Act</w:t>
            </w:r>
          </w:p>
        </w:tc>
        <w:tc>
          <w:tcPr>
            <w:tcW w:w="8620" w:type="dxa"/>
            <w:vAlign w:val="bottom"/>
          </w:tcPr>
          <w:p>
            <w:pPr>
              <w:ind w:left="22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FASB</w:t>
            </w:r>
          </w:p>
        </w:tc>
        <w:tc>
          <w:tcPr>
            <w:tcW w:w="8620" w:type="dxa"/>
            <w:vAlign w:val="bottom"/>
          </w:tcPr>
          <w:p>
            <w:pPr>
              <w:ind w:left="22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GAAP</w:t>
            </w:r>
          </w:p>
        </w:tc>
        <w:tc>
          <w:tcPr>
            <w:tcW w:w="8620" w:type="dxa"/>
            <w:vAlign w:val="bottom"/>
          </w:tcPr>
          <w:p>
            <w:pPr>
              <w:ind w:left="22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GenConn</w:t>
            </w:r>
          </w:p>
        </w:tc>
        <w:tc>
          <w:tcPr>
            <w:tcW w:w="8620" w:type="dxa"/>
            <w:vAlign w:val="bottom"/>
          </w:tcPr>
          <w:p>
            <w:pPr>
              <w:ind w:left="22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GIP</w:t>
            </w:r>
          </w:p>
        </w:tc>
        <w:tc>
          <w:tcPr>
            <w:tcW w:w="8620" w:type="dxa"/>
            <w:vAlign w:val="bottom"/>
          </w:tcPr>
          <w:p>
            <w:pPr>
              <w:ind w:left="220"/>
              <w:spacing w:after="0"/>
              <w:rPr>
                <w:sz w:val="20"/>
                <w:szCs w:val="20"/>
                <w:color w:val="auto"/>
              </w:rPr>
            </w:pPr>
            <w:r>
              <w:rPr>
                <w:rFonts w:ascii="Arial" w:cs="Arial" w:eastAsia="Arial" w:hAnsi="Arial"/>
                <w:sz w:val="18"/>
                <w:szCs w:val="18"/>
                <w:color w:val="auto"/>
              </w:rPr>
              <w:t>Global Infrastructure Partners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HLBV</w:t>
            </w:r>
          </w:p>
        </w:tc>
        <w:tc>
          <w:tcPr>
            <w:tcW w:w="8620" w:type="dxa"/>
            <w:vAlign w:val="bottom"/>
          </w:tcPr>
          <w:p>
            <w:pPr>
              <w:ind w:left="22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IASB</w:t>
            </w:r>
          </w:p>
        </w:tc>
        <w:tc>
          <w:tcPr>
            <w:tcW w:w="8620" w:type="dxa"/>
            <w:vAlign w:val="bottom"/>
          </w:tcPr>
          <w:p>
            <w:pPr>
              <w:ind w:left="220"/>
              <w:spacing w:after="0"/>
              <w:rPr>
                <w:sz w:val="20"/>
                <w:szCs w:val="20"/>
                <w:color w:val="auto"/>
              </w:rPr>
            </w:pPr>
            <w:r>
              <w:rPr>
                <w:rFonts w:ascii="Arial" w:cs="Arial" w:eastAsia="Arial" w:hAnsi="Arial"/>
                <w:sz w:val="18"/>
                <w:szCs w:val="18"/>
                <w:color w:val="auto"/>
              </w:rPr>
              <w:t>International Accounting Standards Board</w:t>
            </w:r>
          </w:p>
        </w:tc>
        <w:tc>
          <w:tcPr>
            <w:tcW w:w="0" w:type="dxa"/>
            <w:vAlign w:val="bottom"/>
          </w:tcPr>
          <w:p>
            <w:pPr>
              <w:spacing w:after="0"/>
              <w:rPr>
                <w:sz w:val="1"/>
                <w:szCs w:val="1"/>
                <w:color w:val="auto"/>
              </w:rPr>
            </w:pP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ISO</w:t>
            </w:r>
          </w:p>
        </w:tc>
        <w:tc>
          <w:tcPr>
            <w:tcW w:w="8620" w:type="dxa"/>
            <w:vAlign w:val="bottom"/>
          </w:tcPr>
          <w:p>
            <w:pPr>
              <w:ind w:left="220"/>
              <w:spacing w:after="0"/>
              <w:rPr>
                <w:sz w:val="20"/>
                <w:szCs w:val="20"/>
                <w:color w:val="auto"/>
              </w:rPr>
            </w:pPr>
            <w:r>
              <w:rPr>
                <w:rFonts w:ascii="Arial" w:cs="Arial" w:eastAsia="Arial" w:hAnsi="Arial"/>
                <w:sz w:val="18"/>
                <w:szCs w:val="18"/>
                <w:color w:val="auto"/>
              </w:rPr>
              <w:t>Independent System Operator, also referred to as RTO</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January 2015 Drop Down Assets</w:t>
            </w: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w w:val="93"/>
              </w:rPr>
              <w:t>The Laredo Ridge, Tapestry and Walnut Creek projects, which were acquired by Yield Operating LLC from NRG</w:t>
            </w:r>
          </w:p>
        </w:tc>
        <w:tc>
          <w:tcPr>
            <w:tcW w:w="0" w:type="dxa"/>
            <w:vAlign w:val="bottom"/>
          </w:tcPr>
          <w:p>
            <w:pPr>
              <w:spacing w:after="0"/>
              <w:rPr>
                <w:sz w:val="1"/>
                <w:szCs w:val="1"/>
                <w:color w:val="auto"/>
              </w:rPr>
            </w:pPr>
          </w:p>
        </w:tc>
      </w:tr>
      <w:tr>
        <w:trPr>
          <w:trHeight w:val="67"/>
        </w:trPr>
        <w:tc>
          <w:tcPr>
            <w:tcW w:w="2740" w:type="dxa"/>
            <w:vAlign w:val="bottom"/>
          </w:tcPr>
          <w:p>
            <w:pPr>
              <w:spacing w:after="0"/>
              <w:rPr>
                <w:sz w:val="5"/>
                <w:szCs w:val="5"/>
                <w:color w:val="auto"/>
              </w:rPr>
            </w:pP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on January 2, 2015</w:t>
            </w:r>
          </w:p>
        </w:tc>
        <w:tc>
          <w:tcPr>
            <w:tcW w:w="0" w:type="dxa"/>
            <w:vAlign w:val="bottom"/>
          </w:tcPr>
          <w:p>
            <w:pPr>
              <w:spacing w:after="0"/>
              <w:rPr>
                <w:sz w:val="1"/>
                <w:szCs w:val="1"/>
                <w:color w:val="auto"/>
              </w:rPr>
            </w:pPr>
          </w:p>
        </w:tc>
      </w:tr>
      <w:tr>
        <w:trPr>
          <w:trHeight w:val="337"/>
        </w:trPr>
        <w:tc>
          <w:tcPr>
            <w:tcW w:w="2740" w:type="dxa"/>
            <w:vAlign w:val="bottom"/>
          </w:tcPr>
          <w:p>
            <w:pPr>
              <w:spacing w:after="0"/>
              <w:rPr>
                <w:sz w:val="20"/>
                <w:szCs w:val="20"/>
                <w:color w:val="auto"/>
              </w:rPr>
            </w:pPr>
            <w:r>
              <w:rPr>
                <w:rFonts w:ascii="Arial" w:cs="Arial" w:eastAsia="Arial" w:hAnsi="Arial"/>
                <w:sz w:val="18"/>
                <w:szCs w:val="18"/>
                <w:color w:val="auto"/>
              </w:rPr>
              <w:t>Kansas South</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NRG Solar Kansas South LLC, the operating subsidiary of NRG Solar Kansas South Holdings LLC, which owns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the Kansas South project</w:t>
            </w:r>
          </w:p>
        </w:tc>
        <w:tc>
          <w:tcPr>
            <w:tcW w:w="0" w:type="dxa"/>
            <w:vAlign w:val="bottom"/>
          </w:tcPr>
          <w:p>
            <w:pPr>
              <w:spacing w:after="0"/>
              <w:rPr>
                <w:sz w:val="1"/>
                <w:szCs w:val="1"/>
                <w:color w:val="auto"/>
              </w:rPr>
            </w:pPr>
          </w:p>
        </w:tc>
      </w:tr>
      <w:tr>
        <w:trPr>
          <w:trHeight w:val="486"/>
        </w:trPr>
        <w:tc>
          <w:tcPr>
            <w:tcW w:w="2740" w:type="dxa"/>
            <w:vAlign w:val="bottom"/>
          </w:tcPr>
          <w:p>
            <w:pPr>
              <w:spacing w:after="0"/>
              <w:rPr>
                <w:sz w:val="24"/>
                <w:szCs w:val="24"/>
                <w:color w:val="auto"/>
              </w:rPr>
            </w:pPr>
          </w:p>
        </w:tc>
        <w:tc>
          <w:tcPr>
            <w:tcW w:w="8620" w:type="dxa"/>
            <w:vAlign w:val="bottom"/>
          </w:tcPr>
          <w:p>
            <w:pPr>
              <w:ind w:left="28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742" w:right="259" w:bottom="1440" w:gutter="0" w:footer="0" w:header="0"/>
        </w:sectPr>
      </w:pPr>
    </w:p>
    <w:bookmarkStart w:id="4" w:name="page5"/>
    <w:bookmarkEnd w:id="4"/>
    <w:p>
      <w:pPr>
        <w:spacing w:after="0"/>
        <w:tabs>
          <w:tab w:leader="none" w:pos="2940" w:val="left"/>
        </w:tabs>
        <w:rPr>
          <w:sz w:val="20"/>
          <w:szCs w:val="20"/>
          <w:color w:val="auto"/>
        </w:rPr>
      </w:pPr>
      <w:r>
        <w:rPr>
          <w:rFonts w:ascii="Arial" w:cs="Arial" w:eastAsia="Arial" w:hAnsi="Arial"/>
          <w:sz w:val="18"/>
          <w:szCs w:val="18"/>
          <w:color w:val="auto"/>
        </w:rPr>
        <w:t>KPPH</w:t>
      </w:r>
      <w:r>
        <w:rPr>
          <w:sz w:val="20"/>
          <w:szCs w:val="20"/>
          <w:color w:val="auto"/>
        </w:rPr>
        <w:tab/>
      </w:r>
      <w:r>
        <w:rPr>
          <w:rFonts w:ascii="Arial" w:cs="Arial" w:eastAsia="Arial" w:hAnsi="Arial"/>
          <w:sz w:val="18"/>
          <w:szCs w:val="18"/>
          <w:color w:val="auto"/>
        </w:rPr>
        <w:t>Kilo Pascals Per Hour</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Laredo Ridge</w:t>
      </w:r>
      <w:r>
        <w:rPr>
          <w:sz w:val="20"/>
          <w:szCs w:val="20"/>
          <w:color w:val="auto"/>
        </w:rPr>
        <w:tab/>
      </w:r>
      <w:r>
        <w:rPr>
          <w:rFonts w:ascii="Arial" w:cs="Arial" w:eastAsia="Arial" w:hAnsi="Arial"/>
          <w:sz w:val="17"/>
          <w:szCs w:val="17"/>
          <w:color w:val="auto"/>
        </w:rPr>
        <w:t>Laredo Ridge Wind, LLC, the operating subsidiary of Mission Wind Laredo, LLC, which owns the Laredo Ridge</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project</w:t>
      </w:r>
    </w:p>
    <w:p>
      <w:pPr>
        <w:spacing w:after="0" w:line="49"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LIBOR</w:t>
      </w:r>
      <w:r>
        <w:rPr>
          <w:sz w:val="20"/>
          <w:szCs w:val="20"/>
          <w:color w:val="auto"/>
        </w:rPr>
        <w:tab/>
      </w:r>
      <w:r>
        <w:rPr>
          <w:rFonts w:ascii="Arial" w:cs="Arial" w:eastAsia="Arial" w:hAnsi="Arial"/>
          <w:sz w:val="18"/>
          <w:szCs w:val="18"/>
          <w:color w:val="auto"/>
        </w:rPr>
        <w:t>London Inter-Bank Offered Rate</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March 2017 Drop Down Assets</w:t>
      </w:r>
      <w:r>
        <w:rPr>
          <w:sz w:val="20"/>
          <w:szCs w:val="20"/>
          <w:color w:val="auto"/>
        </w:rPr>
        <w:tab/>
      </w:r>
      <w:r>
        <w:rPr>
          <w:rFonts w:ascii="Arial" w:cs="Arial" w:eastAsia="Arial" w:hAnsi="Arial"/>
          <w:sz w:val="16"/>
          <w:szCs w:val="16"/>
          <w:color w:val="auto"/>
        </w:rPr>
        <w:t>(i) Agua Caliente Borrower 2 LLC, which owns a 16% interest (approximately 31% of NRG's 51% interest) in the</w:t>
      </w:r>
    </w:p>
    <w:p>
      <w:pPr>
        <w:spacing w:after="0" w:line="23" w:lineRule="exact"/>
        <w:rPr>
          <w:sz w:val="20"/>
          <w:szCs w:val="20"/>
          <w:color w:val="auto"/>
        </w:rPr>
      </w:pPr>
    </w:p>
    <w:p>
      <w:pPr>
        <w:ind w:left="2960" w:right="20"/>
        <w:spacing w:after="0" w:line="261" w:lineRule="auto"/>
        <w:rPr>
          <w:sz w:val="20"/>
          <w:szCs w:val="20"/>
          <w:color w:val="auto"/>
        </w:rPr>
      </w:pPr>
      <w:r>
        <w:rPr>
          <w:rFonts w:ascii="Arial" w:cs="Arial" w:eastAsia="Arial" w:hAnsi="Arial"/>
          <w:sz w:val="18"/>
          <w:szCs w:val="18"/>
          <w:color w:val="auto"/>
        </w:rPr>
        <w:t>Agua Caliente solar farm and (ii) NRG's 100% ownership in the Class A equity interests in the Utah Solar Portfolio (defined below), both acquired by the Company on March 27, 2017</w:t>
      </w:r>
    </w:p>
    <w:p>
      <w:pPr>
        <w:spacing w:after="0" w:line="22"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Marsh Landing</w:t>
      </w:r>
      <w:r>
        <w:rPr>
          <w:sz w:val="20"/>
          <w:szCs w:val="20"/>
          <w:color w:val="auto"/>
        </w:rPr>
        <w:tab/>
      </w:r>
      <w:r>
        <w:rPr>
          <w:rFonts w:ascii="Arial" w:cs="Arial" w:eastAsia="Arial" w:hAnsi="Arial"/>
          <w:sz w:val="16"/>
          <w:szCs w:val="16"/>
          <w:color w:val="auto"/>
        </w:rPr>
        <w:t>NRG Marsh Landing LLC, formerly GenOn Marsh Landing LLC</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MMBtu</w:t>
      </w:r>
      <w:r>
        <w:rPr>
          <w:sz w:val="20"/>
          <w:szCs w:val="20"/>
          <w:color w:val="auto"/>
        </w:rPr>
        <w:tab/>
      </w:r>
      <w:r>
        <w:rPr>
          <w:rFonts w:ascii="Arial" w:cs="Arial" w:eastAsia="Arial" w:hAnsi="Arial"/>
          <w:sz w:val="18"/>
          <w:szCs w:val="18"/>
          <w:color w:val="auto"/>
        </w:rPr>
        <w:t>Million British Thermal Units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MW</w:t>
      </w:r>
      <w:r>
        <w:rPr>
          <w:sz w:val="20"/>
          <w:szCs w:val="20"/>
          <w:color w:val="auto"/>
        </w:rPr>
        <w:tab/>
      </w:r>
      <w:r>
        <w:rPr>
          <w:rFonts w:ascii="Arial" w:cs="Arial" w:eastAsia="Arial" w:hAnsi="Arial"/>
          <w:sz w:val="18"/>
          <w:szCs w:val="18"/>
          <w:color w:val="auto"/>
        </w:rPr>
        <w:t>Megawatts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MWh</w:t>
      </w:r>
      <w:r>
        <w:rPr>
          <w:sz w:val="20"/>
          <w:szCs w:val="20"/>
          <w:color w:val="auto"/>
        </w:rPr>
        <w:tab/>
      </w:r>
      <w:r>
        <w:rPr>
          <w:rFonts w:ascii="Arial" w:cs="Arial" w:eastAsia="Arial" w:hAnsi="Arial"/>
          <w:sz w:val="18"/>
          <w:szCs w:val="18"/>
          <w:color w:val="auto"/>
        </w:rPr>
        <w:t>Saleable megawatt hours, net of internal/parasitic load megawatt-hours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MWt</w:t>
      </w:r>
      <w:r>
        <w:rPr>
          <w:sz w:val="20"/>
          <w:szCs w:val="20"/>
          <w:color w:val="auto"/>
        </w:rPr>
        <w:tab/>
      </w:r>
      <w:r>
        <w:rPr>
          <w:rFonts w:ascii="Arial" w:cs="Arial" w:eastAsia="Arial" w:hAnsi="Arial"/>
          <w:sz w:val="18"/>
          <w:szCs w:val="18"/>
          <w:color w:val="auto"/>
        </w:rPr>
        <w:t>Megawatts Thermal Equivalent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NECP</w:t>
      </w:r>
      <w:r>
        <w:rPr>
          <w:sz w:val="20"/>
          <w:szCs w:val="20"/>
          <w:color w:val="auto"/>
        </w:rPr>
        <w:tab/>
      </w:r>
      <w:r>
        <w:rPr>
          <w:rFonts w:ascii="Arial" w:cs="Arial" w:eastAsia="Arial" w:hAnsi="Arial"/>
          <w:sz w:val="18"/>
          <w:szCs w:val="18"/>
          <w:color w:val="auto"/>
        </w:rPr>
        <w:t>NRG Energy Center Pittsburgh LLC, a subsidiary of the Company</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NERC</w:t>
      </w:r>
      <w:r>
        <w:rPr>
          <w:sz w:val="20"/>
          <w:szCs w:val="20"/>
          <w:color w:val="auto"/>
        </w:rPr>
        <w:tab/>
      </w:r>
      <w:r>
        <w:rPr>
          <w:rFonts w:ascii="Arial" w:cs="Arial" w:eastAsia="Arial" w:hAnsi="Arial"/>
          <w:sz w:val="18"/>
          <w:szCs w:val="18"/>
          <w:color w:val="auto"/>
        </w:rPr>
        <w:t>North American Electric Reliability Corporation</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Net Exposure</w:t>
      </w:r>
      <w:r>
        <w:rPr>
          <w:sz w:val="20"/>
          <w:szCs w:val="20"/>
          <w:color w:val="auto"/>
        </w:rPr>
        <w:tab/>
      </w:r>
      <w:r>
        <w:rPr>
          <w:rFonts w:ascii="Arial" w:cs="Arial" w:eastAsia="Arial" w:hAnsi="Arial"/>
          <w:sz w:val="16"/>
          <w:szCs w:val="16"/>
          <w:color w:val="auto"/>
        </w:rPr>
        <w:t>Counterparty credit exposure to NRG Yield, Inc. net of collateral</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November 2015 Drop Down Assets</w:t>
      </w:r>
      <w:r>
        <w:rPr>
          <w:sz w:val="20"/>
          <w:szCs w:val="20"/>
          <w:color w:val="auto"/>
        </w:rPr>
        <w:tab/>
      </w:r>
      <w:r>
        <w:rPr>
          <w:rFonts w:ascii="Arial" w:cs="Arial" w:eastAsia="Arial" w:hAnsi="Arial"/>
          <w:sz w:val="16"/>
          <w:szCs w:val="16"/>
          <w:color w:val="auto"/>
        </w:rPr>
        <w:t>75% of the Class B interests of NRG Wind TE Holdco, which owns a portfolio of 12 wind facilities totaling 814 net</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MW, which was acquired by Yield Operating LLC from NRG on November 3, 2015</w:t>
      </w:r>
    </w:p>
    <w:p>
      <w:pPr>
        <w:spacing w:after="0" w:line="49"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November 2017 Drop Down Assets</w:t>
      </w:r>
      <w:r>
        <w:rPr>
          <w:sz w:val="20"/>
          <w:szCs w:val="20"/>
          <w:color w:val="auto"/>
        </w:rPr>
        <w:tab/>
      </w:r>
      <w:r>
        <w:rPr>
          <w:rFonts w:ascii="Arial" w:cs="Arial" w:eastAsia="Arial" w:hAnsi="Arial"/>
          <w:sz w:val="16"/>
          <w:szCs w:val="16"/>
          <w:color w:val="auto"/>
        </w:rPr>
        <w:t>38 MW portfolio of distributed and small utility-scale solar assets, primarily comprised of assets from NRG's Solar</w:t>
      </w:r>
    </w:p>
    <w:p>
      <w:pPr>
        <w:spacing w:after="0" w:line="23" w:lineRule="exact"/>
        <w:rPr>
          <w:sz w:val="20"/>
          <w:szCs w:val="20"/>
          <w:color w:val="auto"/>
        </w:rPr>
      </w:pPr>
    </w:p>
    <w:p>
      <w:pPr>
        <w:ind w:left="2960" w:right="20"/>
        <w:spacing w:after="0" w:line="261" w:lineRule="auto"/>
        <w:rPr>
          <w:sz w:val="20"/>
          <w:szCs w:val="20"/>
          <w:color w:val="auto"/>
        </w:rPr>
      </w:pPr>
      <w:r>
        <w:rPr>
          <w:rFonts w:ascii="Arial" w:cs="Arial" w:eastAsia="Arial" w:hAnsi="Arial"/>
          <w:sz w:val="18"/>
          <w:szCs w:val="18"/>
          <w:color w:val="auto"/>
        </w:rPr>
        <w:t>Power Partners (SPP) funds, in addition to other projects developed since the acquisition of SPP by NRG, which was acquired by NRG Yield Operating LLC from NRG on November 1, 2017</w:t>
      </w:r>
    </w:p>
    <w:p>
      <w:pPr>
        <w:sectPr>
          <w:pgSz w:w="11900" w:h="16838" w:orient="portrait"/>
          <w:cols w:equalWidth="0" w:num="1">
            <w:col w:w="11360"/>
          </w:cols>
          <w:pgMar w:left="280" w:top="908" w:right="25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NRG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NRG Power Marketing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NRG Transaction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NRG Energy,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NRG Power Marketing LLC</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6, 2018, GIP entered into a purchase and sale agreement with NRG for the acquisition of NRG's full ownership interest in the Company and NRG's renewable energy development and operations platform. GIP, NRG and the Company also entered into a consent and indemnity agreement in connection with the purchase and sale agreement.</w:t>
      </w:r>
    </w:p>
    <w:p>
      <w:pPr>
        <w:spacing w:after="0" w:line="10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tabs>
          <w:tab w:leader="none" w:pos="2940" w:val="left"/>
        </w:tabs>
        <w:rPr>
          <w:sz w:val="20"/>
          <w:szCs w:val="20"/>
          <w:color w:val="auto"/>
        </w:rPr>
      </w:pPr>
      <w:r>
        <w:rPr>
          <w:rFonts w:ascii="Arial" w:cs="Arial" w:eastAsia="Arial" w:hAnsi="Arial"/>
          <w:sz w:val="18"/>
          <w:szCs w:val="18"/>
          <w:color w:val="auto"/>
        </w:rPr>
        <w:t>NRG Wind TE Holdco</w:t>
      </w:r>
      <w:r>
        <w:rPr>
          <w:sz w:val="20"/>
          <w:szCs w:val="20"/>
          <w:color w:val="auto"/>
        </w:rPr>
        <w:tab/>
      </w:r>
      <w:r>
        <w:rPr>
          <w:rFonts w:ascii="Arial" w:cs="Arial" w:eastAsia="Arial" w:hAnsi="Arial"/>
          <w:sz w:val="17"/>
          <w:szCs w:val="17"/>
          <w:color w:val="auto"/>
        </w:rPr>
        <w:t>NRG Wind TE Holdco LLC</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OCI/OCL</w:t>
      </w:r>
      <w:r>
        <w:rPr>
          <w:sz w:val="20"/>
          <w:szCs w:val="20"/>
          <w:color w:val="auto"/>
        </w:rPr>
        <w:tab/>
      </w:r>
      <w:r>
        <w:rPr>
          <w:rFonts w:ascii="Arial" w:cs="Arial" w:eastAsia="Arial" w:hAnsi="Arial"/>
          <w:sz w:val="18"/>
          <w:szCs w:val="18"/>
          <w:color w:val="auto"/>
        </w:rPr>
        <w:t>Other comprehensive income/loss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O&amp;M</w:t>
      </w:r>
      <w:r>
        <w:rPr>
          <w:sz w:val="20"/>
          <w:szCs w:val="20"/>
          <w:color w:val="auto"/>
        </w:rPr>
        <w:tab/>
      </w:r>
      <w:r>
        <w:rPr>
          <w:rFonts w:ascii="Arial" w:cs="Arial" w:eastAsia="Arial" w:hAnsi="Arial"/>
          <w:sz w:val="18"/>
          <w:szCs w:val="18"/>
          <w:color w:val="auto"/>
        </w:rPr>
        <w:t>Operation and Maintenance</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Pinnacle</w:t>
      </w:r>
      <w:r>
        <w:rPr>
          <w:sz w:val="20"/>
          <w:szCs w:val="20"/>
          <w:color w:val="auto"/>
        </w:rPr>
        <w:tab/>
      </w:r>
      <w:r>
        <w:rPr>
          <w:rFonts w:ascii="Arial" w:cs="Arial" w:eastAsia="Arial" w:hAnsi="Arial"/>
          <w:sz w:val="18"/>
          <w:szCs w:val="18"/>
          <w:color w:val="auto"/>
        </w:rPr>
        <w:t>Pinnacle Wind, LLC, the operating subsidiary of Tapestry Wind LLC, which owns the Pinnacle project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PPA</w:t>
      </w:r>
      <w:r>
        <w:rPr>
          <w:sz w:val="20"/>
          <w:szCs w:val="20"/>
          <w:color w:val="auto"/>
        </w:rPr>
        <w:tab/>
      </w:r>
      <w:r>
        <w:rPr>
          <w:rFonts w:ascii="Arial" w:cs="Arial" w:eastAsia="Arial" w:hAnsi="Arial"/>
          <w:sz w:val="18"/>
          <w:szCs w:val="18"/>
          <w:color w:val="auto"/>
        </w:rPr>
        <w:t>Power Purchase Agreement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ROFO Agreement</w:t>
      </w:r>
      <w:r>
        <w:rPr>
          <w:sz w:val="20"/>
          <w:szCs w:val="20"/>
          <w:color w:val="auto"/>
        </w:rPr>
        <w:tab/>
      </w:r>
      <w:r>
        <w:rPr>
          <w:rFonts w:ascii="Arial" w:cs="Arial" w:eastAsia="Arial" w:hAnsi="Arial"/>
          <w:sz w:val="16"/>
          <w:szCs w:val="16"/>
          <w:color w:val="auto"/>
        </w:rPr>
        <w:t>Second Amended and Restated Right of First Offer Agreement between Yield, Inc. and NRG</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ROFO Assets</w:t>
      </w:r>
      <w:r>
        <w:rPr>
          <w:sz w:val="20"/>
          <w:szCs w:val="20"/>
          <w:color w:val="auto"/>
        </w:rPr>
        <w:tab/>
      </w:r>
      <w:r>
        <w:rPr>
          <w:rFonts w:ascii="Arial" w:cs="Arial" w:eastAsia="Arial" w:hAnsi="Arial"/>
          <w:sz w:val="16"/>
          <w:szCs w:val="16"/>
          <w:color w:val="auto"/>
        </w:rPr>
        <w:t>Specified assets subject to sale, as described in the ROFO Agreement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RPV Holdco</w:t>
      </w:r>
      <w:r>
        <w:rPr>
          <w:sz w:val="20"/>
          <w:szCs w:val="20"/>
          <w:color w:val="auto"/>
        </w:rPr>
        <w:tab/>
      </w:r>
      <w:r>
        <w:rPr>
          <w:rFonts w:ascii="Arial" w:cs="Arial" w:eastAsia="Arial" w:hAnsi="Arial"/>
          <w:sz w:val="17"/>
          <w:szCs w:val="17"/>
          <w:color w:val="auto"/>
        </w:rPr>
        <w:t>NRG RPV Holdco 1 LLC</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RTO</w:t>
      </w:r>
      <w:r>
        <w:rPr>
          <w:sz w:val="20"/>
          <w:szCs w:val="20"/>
          <w:color w:val="auto"/>
        </w:rPr>
        <w:tab/>
      </w:r>
      <w:r>
        <w:rPr>
          <w:rFonts w:ascii="Arial" w:cs="Arial" w:eastAsia="Arial" w:hAnsi="Arial"/>
          <w:sz w:val="18"/>
          <w:szCs w:val="18"/>
          <w:color w:val="auto"/>
        </w:rPr>
        <w:t>Regional Transmission Originator</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SEC</w:t>
      </w:r>
      <w:r>
        <w:rPr>
          <w:sz w:val="20"/>
          <w:szCs w:val="20"/>
          <w:color w:val="auto"/>
        </w:rPr>
        <w:tab/>
      </w:r>
      <w:r>
        <w:rPr>
          <w:rFonts w:ascii="Arial" w:cs="Arial" w:eastAsia="Arial" w:hAnsi="Arial"/>
          <w:sz w:val="18"/>
          <w:szCs w:val="18"/>
          <w:color w:val="auto"/>
        </w:rPr>
        <w:t>U.S. Securities and Exchange Commission</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Senior Notes</w:t>
      </w:r>
      <w:r>
        <w:rPr>
          <w:sz w:val="20"/>
          <w:szCs w:val="20"/>
          <w:color w:val="auto"/>
        </w:rPr>
        <w:tab/>
      </w:r>
      <w:r>
        <w:rPr>
          <w:rFonts w:ascii="Arial" w:cs="Arial" w:eastAsia="Arial" w:hAnsi="Arial"/>
          <w:sz w:val="16"/>
          <w:szCs w:val="16"/>
          <w:color w:val="auto"/>
        </w:rPr>
        <w:t>Collectively, the 2024 Senior Notes and the 2026 Senior Notes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SPP</w:t>
      </w:r>
      <w:r>
        <w:rPr>
          <w:sz w:val="20"/>
          <w:szCs w:val="20"/>
          <w:color w:val="auto"/>
        </w:rPr>
        <w:tab/>
      </w:r>
      <w:r>
        <w:rPr>
          <w:rFonts w:ascii="Arial" w:cs="Arial" w:eastAsia="Arial" w:hAnsi="Arial"/>
          <w:sz w:val="18"/>
          <w:szCs w:val="18"/>
          <w:color w:val="auto"/>
        </w:rPr>
        <w:t>Solar Power Partners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Taloga</w:t>
      </w:r>
      <w:r>
        <w:rPr>
          <w:sz w:val="20"/>
          <w:szCs w:val="20"/>
          <w:color w:val="auto"/>
        </w:rPr>
        <w:tab/>
      </w:r>
      <w:r>
        <w:rPr>
          <w:rFonts w:ascii="Arial" w:cs="Arial" w:eastAsia="Arial" w:hAnsi="Arial"/>
          <w:sz w:val="18"/>
          <w:szCs w:val="18"/>
          <w:color w:val="auto"/>
        </w:rPr>
        <w:t>Taloga Wind, LLC, the operating subsidiary of Tapestry Wind LLC, which owns the Taloga project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Tapestry</w:t>
      </w:r>
      <w:r>
        <w:rPr>
          <w:sz w:val="20"/>
          <w:szCs w:val="20"/>
          <w:color w:val="auto"/>
        </w:rPr>
        <w:tab/>
      </w:r>
      <w:r>
        <w:rPr>
          <w:rFonts w:ascii="Arial" w:cs="Arial" w:eastAsia="Arial" w:hAnsi="Arial"/>
          <w:sz w:val="18"/>
          <w:szCs w:val="18"/>
          <w:color w:val="auto"/>
        </w:rPr>
        <w:t>Collection of the Pinnacle, Buffalo Bear and Taloga projects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Tax Act</w:t>
      </w:r>
      <w:r>
        <w:rPr>
          <w:sz w:val="20"/>
          <w:szCs w:val="20"/>
          <w:color w:val="auto"/>
        </w:rPr>
        <w:tab/>
      </w:r>
      <w:r>
        <w:rPr>
          <w:rFonts w:ascii="Arial" w:cs="Arial" w:eastAsia="Arial" w:hAnsi="Arial"/>
          <w:sz w:val="16"/>
          <w:szCs w:val="16"/>
          <w:color w:val="auto"/>
        </w:rPr>
        <w:t>Tax Cuts and Jobs Act of 2017</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Thermal Business</w:t>
      </w:r>
      <w:r>
        <w:rPr>
          <w:sz w:val="20"/>
          <w:szCs w:val="20"/>
          <w:color w:val="auto"/>
        </w:rPr>
        <w:tab/>
      </w:r>
      <w:r>
        <w:rPr>
          <w:rFonts w:ascii="Arial" w:cs="Arial" w:eastAsia="Arial" w:hAnsi="Arial"/>
          <w:sz w:val="17"/>
          <w:szCs w:val="17"/>
          <w:color w:val="auto"/>
        </w:rPr>
        <w:t>The Company's thermal business, which consists of thermal infrastructure assets that provide steam, hot water</w:t>
      </w:r>
    </w:p>
    <w:p>
      <w:pPr>
        <w:spacing w:after="0" w:line="23" w:lineRule="exact"/>
        <w:rPr>
          <w:sz w:val="20"/>
          <w:szCs w:val="20"/>
          <w:color w:val="auto"/>
        </w:rPr>
      </w:pPr>
    </w:p>
    <w:p>
      <w:pPr>
        <w:ind w:left="2960" w:right="20"/>
        <w:spacing w:after="0" w:line="261" w:lineRule="auto"/>
        <w:rPr>
          <w:sz w:val="20"/>
          <w:szCs w:val="20"/>
          <w:color w:val="auto"/>
        </w:rPr>
      </w:pPr>
      <w:r>
        <w:rPr>
          <w:rFonts w:ascii="Arial" w:cs="Arial" w:eastAsia="Arial" w:hAnsi="Arial"/>
          <w:sz w:val="18"/>
          <w:szCs w:val="18"/>
          <w:color w:val="auto"/>
        </w:rPr>
        <w:t>and/or chilled water, and in some instances electricity, to commercial businesses, universities, hospitals and governmental units</w:t>
      </w:r>
    </w:p>
    <w:p>
      <w:pPr>
        <w:spacing w:after="0" w:line="22"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Third Amendment</w:t>
      </w:r>
      <w:r>
        <w:rPr>
          <w:sz w:val="20"/>
          <w:szCs w:val="20"/>
          <w:color w:val="auto"/>
        </w:rPr>
        <w:tab/>
      </w:r>
      <w:r>
        <w:rPr>
          <w:rFonts w:ascii="Arial" w:cs="Arial" w:eastAsia="Arial" w:hAnsi="Arial"/>
          <w:sz w:val="17"/>
          <w:szCs w:val="17"/>
          <w:color w:val="auto"/>
        </w:rPr>
        <w:t>Third Amendment to Amended and Restated Credit Agreement and Administrative Agent Resignation and</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Appointment Agreement, dated as of April 30, 2018</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908"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UPMC Thermal Project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University of Pittsburgh Medical Center Thermal Project, a 73 MWt district energy system that allows NECP to provide steam, chilled water and 7.5 MW of emergency backup power service to UPMC.</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2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Walnut Creek</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Walnut Creek Energy, LLC, the operating subsidiary of WCEP Holdings, LLC, which owns the Walnut Creek project</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Yield,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Yield, Inc.</w:t>
      </w:r>
    </w:p>
    <w:p>
      <w:pPr>
        <w:spacing w:after="0" w:line="7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Yield Operating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Yield Operating LLC, the holder of the project assets that belong to NRG Yield LLC</w:t>
      </w:r>
    </w:p>
    <w:p>
      <w:pPr>
        <w:spacing w:after="0" w:line="211"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80" w:top="908" w:right="259" w:bottom="1440" w:gutter="0" w:footer="0" w:header="0"/>
          <w:type w:val="continuous"/>
        </w:sectPr>
      </w:pPr>
    </w:p>
    <w:bookmarkStart w:id="6" w:name="page7"/>
    <w:bookmarkEnd w:id="6"/>
    <w:p>
      <w:pPr>
        <w:jc w:val="center"/>
        <w:ind w:right="-91"/>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92"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29"/>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c>
          <w:tcPr>
            <w:tcW w:w="300" w:type="dxa"/>
            <w:vAlign w:val="bottom"/>
          </w:tcPr>
          <w:p>
            <w:pPr>
              <w:spacing w:after="0"/>
              <w:rPr>
                <w:sz w:val="19"/>
                <w:szCs w:val="19"/>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1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40" w:type="dxa"/>
            <w:vAlign w:val="bottom"/>
            <w:gridSpan w:val="2"/>
          </w:tcPr>
          <w:p>
            <w:pPr>
              <w:ind w:left="260"/>
              <w:spacing w:after="0"/>
              <w:rPr>
                <w:sz w:val="20"/>
                <w:szCs w:val="20"/>
                <w:color w:val="auto"/>
              </w:rPr>
            </w:pPr>
            <w:r>
              <w:rPr>
                <w:rFonts w:ascii="Arial" w:cs="Arial" w:eastAsia="Arial" w:hAnsi="Arial"/>
                <w:sz w:val="17"/>
                <w:szCs w:val="17"/>
                <w:color w:val="auto"/>
              </w:rPr>
              <w:t>Total operating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509</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94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162</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r>
      <w:tr>
        <w:trPr>
          <w:trHeight w:val="243"/>
        </w:trPr>
        <w:tc>
          <w:tcPr>
            <w:tcW w:w="20" w:type="dxa"/>
            <w:vAlign w:val="bottom"/>
          </w:tcPr>
          <w:p>
            <w:pPr>
              <w:spacing w:after="0"/>
              <w:rPr>
                <w:sz w:val="21"/>
                <w:szCs w:val="21"/>
                <w:color w:val="auto"/>
              </w:rPr>
            </w:pPr>
          </w:p>
        </w:tc>
        <w:tc>
          <w:tcPr>
            <w:tcW w:w="594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20" w:type="dxa"/>
            <w:vAlign w:val="bottom"/>
          </w:tcPr>
          <w:p>
            <w:pPr>
              <w:spacing w:after="0"/>
              <w:rPr>
                <w:sz w:val="20"/>
                <w:szCs w:val="20"/>
                <w:color w:val="auto"/>
              </w:rPr>
            </w:pPr>
          </w:p>
        </w:tc>
        <w:tc>
          <w:tcPr>
            <w:tcW w:w="5940" w:type="dxa"/>
            <w:vAlign w:val="bottom"/>
            <w:gridSpan w:val="2"/>
          </w:tcPr>
          <w:p>
            <w:pPr>
              <w:ind w:left="260"/>
              <w:spacing w:after="0"/>
              <w:rPr>
                <w:sz w:val="20"/>
                <w:szCs w:val="20"/>
                <w:color w:val="auto"/>
              </w:rPr>
            </w:pPr>
            <w:r>
              <w:rPr>
                <w:rFonts w:ascii="Arial" w:cs="Arial" w:eastAsia="Arial" w:hAnsi="Arial"/>
                <w:sz w:val="17"/>
                <w:szCs w:val="17"/>
                <w:color w:val="auto"/>
              </w:rPr>
              <w:t>Total operating costs and expenses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r>
      <w:tr>
        <w:trPr>
          <w:trHeight w:val="233"/>
        </w:trPr>
        <w:tc>
          <w:tcPr>
            <w:tcW w:w="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7"/>
                <w:szCs w:val="17"/>
                <w:b w:val="1"/>
                <w:bCs w:val="1"/>
                <w:color w:val="auto"/>
              </w:rPr>
              <w:t>Other Income (Expense)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1"/>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3"/>
        </w:trPr>
        <w:tc>
          <w:tcPr>
            <w:tcW w:w="20" w:type="dxa"/>
            <w:vAlign w:val="bottom"/>
          </w:tcPr>
          <w:p>
            <w:pPr>
              <w:spacing w:after="0"/>
              <w:rPr>
                <w:sz w:val="21"/>
                <w:szCs w:val="21"/>
                <w:color w:val="auto"/>
              </w:rPr>
            </w:pPr>
          </w:p>
        </w:tc>
        <w:tc>
          <w:tcPr>
            <w:tcW w:w="594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0" w:type="dxa"/>
            <w:vAlign w:val="bottom"/>
          </w:tcPr>
          <w:p>
            <w:pPr>
              <w:spacing w:after="0"/>
              <w:rPr>
                <w:sz w:val="21"/>
                <w:szCs w:val="21"/>
                <w:color w:val="auto"/>
              </w:rPr>
            </w:pPr>
          </w:p>
        </w:tc>
        <w:tc>
          <w:tcPr>
            <w:tcW w:w="594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Total 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7"/>
        </w:trPr>
        <w:tc>
          <w:tcPr>
            <w:tcW w:w="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Loss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20" w:type="dxa"/>
            <w:vAlign w:val="bottom"/>
          </w:tcPr>
          <w:p>
            <w:pPr>
              <w:spacing w:after="0"/>
              <w:rPr>
                <w:sz w:val="22"/>
                <w:szCs w:val="22"/>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NRG Yield LLC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52" w:hanging="152"/>
        <w:spacing w:after="0"/>
        <w:tabs>
          <w:tab w:leader="none" w:pos="152"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02"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12"/>
          </w:cols>
          <w:pgMar w:left="248" w:top="74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33"/>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Gain (Loss)</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gain (loss) on derivatives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560"/>
              <w:spacing w:after="0"/>
              <w:rPr>
                <w:sz w:val="20"/>
                <w:szCs w:val="20"/>
                <w:color w:val="auto"/>
              </w:rPr>
            </w:pPr>
            <w:r>
              <w:rPr>
                <w:rFonts w:ascii="Arial" w:cs="Arial" w:eastAsia="Arial" w:hAnsi="Arial"/>
                <w:sz w:val="18"/>
                <w:szCs w:val="18"/>
                <w:color w:val="auto"/>
              </w:rPr>
              <w:t>Other comprehensive gain (loss)</w:t>
            </w: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NRG Yield LLC</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8" w:name="page9"/>
    <w:bookmarkEnd w:id="8"/>
    <w:p>
      <w:pPr>
        <w:jc w:val="center"/>
        <w:ind w:right="-11"/>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BALANCE SHEETS</w:t>
      </w:r>
    </w:p>
    <w:p>
      <w:pPr>
        <w:spacing w:after="0" w:line="285" w:lineRule="exact"/>
        <w:rPr>
          <w:sz w:val="20"/>
          <w:szCs w:val="20"/>
          <w:color w:val="auto"/>
        </w:rPr>
      </w:pPr>
    </w:p>
    <w:tbl>
      <w:tblPr>
        <w:tblLayout w:type="fixed"/>
        <w:tblInd w:w="32" w:type="dxa"/>
        <w:tblCellMar>
          <w:top w:w="0" w:type="dxa"/>
          <w:left w:w="0" w:type="dxa"/>
          <w:bottom w:w="0" w:type="dxa"/>
          <w:right w:w="0" w:type="dxa"/>
        </w:tblCellMar>
      </w:tblPr>
      <w:tr>
        <w:trPr>
          <w:trHeight w:val="161"/>
        </w:trPr>
        <w:tc>
          <w:tcPr>
            <w:tcW w:w="7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Pr>
          <w:p>
            <w:pPr>
              <w:spacing w:after="0"/>
              <w:rPr>
                <w:sz w:val="14"/>
                <w:szCs w:val="14"/>
                <w:color w:val="auto"/>
              </w:rPr>
            </w:pPr>
          </w:p>
        </w:tc>
        <w:tc>
          <w:tcPr>
            <w:tcW w:w="1720" w:type="dxa"/>
            <w:vAlign w:val="bottom"/>
          </w:tcPr>
          <w:p>
            <w:pPr>
              <w:jc w:val="right"/>
              <w:ind w:right="231"/>
              <w:spacing w:after="0"/>
              <w:rPr>
                <w:sz w:val="20"/>
                <w:szCs w:val="20"/>
                <w:color w:val="auto"/>
              </w:rPr>
            </w:pPr>
            <w:r>
              <w:rPr>
                <w:rFonts w:ascii="Arial" w:cs="Arial" w:eastAsia="Arial" w:hAnsi="Arial"/>
                <w:sz w:val="14"/>
                <w:szCs w:val="14"/>
                <w:b w:val="1"/>
                <w:bCs w:val="1"/>
                <w:color w:val="auto"/>
                <w:w w:val="98"/>
              </w:rPr>
              <w:t xml:space="preserve">December 31, 2017 </w:t>
            </w:r>
            <w:r>
              <w:rPr>
                <w:rFonts w:ascii="Arial" w:cs="Arial" w:eastAsia="Arial" w:hAnsi="Arial"/>
                <w:sz w:val="8"/>
                <w:szCs w:val="8"/>
                <w:b w:val="1"/>
                <w:bCs w:val="1"/>
                <w:color w:val="auto"/>
                <w:w w:val="98"/>
              </w:rPr>
              <w:t>(a)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840" w:type="dxa"/>
            <w:vAlign w:val="bottom"/>
            <w:vMerge w:val="restart"/>
          </w:tcPr>
          <w:p>
            <w:pPr>
              <w:jc w:val="center"/>
              <w:ind w:right="714"/>
              <w:spacing w:after="0"/>
              <w:rPr>
                <w:sz w:val="20"/>
                <w:szCs w:val="20"/>
                <w:color w:val="auto"/>
              </w:rPr>
            </w:pPr>
            <w:r>
              <w:rPr>
                <w:rFonts w:ascii="Arial" w:cs="Arial" w:eastAsia="Arial" w:hAnsi="Arial"/>
                <w:sz w:val="18"/>
                <w:szCs w:val="18"/>
                <w:b w:val="1"/>
                <w:bCs w:val="1"/>
                <w:color w:val="auto"/>
                <w:w w:val="94"/>
              </w:rPr>
              <w:t>ASSETS</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Notes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Prepayments and other current assets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Equity investments in affiliates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360"/>
              <w:spacing w:after="0"/>
              <w:rPr>
                <w:sz w:val="20"/>
                <w:szCs w:val="20"/>
                <w:color w:val="auto"/>
              </w:rPr>
            </w:pPr>
            <w:r>
              <w:rPr>
                <w:rFonts w:ascii="Arial" w:cs="Arial" w:eastAsia="Arial" w:hAnsi="Arial"/>
                <w:sz w:val="16"/>
                <w:szCs w:val="16"/>
                <w:color w:val="auto"/>
              </w:rPr>
              <w:t>Total other assets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vMerge w:val="restart"/>
          </w:tcPr>
          <w:p>
            <w:pPr>
              <w:jc w:val="center"/>
              <w:ind w:right="714"/>
              <w:spacing w:after="0"/>
              <w:rPr>
                <w:sz w:val="20"/>
                <w:szCs w:val="20"/>
                <w:color w:val="auto"/>
              </w:rPr>
            </w:pPr>
            <w:r>
              <w:rPr>
                <w:rFonts w:ascii="Arial" w:cs="Arial" w:eastAsia="Arial" w:hAnsi="Arial"/>
                <w:sz w:val="16"/>
                <w:szCs w:val="16"/>
                <w:b w:val="1"/>
                <w:bCs w:val="1"/>
                <w:color w:val="auto"/>
              </w:rPr>
              <w:t>LIABILITIES AND MEMBERS' EQUITY</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Current portion of long-term debt — external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 —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Accounts payable — trade</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2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Long-term debt — external</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 —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26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31"/>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Members'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Contributed capital</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334645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52" w:hanging="152"/>
        <w:spacing w:after="0"/>
        <w:tabs>
          <w:tab w:leader="none" w:pos="15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742" w:right="259" w:bottom="977"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7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r>
      <w:tr>
        <w:trPr>
          <w:trHeight w:val="250"/>
        </w:trPr>
        <w:tc>
          <w:tcPr>
            <w:tcW w:w="8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r>
      <w:tr>
        <w:trPr>
          <w:trHeight w:val="25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156</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for debt extinguishment</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Derivative interest (income) expense</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disposal of asset components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working capital</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Acquisition of businesses, net of cash acquired</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the Drop Down Assets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receipts from notes receivable</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Net distributions and return of capital to NRG prior to the acquisition of Drop Down Assets</w:t>
            </w:r>
          </w:p>
        </w:tc>
        <w:tc>
          <w:tcPr>
            <w:tcW w:w="8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Class C units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Payments of distributions, net of contributions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debt issuance costs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the revolving credit facility</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Proceeds from the issuance of long-term debt — external</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99</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long-term debt</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497</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r>
      <w:tr>
        <w:trPr>
          <w:trHeight w:val="20"/>
        </w:trPr>
        <w:tc>
          <w:tcPr>
            <w:tcW w:w="8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 </w:t>
      </w:r>
      <w:r>
        <w:rPr>
          <w:rFonts w:ascii="Arial" w:cs="Arial" w:eastAsia="Arial" w:hAnsi="Arial"/>
          <w:sz w:val="16"/>
          <w:szCs w:val="16"/>
          <w:color w:val="auto"/>
        </w:rPr>
        <w:t>Retrospectively adjusted as discussed in Note 1,</w:t>
      </w:r>
      <w:r>
        <w:rPr>
          <w:rFonts w:ascii="Arial" w:cs="Arial" w:eastAsia="Arial" w:hAnsi="Arial"/>
          <w:sz w:val="11"/>
          <w:szCs w:val="11"/>
          <w:color w:val="auto"/>
        </w:rPr>
        <w:t xml:space="preserve">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NRG Yield LLC, together with its consolidated subsidiaries, or the Company, was formed by NRG as a Delaware limited liability company on March 5, 2013, to serve as the primary vehicle through which NRG owns, operates and acquires contracted renewable and conventional generation and thermal infrastructure assets. NRG owns 100% of NRG Yield LLC's Class B units and Class D units and receives distributions through its ownership of these units. Yield, Inc. owns 100% of NRG Yield LLC's Class A units and Class C units.</w:t>
      </w:r>
    </w:p>
    <w:p>
      <w:pPr>
        <w:spacing w:after="0" w:line="1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7"/>
          <w:szCs w:val="17"/>
          <w:color w:val="231F20"/>
        </w:rPr>
        <w:t>5,118 net MW</w:t>
      </w:r>
      <w:r>
        <w:rPr>
          <w:rFonts w:ascii="Arial" w:cs="Arial" w:eastAsia="Arial" w:hAnsi="Arial"/>
          <w:sz w:val="17"/>
          <w:szCs w:val="17"/>
          <w:color w:val="auto"/>
        </w:rPr>
        <w:t xml:space="preserve"> as of June 30, 2018</w:t>
      </w:r>
      <w:r>
        <w:rPr>
          <w:rFonts w:ascii="Arial" w:cs="Arial" w:eastAsia="Arial" w:hAnsi="Arial"/>
          <w:sz w:val="17"/>
          <w:szCs w:val="17"/>
          <w:color w:val="231F20"/>
        </w:rPr>
        <w:t>. Nearly all</w:t>
      </w:r>
      <w:r>
        <w:rPr>
          <w:rFonts w:ascii="Arial" w:cs="Arial" w:eastAsia="Arial" w:hAnsi="Arial"/>
          <w:sz w:val="17"/>
          <w:szCs w:val="17"/>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7"/>
          <w:szCs w:val="17"/>
          <w:color w:val="231F20"/>
        </w:rPr>
        <w:t>15 years as of</w:t>
      </w:r>
      <w:r>
        <w:rPr>
          <w:rFonts w:ascii="Arial" w:cs="Arial" w:eastAsia="Arial" w:hAnsi="Arial"/>
          <w:sz w:val="17"/>
          <w:szCs w:val="17"/>
          <w:color w:val="auto"/>
        </w:rPr>
        <w:t xml:space="preserve"> June 30, 2018 </w:t>
      </w:r>
      <w:r>
        <w:rPr>
          <w:rFonts w:ascii="Arial" w:cs="Arial" w:eastAsia="Arial" w:hAnsi="Arial"/>
          <w:sz w:val="17"/>
          <w:szCs w:val="17"/>
          <w:color w:val="231F20"/>
        </w:rPr>
        <w:t>based on CAFD. The Company also owns thermal infrastructure assets with an aggregate steam</w:t>
      </w:r>
      <w:r>
        <w:rPr>
          <w:rFonts w:ascii="Arial" w:cs="Arial" w:eastAsia="Arial" w:hAnsi="Arial"/>
          <w:sz w:val="17"/>
          <w:szCs w:val="17"/>
          <w:color w:val="auto"/>
        </w:rPr>
        <w:t xml:space="preserve"> </w:t>
      </w:r>
      <w:r>
        <w:rPr>
          <w:rFonts w:ascii="Arial" w:cs="Arial" w:eastAsia="Arial" w:hAnsi="Arial"/>
          <w:sz w:val="17"/>
          <w:szCs w:val="17"/>
          <w:color w:val="231F20"/>
        </w:rPr>
        <w:t>and chilled water capacity of 1,392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the structure of the Company as of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83185</wp:posOffset>
            </wp:positionV>
            <wp:extent cx="4673600" cy="3782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73600"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1" w:name="page12"/>
    <w:bookmarkEnd w:id="11"/>
    <w:p>
      <w:pPr>
        <w:jc w:val="both"/>
        <w:ind w:firstLine="392"/>
        <w:spacing w:after="0" w:line="255" w:lineRule="auto"/>
        <w:rPr>
          <w:sz w:val="20"/>
          <w:szCs w:val="20"/>
          <w:color w:val="auto"/>
        </w:rPr>
      </w:pPr>
      <w:r>
        <w:rPr>
          <w:rFonts w:ascii="Arial" w:cs="Arial" w:eastAsia="Arial" w:hAnsi="Arial"/>
          <w:sz w:val="18"/>
          <w:szCs w:val="18"/>
          <w:color w:val="auto"/>
        </w:rPr>
        <w:t>On February 6, 2018, Global Infrastructure Partners, or GIP, entered into a purchase and sale agreement with NRG, or the NRG Transaction, for the acquisition of NRG's full ownership interests in the Company and NRG's renewable development and operations platform. The NRG Transaction is subject to certain closing conditions, including customary legal and regulatory approvals. As of July 31, 2018, all regulatory approvals have been obtained and the Company expects the NRG Transaction to close in the third quarter of 2018. NRG is currently the Company's controlling stockholder and the Company has been highly dependent on NRG for, among other things, growth opportunities and management and administration services. In connection with the NRG Transaction, the Company entered into a Consent and Indemnity Agreement with NRG and GIP setting forth key terms and conditions of the Company's consent to the NRG Transaction.</w:t>
      </w:r>
    </w:p>
    <w:p>
      <w:pPr>
        <w:spacing w:after="0" w:line="135"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 xml:space="preserve">For further discussion of the NRG Transaction, refer to Item 1 -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in the Company's 2017 Form 10-K. For risks related to the NRG Transaction and the Company's relationship with NRG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2017 Form 10-K.</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2018, the Company's operating assets are comprised of the following projects: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 Segundo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GenConn Middletown</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Agua Caliente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Alpine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Avenal</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Avra Valley</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Tucson Electric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Blythe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Borrego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San Diego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CVSR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Desert Sunlight 250</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2034</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Desert Sunlight 300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Kansas South</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Roadrunner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 High Desert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8"/>
                <w:szCs w:val="8"/>
                <w:color w:val="auto"/>
              </w:rPr>
              <w:t>(b) (e)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Distributed Solar</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Apple I LLC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AZ DG Solar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2025 - 2033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SPP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2026 - 2037</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DG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2023 - 2039</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Wind</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III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V</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Buffalo Bear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Western Farmers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Crosswinds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Corn Belt Power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Elkhorn Ridge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Forward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Constellation NewEnergy, Inc.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58"/>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Goat Wind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Dow Pipeline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599"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Hardin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Interstate Power and Light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Laredo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Lookout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Odin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Maryland Department of General Services and</w:t>
            </w: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Pinnacle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San Juan Mesa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Sleeping Bear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South Trent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AEP Energy Partners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Spanish Fork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Taloga</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Oklahoma Gas &amp;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2,200</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Thermal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NRG Energy Center Dover LLC</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Thermal generation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net generation capacity</w:t>
            </w:r>
            <w:r>
              <w:rPr>
                <w:rFonts w:ascii="Arial" w:cs="Arial" w:eastAsia="Arial" w:hAnsi="Arial"/>
                <w:sz w:val="8"/>
                <w:szCs w:val="8"/>
                <w:color w:val="auto"/>
              </w:rPr>
              <w:t>(c)</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5,251</w:t>
            </w:r>
          </w:p>
        </w:tc>
        <w:tc>
          <w:tcPr>
            <w:tcW w:w="1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Thermal equivalent MWt </w:t>
            </w:r>
            <w:r>
              <w:rPr>
                <w:rFonts w:ascii="Arial" w:cs="Arial" w:eastAsia="Arial" w:hAnsi="Arial"/>
                <w:sz w:val="8"/>
                <w:szCs w:val="8"/>
                <w:color w:val="auto"/>
              </w:rPr>
              <w:t>(d)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1,392</w:t>
            </w:r>
          </w:p>
        </w:tc>
        <w:tc>
          <w:tcPr>
            <w:tcW w:w="100" w:type="dxa"/>
            <w:vAlign w:val="bottom"/>
            <w:shd w:val="clear" w:color="auto" w:fill="CCEEFF"/>
          </w:tcPr>
          <w:p>
            <w:pPr>
              <w:spacing w:after="0"/>
              <w:rPr>
                <w:sz w:val="21"/>
                <w:szCs w:val="21"/>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Net capacity represents the maximum, or rated, generating capacity of the facility multiplied by the Company's percentage ownership in the facility as of June 30, 2018.</w:t>
      </w:r>
    </w:p>
    <w:p>
      <w:pPr>
        <w:spacing w:after="0" w:line="10" w:lineRule="exact"/>
        <w:rPr>
          <w:rFonts w:ascii="Arial" w:cs="Arial" w:eastAsia="Arial" w:hAnsi="Arial"/>
          <w:sz w:val="18"/>
          <w:szCs w:val="18"/>
          <w:color w:val="auto"/>
          <w:vertAlign w:val="superscript"/>
        </w:rPr>
      </w:pP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Projects are part of tax equity arrangements</w:t>
      </w:r>
      <w:r>
        <w:rPr>
          <w:rFonts w:ascii="Arial" w:cs="Arial" w:eastAsia="Arial" w:hAnsi="Arial"/>
          <w:sz w:val="15"/>
          <w:szCs w:val="15"/>
          <w:i w:val="1"/>
          <w:iCs w:val="1"/>
          <w:color w:val="auto"/>
        </w:rPr>
        <w:t>.</w:t>
      </w:r>
    </w:p>
    <w:p>
      <w:pPr>
        <w:ind w:right="580" w:firstLine="8"/>
        <w:spacing w:after="0" w:line="232" w:lineRule="auto"/>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The Company's total generation capacity is net of 6 MWs for noncontrolling interest for Spring Canyon II and III. The Company's generation capacity including this noncontrolling interest was 5,257 MWs.</w:t>
      </w:r>
    </w:p>
    <w:p>
      <w:pPr>
        <w:ind w:firstLine="8"/>
        <w:spacing w:after="0" w:line="219"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right="280" w:firstLine="8"/>
        <w:spacing w:after="0" w:line="246"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Represents interests in Four Brothers Solar, LLC, Granite Mountain Holdings, LLC, and Iron Springs Holdings, LLC, all acquired as part of the March 2017 Drop Down Assets (ownership percentage is based upon cash to be distributed).</w:t>
      </w:r>
    </w:p>
    <w:p>
      <w:pPr>
        <w:ind w:left="160" w:hanging="152"/>
        <w:spacing w:after="0" w:line="182" w:lineRule="auto"/>
        <w:tabs>
          <w:tab w:leader="none" w:pos="1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Projects are part of NRG Wind TE Holdco portfolio.</w:t>
      </w:r>
    </w:p>
    <w:p>
      <w:pPr>
        <w:spacing w:after="0" w:line="15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268 MW based on cash to be distributed as of June 30, 2018. For further discussions, see Note 4,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of this Form 10-Q and Note 5,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Accounted for by the Equity Method and Variable Interest Entities </w:t>
      </w:r>
      <w:r>
        <w:rPr>
          <w:rFonts w:ascii="Arial" w:cs="Arial" w:eastAsia="Arial" w:hAnsi="Arial"/>
          <w:sz w:val="16"/>
          <w:szCs w:val="16"/>
          <w:color w:val="auto"/>
        </w:rPr>
        <w:t>to the consolidated financial statements included in the Company's 2017 Form 10-K.</w:t>
      </w:r>
    </w:p>
    <w:p>
      <w:pPr>
        <w:spacing w:after="0" w:line="10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Recast of the Historical Financial Statements</w:t>
      </w:r>
    </w:p>
    <w:p>
      <w:pPr>
        <w:spacing w:after="0" w:line="171"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 xml:space="preserve">As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30, 2018, the Company acquired 100% of NRG's interests in Buckthorn Renewables, LLC, which owned a 154 MW construction-stage utility-scale solar generation project, or the Buckthorn Solar Drop Down Asset, for cash consideration of approximately $42 million, subject to working capital adjustments, plus assumed non-recourse debt of approximately $183 million and non-controlling interest of $19 million (as of the acquisition date) attributable to the Class A member. On May 31, 2018, $132 million of non-recourse debt was converted to a term loan with an expected maturity of May 2025, and the remainder of the non-recourse debt was repaid with the final proceeds from the Class A member upon the project reaching substantial completion in May 2018. The purchase price was funded with cash on hand and borrowings from the revolving credit facility.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88" w:right="239" w:bottom="1440" w:gutter="0" w:footer="0" w:header="0"/>
        </w:sectPr>
      </w:pPr>
    </w:p>
    <w:bookmarkStart w:id="13" w:name="page14"/>
    <w:bookmarkEnd w:id="13"/>
    <w:p>
      <w:pPr>
        <w:jc w:val="both"/>
        <w:ind w:firstLine="392"/>
        <w:spacing w:after="0" w:line="286" w:lineRule="auto"/>
        <w:rPr>
          <w:sz w:val="20"/>
          <w:szCs w:val="20"/>
          <w:color w:val="auto"/>
        </w:rPr>
      </w:pPr>
      <w:r>
        <w:rPr>
          <w:rFonts w:ascii="Arial" w:cs="Arial" w:eastAsia="Arial" w:hAnsi="Arial"/>
          <w:sz w:val="17"/>
          <w:szCs w:val="17"/>
          <w:color w:val="auto"/>
        </w:rPr>
        <w:t>The acquisition of the Buckthorn Solar Drop Down Asset was accounted for as a transfer of entities under common control. The accounting guidance requires retrospective combination of the entities for all periods presented as if the combinations had been in effect from the beginning of the financial statement period or from the date the entities were under common control (if later than the beginning of the financial statement period).</w:t>
      </w:r>
    </w:p>
    <w:p>
      <w:pPr>
        <w:spacing w:after="0" w:line="111"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 xml:space="preserve">Additionally, as described in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during the year ended December 31, 2017, the Company acquired the November 2017 Drop Down Assets and August 2017 Drop Down Assets from NRG. Similarly to the Buckthorn Solar Drop Down Asset, the Company recast its historical financial statements to combine the entities for the periods presented as if the combinations had been in effect from the beginning of the financial statements period.</w:t>
      </w:r>
    </w:p>
    <w:p>
      <w:pPr>
        <w:spacing w:after="0" w:line="93"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2017 Form 10-K. Interim results are not necessarily indicative of results for a full year.</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2018, and the results of operations, comprehensive income (loss) and cash flows for the six months ended June 30, 2018 and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June 30, 2018 and December 31,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377"/>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18"/>
                <w:szCs w:val="18"/>
                <w:color w:val="auto"/>
              </w:rPr>
            </w:pPr>
          </w:p>
        </w:tc>
        <w:tc>
          <w:tcPr>
            <w:tcW w:w="1640" w:type="dxa"/>
            <w:vAlign w:val="bottom"/>
          </w:tcPr>
          <w:p>
            <w:pPr>
              <w:jc w:val="right"/>
              <w:ind w:right="173"/>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80" w:type="dxa"/>
            <w:vAlign w:val="bottom"/>
            <w:gridSpan w:val="3"/>
          </w:tcPr>
          <w:p>
            <w:pPr>
              <w:jc w:val="right"/>
              <w:ind w:right="139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Accumulated Depreciation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1,428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 Accumulated Amortization</w:t>
            </w:r>
          </w:p>
        </w:tc>
        <w:tc>
          <w:tcPr>
            <w:tcW w:w="28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237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reflects the changes in the Company's noncontrolling interest balance: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6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44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Capital contributions from tax equity investors, net of distributions</w:t>
            </w:r>
          </w:p>
        </w:tc>
        <w:tc>
          <w:tcPr>
            <w:tcW w:w="4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Comprehensive loss</w:t>
            </w:r>
          </w:p>
        </w:tc>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4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36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the distributions paid on NRG Yield LLC's Class A, B, C and D units during the six months ended June 30, 2018:</w:t>
      </w:r>
    </w:p>
    <w:p>
      <w:pPr>
        <w:spacing w:after="0" w:line="392"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Second Quarter 2018</w:t>
            </w:r>
          </w:p>
        </w:tc>
        <w:tc>
          <w:tcPr>
            <w:tcW w:w="1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4"/>
                <w:szCs w:val="14"/>
                <w:b w:val="1"/>
                <w:bCs w:val="1"/>
                <w:color w:val="auto"/>
                <w:w w:val="95"/>
              </w:rPr>
              <w:t>First Quarter 2018</w:t>
            </w:r>
          </w:p>
        </w:tc>
      </w:tr>
      <w:tr>
        <w:trPr>
          <w:trHeight w:val="243"/>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B, C and D unit</w:t>
            </w: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0.298</w:t>
            </w:r>
          </w:p>
        </w:tc>
      </w:tr>
      <w:tr>
        <w:trPr>
          <w:trHeight w:val="27"/>
        </w:trPr>
        <w:tc>
          <w:tcPr>
            <w:tcW w:w="63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 July 24, 2018, the Company declared a distribution on its Class A, Class B, Class C and Class D units of $0.320 per unit payable on September 18, 2018 to unit holders of record as of September 4,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 Structure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At-the-Market Equity Offering Program, or the ATM Program</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NRG Yield, Inc. is party to an equity distribution agreement with Barclays Capital Inc., Credit Suisse Securities (USA) LLC, J.P. Morgan Securities LLC and RBC Capital Markets, LLC, as sales agents. Pursuant to the terms of the equity distribution agreement, NRG Yield, Inc. may offer and sell shares of its Class C common stock par value $0.01 per share, from time to time through the sales agents up to an aggregate sales price of $150 million through an at-the-market equity offering program, or the ATM Program. NRG Yield, Inc. may also sell shares of its Class C common stock to any of the sales agents, as principals for its own account, at a price agreed upon at the time of sale.</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Yield, Inc. sold a total of 4,392,583 of Class C common stock for gross proceeds of $77 million during the period ended June 30, 2018, $1 million of which was received in the third quarter of 2018. Yield, Inc. used the net proceeds to acquire 4,392,583 Class C units from the Company. As of July 3, 2018, approximately $38 million remains available for issuance under the ATM Program.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On January 1, 2018, the Company adopted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Thermal Revenues</w:t>
      </w:r>
    </w:p>
    <w:p>
      <w:pPr>
        <w:spacing w:after="0" w:line="104"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i w:val="1"/>
          <w:iCs w:val="1"/>
          <w:color w:val="auto"/>
        </w:rPr>
        <w:t>Power Purchase Agreements, or PPAs</w:t>
      </w:r>
    </w:p>
    <w:p>
      <w:pPr>
        <w:spacing w:after="0" w:line="21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Renewable Energy Credits, or RECs</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stated above, renewable energy credits, or RECs, are usually sold through long-term PPAs. Revenue from the sale of self-generated RECs is recognized when related energy is generated and simultaneously delivered even in cases where there is a certification lag as it has been deemed to be perfunctory.</w:t>
      </w:r>
    </w:p>
    <w:p>
      <w:pPr>
        <w:spacing w:after="0" w:line="10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 of Emission Allowances</w:t>
      </w:r>
    </w:p>
    <w:p>
      <w:pPr>
        <w:spacing w:after="0" w:line="185"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Company records its bank of emission allowances as part of intangible assets. From time to time, management may authorize the transfer of emission allowances in excess of usage from the Company's emission bank to intangible assets held-for-sale for trading purposes. The Company records the sale of emission allowances on a net basis within operating revenue in the Company's consolidated statements of operations.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for the three and six months ended June 30, 2018, along with the reportable segment for each category: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Three months ended June 30, 2018</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52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Conventional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240" w:type="dxa"/>
            <w:vAlign w:val="bottom"/>
          </w:tcPr>
          <w:p>
            <w:pPr>
              <w:spacing w:after="0"/>
              <w:rPr>
                <w:sz w:val="14"/>
                <w:szCs w:val="14"/>
                <w:color w:val="auto"/>
              </w:rPr>
            </w:pPr>
          </w:p>
        </w:tc>
        <w:tc>
          <w:tcPr>
            <w:tcW w:w="11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Thermal</w:t>
            </w:r>
          </w:p>
        </w:tc>
        <w:tc>
          <w:tcPr>
            <w:tcW w:w="460" w:type="dxa"/>
            <w:vAlign w:val="bottom"/>
          </w:tcPr>
          <w:p>
            <w:pPr>
              <w:spacing w:after="0"/>
              <w:rPr>
                <w:sz w:val="14"/>
                <w:szCs w:val="14"/>
                <w:color w:val="auto"/>
              </w:rPr>
            </w:pPr>
          </w:p>
        </w:tc>
        <w:tc>
          <w:tcPr>
            <w:tcW w:w="7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52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Generation</w:t>
            </w:r>
          </w:p>
        </w:tc>
        <w:tc>
          <w:tcPr>
            <w:tcW w:w="3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Contract amortization</w:t>
            </w:r>
          </w:p>
        </w:tc>
        <w:tc>
          <w:tcPr>
            <w:tcW w:w="220" w:type="dxa"/>
            <w:vAlign w:val="bottom"/>
          </w:tcPr>
          <w:p>
            <w:pPr>
              <w:spacing w:after="0"/>
              <w:rPr>
                <w:sz w:val="24"/>
                <w:szCs w:val="24"/>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operating revenue</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Less: Lease revenue</w:t>
            </w:r>
          </w:p>
        </w:tc>
        <w:tc>
          <w:tcPr>
            <w:tcW w:w="220" w:type="dxa"/>
            <w:vAlign w:val="bottom"/>
          </w:tcPr>
          <w:p>
            <w:pPr>
              <w:spacing w:after="0"/>
              <w:rPr>
                <w:sz w:val="24"/>
                <w:szCs w:val="24"/>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Borders>
              <w:bottom w:val="single" w:sz="8" w:color="CCEEFF"/>
            </w:tcBorders>
            <w:shd w:val="clear" w:color="auto" w:fill="CCEEFF"/>
          </w:tcPr>
          <w:p>
            <w:pPr>
              <w:spacing w:after="0"/>
              <w:rPr>
                <w:sz w:val="24"/>
                <w:szCs w:val="24"/>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Less: Contract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6"/>
                <w:szCs w:val="16"/>
                <w:color w:val="auto"/>
              </w:rPr>
              <w:t>Total revenue from contracts with customers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420" w:hanging="169"/>
        <w:spacing w:after="0"/>
        <w:tabs>
          <w:tab w:leader="none" w:pos="420" w:val="left"/>
        </w:tabs>
        <w:numPr>
          <w:ilvl w:val="0"/>
          <w:numId w:val="8"/>
        </w:numPr>
        <w:rPr>
          <w:rFonts w:ascii="Arial" w:cs="Arial" w:eastAsia="Arial" w:hAnsi="Arial"/>
          <w:sz w:val="20"/>
          <w:szCs w:val="20"/>
          <w:color w:val="auto"/>
          <w:vertAlign w:val="superscript"/>
        </w:rPr>
      </w:pPr>
      <w:r>
        <w:rPr>
          <w:rFonts w:ascii="Arial" w:cs="Arial" w:eastAsia="Arial" w:hAnsi="Arial"/>
          <w:sz w:val="13"/>
          <w:szCs w:val="13"/>
          <w:color w:val="auto"/>
        </w:rPr>
        <w:t>The following amounts of energy and capacity revenue relate to leases and are accounted for under ASC 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-141605</wp:posOffset>
            </wp:positionV>
            <wp:extent cx="13804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ind w:left="80"/>
              <w:spacing w:after="0"/>
              <w:rPr>
                <w:sz w:val="20"/>
                <w:szCs w:val="20"/>
                <w:color w:val="auto"/>
              </w:rPr>
            </w:pPr>
            <w:r>
              <w:rPr>
                <w:rFonts w:ascii="Arial" w:cs="Arial" w:eastAsia="Arial" w:hAnsi="Arial"/>
                <w:sz w:val="14"/>
                <w:szCs w:val="14"/>
                <w:b w:val="1"/>
                <w:bCs w:val="1"/>
                <w:color w:val="auto"/>
              </w:rPr>
              <w:t>Conventional Generation</w:t>
            </w:r>
          </w:p>
        </w:tc>
        <w:tc>
          <w:tcPr>
            <w:tcW w:w="4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4"/>
                <w:szCs w:val="14"/>
                <w:color w:val="auto"/>
              </w:rPr>
            </w:pPr>
          </w:p>
        </w:tc>
        <w:tc>
          <w:tcPr>
            <w:tcW w:w="1260" w:type="dxa"/>
            <w:vAlign w:val="bottom"/>
            <w:gridSpan w:val="4"/>
          </w:tcPr>
          <w:p>
            <w:pPr>
              <w:ind w:left="160"/>
              <w:spacing w:after="0"/>
              <w:rPr>
                <w:sz w:val="20"/>
                <w:szCs w:val="20"/>
                <w:color w:val="auto"/>
              </w:rPr>
            </w:pPr>
            <w:r>
              <w:rPr>
                <w:rFonts w:ascii="Arial" w:cs="Arial" w:eastAsia="Arial" w:hAnsi="Arial"/>
                <w:sz w:val="14"/>
                <w:szCs w:val="14"/>
                <w:b w:val="1"/>
                <w:bCs w:val="1"/>
                <w:color w:val="auto"/>
              </w:rPr>
              <w:t>Thermal</w:t>
            </w:r>
          </w:p>
        </w:tc>
        <w:tc>
          <w:tcPr>
            <w:tcW w:w="300" w:type="dxa"/>
            <w:vAlign w:val="bottom"/>
          </w:tcPr>
          <w:p>
            <w:pPr>
              <w:spacing w:after="0"/>
              <w:rPr>
                <w:sz w:val="14"/>
                <w:szCs w:val="14"/>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1"/>
        </w:trPr>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Energy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r>
      <w:tr>
        <w:trPr>
          <w:trHeight w:val="243"/>
        </w:trPr>
        <w:tc>
          <w:tcPr>
            <w:tcW w:w="2100" w:type="dxa"/>
            <w:vAlign w:val="bottom"/>
          </w:tcPr>
          <w:p>
            <w:pPr>
              <w:ind w:left="20"/>
              <w:spacing w:after="0"/>
              <w:rPr>
                <w:sz w:val="20"/>
                <w:szCs w:val="20"/>
                <w:color w:val="auto"/>
              </w:rPr>
            </w:pPr>
            <w:r>
              <w:rPr>
                <w:rFonts w:ascii="Arial" w:cs="Arial" w:eastAsia="Arial" w:hAnsi="Arial"/>
                <w:sz w:val="16"/>
                <w:szCs w:val="16"/>
                <w:color w:val="auto"/>
              </w:rPr>
              <w:t>Capacity Revenue</w:t>
            </w:r>
          </w:p>
        </w:tc>
        <w:tc>
          <w:tcPr>
            <w:tcW w:w="200" w:type="dxa"/>
            <w:vAlign w:val="bottom"/>
          </w:tcPr>
          <w:p>
            <w:pPr>
              <w:spacing w:after="0"/>
              <w:rPr>
                <w:sz w:val="21"/>
                <w:szCs w:val="21"/>
                <w:color w:val="auto"/>
              </w:rPr>
            </w:pPr>
          </w:p>
        </w:tc>
        <w:tc>
          <w:tcPr>
            <w:tcW w:w="1920" w:type="dxa"/>
            <w:vAlign w:val="bottom"/>
            <w:gridSpan w:val="3"/>
          </w:tcPr>
          <w:p>
            <w:pPr>
              <w:jc w:val="right"/>
              <w:ind w:right="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85</w:t>
            </w:r>
          </w:p>
        </w:tc>
      </w:tr>
      <w:tr>
        <w:trPr>
          <w:trHeight w:val="27"/>
        </w:trPr>
        <w:tc>
          <w:tcPr>
            <w:tcW w:w="2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2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r>
      <w:tr>
        <w:trPr>
          <w:trHeight w:val="621"/>
        </w:trPr>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16</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0"/>
              </w:rPr>
              <w:t>Six months ended June 30, 2018</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52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Conventional</w:t>
            </w:r>
          </w:p>
        </w:tc>
        <w:tc>
          <w:tcPr>
            <w:tcW w:w="26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9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Thermal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52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Generation</w:t>
            </w:r>
          </w:p>
        </w:tc>
        <w:tc>
          <w:tcPr>
            <w:tcW w:w="34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(b)</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4"/>
                <w:szCs w:val="24"/>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(b)</w:t>
            </w:r>
          </w:p>
        </w:tc>
        <w:tc>
          <w:tcPr>
            <w:tcW w:w="22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Contract amortization</w:t>
            </w:r>
          </w:p>
        </w:tc>
        <w:tc>
          <w:tcPr>
            <w:tcW w:w="220" w:type="dxa"/>
            <w:vAlign w:val="bottom"/>
          </w:tcPr>
          <w:p>
            <w:pPr>
              <w:spacing w:after="0"/>
              <w:rPr>
                <w:sz w:val="24"/>
                <w:szCs w:val="24"/>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operating revenue</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Less: Lease revenue</w:t>
            </w:r>
          </w:p>
        </w:tc>
        <w:tc>
          <w:tcPr>
            <w:tcW w:w="220" w:type="dxa"/>
            <w:vAlign w:val="bottom"/>
          </w:tcPr>
          <w:p>
            <w:pPr>
              <w:spacing w:after="0"/>
              <w:rPr>
                <w:sz w:val="24"/>
                <w:szCs w:val="24"/>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Borders>
              <w:bottom w:val="single" w:sz="8" w:color="CCEEFF"/>
            </w:tcBorders>
            <w:shd w:val="clear" w:color="auto" w:fill="CCEEFF"/>
          </w:tcPr>
          <w:p>
            <w:pPr>
              <w:spacing w:after="0"/>
              <w:rPr>
                <w:sz w:val="24"/>
                <w:szCs w:val="24"/>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Less: Contract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6"/>
                <w:szCs w:val="16"/>
                <w:color w:val="auto"/>
              </w:rPr>
              <w:t>Total revenue from contracts with customers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163195</wp:posOffset>
            </wp:positionV>
            <wp:extent cx="1389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90" w:lineRule="exact"/>
        <w:rPr>
          <w:sz w:val="20"/>
          <w:szCs w:val="20"/>
          <w:color w:val="auto"/>
        </w:rPr>
      </w:pPr>
    </w:p>
    <w:p>
      <w:pPr>
        <w:ind w:left="420" w:hanging="169"/>
        <w:spacing w:after="0"/>
        <w:tabs>
          <w:tab w:leader="none" w:pos="42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The following amounts of energy and capacity revenue relate to leases and are accounted for under ASC 840:</w:t>
      </w:r>
    </w:p>
    <w:p>
      <w:pPr>
        <w:spacing w:after="0" w:line="204"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Conventional Generation</w:t>
            </w:r>
          </w:p>
        </w:tc>
        <w:tc>
          <w:tcPr>
            <w:tcW w:w="5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8"/>
              </w:rPr>
              <w:t>Renewables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Thermal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Total</w:t>
            </w:r>
          </w:p>
        </w:tc>
      </w:tr>
      <w:tr>
        <w:trPr>
          <w:trHeight w:val="21"/>
        </w:trPr>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Energy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r>
      <w:tr>
        <w:trPr>
          <w:trHeight w:val="243"/>
        </w:trPr>
        <w:tc>
          <w:tcPr>
            <w:tcW w:w="3020" w:type="dxa"/>
            <w:vAlign w:val="bottom"/>
          </w:tcPr>
          <w:p>
            <w:pPr>
              <w:ind w:left="20"/>
              <w:spacing w:after="0"/>
              <w:rPr>
                <w:sz w:val="20"/>
                <w:szCs w:val="20"/>
                <w:color w:val="auto"/>
              </w:rPr>
            </w:pPr>
            <w:r>
              <w:rPr>
                <w:rFonts w:ascii="Arial" w:cs="Arial" w:eastAsia="Arial" w:hAnsi="Arial"/>
                <w:sz w:val="16"/>
                <w:szCs w:val="16"/>
                <w:color w:val="auto"/>
              </w:rPr>
              <w:t>Capacity Revenue</w:t>
            </w:r>
          </w:p>
        </w:tc>
        <w:tc>
          <w:tcPr>
            <w:tcW w:w="300" w:type="dxa"/>
            <w:vAlign w:val="bottom"/>
          </w:tcPr>
          <w:p>
            <w:pPr>
              <w:spacing w:after="0"/>
              <w:rPr>
                <w:sz w:val="21"/>
                <w:szCs w:val="21"/>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r>
      <w:tr>
        <w:trPr>
          <w:trHeight w:val="27"/>
        </w:trPr>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r>
      <w:tr>
        <w:trPr>
          <w:trHeight w:val="27"/>
        </w:trPr>
        <w:tc>
          <w:tcPr>
            <w:tcW w:w="3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Amortization</w:t>
      </w:r>
    </w:p>
    <w:p>
      <w:pPr>
        <w:spacing w:after="0" w:line="14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contract assets and liabilities included on the Company’s balance sheet as of June 30, 2018:</w:t>
      </w:r>
    </w:p>
    <w:p>
      <w:pPr>
        <w:spacing w:after="0" w:line="34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4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30, 2018</w:t>
            </w:r>
          </w:p>
        </w:tc>
      </w:tr>
      <w:tr>
        <w:trPr>
          <w:trHeight w:val="304"/>
        </w:trPr>
        <w:tc>
          <w:tcPr>
            <w:tcW w:w="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Accounts receivable, net - Contracts with customers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r>
      <w:tr>
        <w:trPr>
          <w:trHeight w:val="243"/>
        </w:trPr>
        <w:tc>
          <w:tcPr>
            <w:tcW w:w="20" w:type="dxa"/>
            <w:vAlign w:val="bottom"/>
          </w:tcPr>
          <w:p>
            <w:pPr>
              <w:spacing w:after="0"/>
              <w:rPr>
                <w:sz w:val="21"/>
                <w:szCs w:val="21"/>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Accounts receivable, net - Leases</w:t>
            </w:r>
          </w:p>
        </w:tc>
        <w:tc>
          <w:tcPr>
            <w:tcW w:w="260" w:type="dxa"/>
            <w:vAlign w:val="bottom"/>
          </w:tcPr>
          <w:p>
            <w:pPr>
              <w:spacing w:after="0"/>
              <w:rPr>
                <w:sz w:val="21"/>
                <w:szCs w:val="21"/>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103</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accounts receivable,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prior-year amounts have been reclassified for comparative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 - Not Yet Adopted</w:t>
      </w:r>
    </w:p>
    <w:p>
      <w:pPr>
        <w:spacing w:after="0" w:line="144"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i w:val="1"/>
          <w:iCs w:val="1"/>
          <w:color w:val="auto"/>
        </w:rPr>
        <w:t xml:space="preserve">ASU 2016-02 </w:t>
      </w:r>
      <w:r>
        <w:rPr>
          <w:rFonts w:ascii="Arial" w:cs="Arial" w:eastAsia="Arial" w:hAnsi="Arial"/>
          <w:sz w:val="16"/>
          <w:szCs w:val="16"/>
          <w:color w:val="auto"/>
        </w:rPr>
        <w:t>— In February 2016, the FASB issued ASU No. 2016-02,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(Topic 842), or Topic 842, with the objective to increase transparency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comparability among organizations by recognizing lease 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will adopt the standard effective January 1, 2019 and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While this review is still in process, the Company believes the adoption of Topic 842 may be material to its financial statements. The Company is continuing to monitor potential changes to Topic 842 that have been proposed by the FASB and will assess any necessary changes to the implementation as the guidance is updated.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6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UPMC Thermal Project Asset Acquisition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19, 2018, upon reaching substantial completion, the Company acquired from NRG the UPMC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Thermal Project for cash consideration of $84 million, subject to working capital adjustments. The Company also recorded a payable of $4 million to be paid to NRG upon final completion of the project pursuant to the EPC agreement, as discussed in Note 9,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xml:space="preserve">. The project adds 73 MWt of thermal equivalent capacity and 7.5 MW of emergency backup thermal capacity to the Company's portfolio. The transaction is reflected in the Company's Thermal segment. The acquisition was funded with the proceeds from the sale of the Series E Notes and Series F Notes, as further described in Note 7, </w:t>
      </w:r>
      <w:r>
        <w:rPr>
          <w:rFonts w:ascii="Arial" w:cs="Arial" w:eastAsia="Arial" w:hAnsi="Arial"/>
          <w:sz w:val="17"/>
          <w:szCs w:val="17"/>
          <w:i w:val="1"/>
          <w:iCs w:val="1"/>
          <w:color w:val="auto"/>
        </w:rPr>
        <w:t>Long-term Debt</w:t>
      </w:r>
      <w:r>
        <w:rPr>
          <w:rFonts w:ascii="Arial" w:cs="Arial" w:eastAsia="Arial" w:hAnsi="Arial"/>
          <w:sz w:val="17"/>
          <w:szCs w:val="17"/>
          <w:color w:val="auto"/>
        </w:rPr>
        <w:t>. The assets transferred to the Company relate to interests under common control by NRG and were recorded at book value in accordance with ASC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purchase price and book value of the assets was recorded as a distribution to NRG and decreased the balance of contributed capital. The acquisition was determined to be an asset acquisition and not a business combination, therefore no recast of the historical financial information was deemed necessary.</w:t>
      </w:r>
    </w:p>
    <w:p>
      <w:pPr>
        <w:spacing w:after="0" w:line="120"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i w:val="1"/>
          <w:iCs w:val="1"/>
          <w:color w:val="auto"/>
        </w:rPr>
        <w:t xml:space="preserve">Central CA Fuel Cell 1,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April 18, 2018, the Company acquired the Central CA Fuel Cell 1, LLC project in Tulare, California from FuelCell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Finance, Inc., for cash consideration of $11 million, subject to working capital adjustments. The project adds 2.8 MW of thermal capacity to the Company's portfolio, with a 20-year PPA contract with the City of Tulare. The transaction is reflected in the Company's Thermal segment.</w:t>
      </w:r>
    </w:p>
    <w:p>
      <w:pPr>
        <w:spacing w:after="0" w:line="8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b w:val="1"/>
          <w:bCs w:val="1"/>
          <w:i w:val="1"/>
          <w:iCs w:val="1"/>
          <w:color w:val="auto"/>
        </w:rPr>
        <w:t xml:space="preserve">Buckthorn Solar Drop Down Asset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March 30, 2018, the Company acquired 100% of NRG's interests in Buckthorn Renewables, LLC,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owned a 154 MW construction-stage utility-scale solar generation project located in Texas, or the Buckthorn Solar Drop Down Asset, for cash consideration of approximately $42 million, subject to working capital adjustments. The Company also assumed non-recourse debt of $183 million and non-controlling interest of $19 million (as of acquisition date) attributable to the Class A member, as further described below. The Company converted $132 million of non-recourse debt to a term loan and the remainder of the outstanding debt was paid down with the contribution from 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cash paid and historical value of the entities' equity was recorded as a distribution to NRG and decreased the balance of contributed capital. Since the transaction constituted a transfer of net assets under common control, the guidance requires retrospective combination of the entities for all periods presented as if the combination had been in effect since the inception of common control.</w:t>
      </w:r>
    </w:p>
    <w:p>
      <w:pPr>
        <w:spacing w:after="0" w:line="11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Buckthorn Solar Portfolio, LLC, a wholly owned subsidiary of Buckthorn Renewables, LLC, is the Class B member in a tax equity partnership, Buckthorn Holdings, LLC, the owner of the Buckthorn Solar Drop Down Asset. The Class A member is a tax equity investor, or TE investor, who receives 99% of allocations of taxable income and other items through the six month anniversary of the placed in service date, at which time the allocations change to 67% through the last calendar year before the flip point, and then back to 99% through the flip point (which occurs when the TE Investor obtains a specified return on its initial investment), at which time the allocations to the TE Investor change to 5% for all the periods thereafter. Before the flip point, the TE investor would receive a priority distribution of distributable cash, as defined, plus a percentage of remaining distributable cash after the priority distribution subject to a percentage cap.</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project sells power under a 25-year PPA to the City of Georgetown, Texas, which commenced in July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50" w:right="239" w:bottom="1440" w:gutter="0" w:footer="0" w:header="0"/>
        </w:sectPr>
      </w:pPr>
    </w:p>
    <w:bookmarkStart w:id="18" w:name="page19"/>
    <w:bookmarkEnd w:id="18"/>
    <w:p>
      <w:pPr>
        <w:ind w:left="400"/>
        <w:spacing w:after="0"/>
        <w:rPr>
          <w:sz w:val="20"/>
          <w:szCs w:val="20"/>
          <w:color w:val="auto"/>
        </w:rPr>
      </w:pPr>
      <w:r>
        <w:rPr>
          <w:rFonts w:ascii="Arial" w:cs="Arial" w:eastAsia="Arial" w:hAnsi="Arial"/>
          <w:sz w:val="16"/>
          <w:szCs w:val="16"/>
          <w:color w:val="auto"/>
        </w:rPr>
        <w:t>The following is a summary of net assets transferred in connection with the acquisition of the Buckthorn Solar Drop Down Asset as of March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(In millions)</w:t>
            </w: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212</w:t>
            </w: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r>
      <w:tr>
        <w:trPr>
          <w:trHeight w:val="237"/>
        </w:trPr>
        <w:tc>
          <w:tcPr>
            <w:tcW w:w="98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235</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70"/>
        </w:trPr>
        <w:tc>
          <w:tcPr>
            <w:tcW w:w="9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(Current and non-current)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176</w:t>
            </w: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r>
      <w:tr>
        <w:trPr>
          <w:trHeight w:val="237"/>
        </w:trPr>
        <w:tc>
          <w:tcPr>
            <w:tcW w:w="98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9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r>
      <w:tr>
        <w:trPr>
          <w:trHeight w:val="257"/>
        </w:trPr>
        <w:tc>
          <w:tcPr>
            <w:tcW w:w="9800" w:type="dxa"/>
            <w:vAlign w:val="bottom"/>
          </w:tcPr>
          <w:p>
            <w:pPr>
              <w:ind w:left="380"/>
              <w:spacing w:after="0"/>
              <w:rPr>
                <w:sz w:val="20"/>
                <w:szCs w:val="20"/>
                <w:color w:val="auto"/>
              </w:rPr>
            </w:pPr>
            <w:r>
              <w:rPr>
                <w:rFonts w:ascii="Arial" w:cs="Arial" w:eastAsia="Arial" w:hAnsi="Arial"/>
                <w:sz w:val="18"/>
                <w:szCs w:val="18"/>
                <w:color w:val="auto"/>
              </w:rPr>
              <w:t>Net assets acquired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Net of $7 million of net debt issuance costs.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167"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November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1, 2017, the Company acquired a 38 MW solar portfolio primarily comprised of assets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NRG's Solar Power Partners (SPP) funds and other projects developed by NRG, for cash consideration of $74 million, including working capital adjustments, plus assumed non-recourse debt of $26 million.</w:t>
      </w:r>
    </w:p>
    <w:p>
      <w:pPr>
        <w:spacing w:after="0" w:line="12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purchase price for the November 2017 Drop Down Assets was funded with cash on hand. The assets and liabilities transferred to the Company relate to interests under common control by NRG and were recorded at historical cost in accordance with ASC 805-50, </w:t>
      </w:r>
      <w:r>
        <w:rPr>
          <w:rFonts w:ascii="Arial" w:cs="Arial" w:eastAsia="Arial" w:hAnsi="Arial"/>
          <w:sz w:val="18"/>
          <w:szCs w:val="18"/>
          <w:i w:val="1"/>
          <w:iCs w:val="1"/>
          <w:color w:val="auto"/>
        </w:rPr>
        <w:t>Business Combinations -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Issues</w:t>
      </w:r>
      <w:r>
        <w:rPr>
          <w:rFonts w:ascii="Arial" w:cs="Arial" w:eastAsia="Arial" w:hAnsi="Arial"/>
          <w:sz w:val="18"/>
          <w:szCs w:val="18"/>
          <w:color w:val="auto"/>
        </w:rPr>
        <w:t>. The difference between the cash paid and historical value of the entities' equity was recorded as an adjustment to contributed capital. Since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constituted a transfer of net assets under common control, the guidance requires retrospective combination of the entities for all periods presented as if the combination has been in effect since the inception of common control.</w:t>
      </w:r>
    </w:p>
    <w:p>
      <w:pPr>
        <w:spacing w:after="0" w:line="13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August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1, 2017, the Company acquired the remaining 25% interest in NRG Wind TE Holdco, a portfolio of 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projects, from NRG for total cash consideration of $44 million, including working capital adjustments. The purchase agreement also included potential additional payments to NRG dependent upon actual energy prices for merchant periods beginning in 2027, which were estimated and accrued as contingent consideration in the amount of $8 million.</w:t>
      </w:r>
    </w:p>
    <w:p>
      <w:pPr>
        <w:spacing w:after="0" w:line="13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The Company originally acquired 75% of NRG Wind TE Holdco on November 3, 2015, or November 2015 Drop Down Assets, which were consolidated with 25% of the net assets recorded as noncontrolling interest. The assets and liabilities transferred to the Company related to interests under common control by NRG and were recorded at historical cost in accordance with ASC 805-50, </w:t>
      </w:r>
      <w:r>
        <w:rPr>
          <w:rFonts w:ascii="Arial" w:cs="Arial" w:eastAsia="Arial" w:hAnsi="Arial"/>
          <w:sz w:val="16"/>
          <w:szCs w:val="16"/>
          <w:i w:val="1"/>
          <w:iCs w:val="1"/>
          <w:color w:val="auto"/>
        </w:rPr>
        <w:t>Business Combination - Related Issues.</w:t>
      </w:r>
      <w:r>
        <w:rPr>
          <w:rFonts w:ascii="Arial" w:cs="Arial" w:eastAsia="Arial" w:hAnsi="Arial"/>
          <w:sz w:val="16"/>
          <w:szCs w:val="16"/>
          <w:color w:val="auto"/>
        </w:rPr>
        <w:t xml:space="preserve"> The difference between the cash paid of $44 million, net of the contingent consideration of $8 million, and the historical value of the remaining 25% of $87 million as of July 31, 2017, was recorded as an adjustment to NRG's contributed capital.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ind w:firstLine="405"/>
        <w:spacing w:after="0" w:line="277" w:lineRule="auto"/>
        <w:rPr>
          <w:sz w:val="20"/>
          <w:szCs w:val="20"/>
          <w:color w:val="auto"/>
        </w:rPr>
      </w:pPr>
      <w:r>
        <w:rPr>
          <w:rFonts w:ascii="Arial" w:cs="Arial" w:eastAsia="Arial" w:hAnsi="Arial"/>
          <w:sz w:val="18"/>
          <w:szCs w:val="18"/>
          <w:color w:val="auto"/>
        </w:rPr>
        <w:t>The following tables present a summary of the Company's historical information combining the financial information for the Buckthorn Solar Drop Down Asset, November 2017 Drop Down Assets and August 2017 Drop Down Assets transferred in connection with the acquisition: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90"/>
              </w:rPr>
              <w:t>Three months ended June 30, 2017</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November 2017</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0"/>
              </w:rPr>
              <w:t>As Previously</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Buckthorn Solar</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Drop Down</w:t>
            </w:r>
          </w:p>
        </w:tc>
        <w:tc>
          <w:tcPr>
            <w:tcW w:w="13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August 2017 Drop</w:t>
            </w:r>
          </w:p>
        </w:tc>
        <w:tc>
          <w:tcPr>
            <w:tcW w:w="180" w:type="dxa"/>
            <w:vAlign w:val="bottom"/>
          </w:tcPr>
          <w:p>
            <w:pPr>
              <w:spacing w:after="0"/>
              <w:rPr>
                <w:sz w:val="17"/>
                <w:szCs w:val="17"/>
                <w:color w:val="auto"/>
              </w:rPr>
            </w:pPr>
          </w:p>
        </w:tc>
        <w:tc>
          <w:tcPr>
            <w:tcW w:w="1180" w:type="dxa"/>
            <w:vAlign w:val="bottom"/>
            <w:vMerge w:val="restart"/>
          </w:tcPr>
          <w:p>
            <w:pPr>
              <w:jc w:val="center"/>
              <w:ind w:right="80"/>
              <w:spacing w:after="0"/>
              <w:rPr>
                <w:sz w:val="20"/>
                <w:szCs w:val="20"/>
                <w:color w:val="auto"/>
              </w:rPr>
            </w:pPr>
            <w:r>
              <w:rPr>
                <w:rFonts w:ascii="Arial" w:cs="Arial" w:eastAsia="Arial" w:hAnsi="Arial"/>
                <w:sz w:val="15"/>
                <w:szCs w:val="15"/>
                <w:b w:val="1"/>
                <w:bCs w:val="1"/>
                <w:color w:val="auto"/>
                <w:w w:val="95"/>
              </w:rPr>
              <w:t>As Currently</w:t>
            </w:r>
          </w:p>
        </w:tc>
        <w:tc>
          <w:tcPr>
            <w:tcW w:w="0" w:type="dxa"/>
            <w:vAlign w:val="bottom"/>
          </w:tcPr>
          <w:p>
            <w:pPr>
              <w:spacing w:after="0"/>
              <w:rPr>
                <w:sz w:val="1"/>
                <w:szCs w:val="1"/>
                <w:color w:val="auto"/>
              </w:rPr>
            </w:pPr>
          </w:p>
        </w:tc>
      </w:tr>
      <w:tr>
        <w:trPr>
          <w:trHeight w:val="35"/>
        </w:trPr>
        <w:tc>
          <w:tcPr>
            <w:tcW w:w="4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Drop Down Asset</w:t>
            </w:r>
          </w:p>
        </w:tc>
        <w:tc>
          <w:tcPr>
            <w:tcW w:w="180" w:type="dxa"/>
            <w:vAlign w:val="bottom"/>
          </w:tcPr>
          <w:p>
            <w:pPr>
              <w:spacing w:after="0"/>
              <w:rPr>
                <w:sz w:val="3"/>
                <w:szCs w:val="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79"/>
              </w:rPr>
              <w:t>Assets</w:t>
            </w:r>
          </w:p>
        </w:tc>
        <w:tc>
          <w:tcPr>
            <w:tcW w:w="134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00"/>
              <w:spacing w:after="0" w:line="209" w:lineRule="exact"/>
              <w:rPr>
                <w:sz w:val="20"/>
                <w:szCs w:val="20"/>
                <w:color w:val="auto"/>
              </w:rPr>
            </w:pPr>
            <w:r>
              <w:rPr>
                <w:rFonts w:ascii="Arial" w:cs="Arial" w:eastAsia="Arial" w:hAnsi="Arial"/>
                <w:sz w:val="15"/>
                <w:szCs w:val="15"/>
                <w:b w:val="1"/>
                <w:bCs w:val="1"/>
                <w:color w:val="auto"/>
                <w:w w:val="89"/>
              </w:rPr>
              <w:t xml:space="preserve">Reported </w:t>
            </w:r>
            <w:r>
              <w:rPr>
                <w:rFonts w:ascii="Arial" w:cs="Arial" w:eastAsia="Arial" w:hAnsi="Arial"/>
                <w:sz w:val="24"/>
                <w:szCs w:val="24"/>
                <w:b w:val="1"/>
                <w:bCs w:val="1"/>
                <w:color w:val="auto"/>
                <w:w w:val="89"/>
                <w:vertAlign w:val="superscript"/>
              </w:rPr>
              <w:t>(a)</w:t>
            </w:r>
          </w:p>
        </w:tc>
        <w:tc>
          <w:tcPr>
            <w:tcW w:w="13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5"/>
                <w:szCs w:val="15"/>
                <w:b w:val="1"/>
                <w:bCs w:val="1"/>
                <w:color w:val="auto"/>
              </w:rPr>
              <w:t>Down Assets</w:t>
            </w:r>
          </w:p>
        </w:tc>
        <w:tc>
          <w:tcPr>
            <w:tcW w:w="180" w:type="dxa"/>
            <w:vAlign w:val="bottom"/>
          </w:tcPr>
          <w:p>
            <w:pPr>
              <w:spacing w:after="0"/>
              <w:rPr>
                <w:sz w:val="18"/>
                <w:szCs w:val="18"/>
                <w:color w:val="auto"/>
              </w:rPr>
            </w:pPr>
          </w:p>
        </w:tc>
        <w:tc>
          <w:tcPr>
            <w:tcW w:w="1180" w:type="dxa"/>
            <w:vAlign w:val="bottom"/>
          </w:tcPr>
          <w:p>
            <w:pPr>
              <w:jc w:val="center"/>
              <w:ind w:right="80"/>
              <w:spacing w:after="0"/>
              <w:rPr>
                <w:sz w:val="20"/>
                <w:szCs w:val="20"/>
                <w:color w:val="auto"/>
              </w:rPr>
            </w:pPr>
            <w:r>
              <w:rPr>
                <w:rFonts w:ascii="Arial" w:cs="Arial" w:eastAsia="Arial" w:hAnsi="Arial"/>
                <w:sz w:val="15"/>
                <w:szCs w:val="15"/>
                <w:b w:val="1"/>
                <w:bCs w:val="1"/>
                <w:color w:val="auto"/>
                <w:w w:val="94"/>
              </w:rPr>
              <w:t>Reported</w:t>
            </w:r>
          </w:p>
        </w:tc>
        <w:tc>
          <w:tcPr>
            <w:tcW w:w="0" w:type="dxa"/>
            <w:vAlign w:val="bottom"/>
          </w:tcPr>
          <w:p>
            <w:pPr>
              <w:spacing w:after="0"/>
              <w:rPr>
                <w:sz w:val="1"/>
                <w:szCs w:val="1"/>
                <w:color w:val="auto"/>
              </w:rPr>
            </w:pPr>
          </w:p>
        </w:tc>
      </w:tr>
      <w:tr>
        <w:trPr>
          <w:trHeight w:val="258"/>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284</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Less: Loss attributable to noncontrolling interests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Yield LLC</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426"/>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0" w:type="dxa"/>
            <w:vAlign w:val="bottom"/>
            <w:gridSpan w:val="8"/>
          </w:tcPr>
          <w:p>
            <w:pPr>
              <w:jc w:val="center"/>
              <w:ind w:right="480"/>
              <w:spacing w:after="0"/>
              <w:rPr>
                <w:sz w:val="20"/>
                <w:szCs w:val="20"/>
                <w:color w:val="auto"/>
              </w:rPr>
            </w:pPr>
            <w:r>
              <w:rPr>
                <w:rFonts w:ascii="Arial" w:cs="Arial" w:eastAsia="Arial" w:hAnsi="Arial"/>
                <w:sz w:val="16"/>
                <w:szCs w:val="16"/>
                <w:b w:val="1"/>
                <w:bCs w:val="1"/>
                <w:color w:val="auto"/>
                <w:w w:val="89"/>
              </w:rPr>
              <w:t>Six months ended June 30, 2017</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November 2017</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0"/>
              </w:rPr>
              <w:t>As Previously</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Buckthorn Solar</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Drop Down</w:t>
            </w:r>
          </w:p>
        </w:tc>
        <w:tc>
          <w:tcPr>
            <w:tcW w:w="13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August 2017 Drop</w:t>
            </w:r>
          </w:p>
        </w:tc>
        <w:tc>
          <w:tcPr>
            <w:tcW w:w="180" w:type="dxa"/>
            <w:vAlign w:val="bottom"/>
          </w:tcPr>
          <w:p>
            <w:pPr>
              <w:spacing w:after="0"/>
              <w:rPr>
                <w:sz w:val="17"/>
                <w:szCs w:val="17"/>
                <w:color w:val="auto"/>
              </w:rPr>
            </w:pPr>
          </w:p>
        </w:tc>
        <w:tc>
          <w:tcPr>
            <w:tcW w:w="1180" w:type="dxa"/>
            <w:vAlign w:val="bottom"/>
            <w:vMerge w:val="restart"/>
          </w:tcPr>
          <w:p>
            <w:pPr>
              <w:jc w:val="center"/>
              <w:ind w:right="80"/>
              <w:spacing w:after="0"/>
              <w:rPr>
                <w:sz w:val="20"/>
                <w:szCs w:val="20"/>
                <w:color w:val="auto"/>
              </w:rPr>
            </w:pPr>
            <w:r>
              <w:rPr>
                <w:rFonts w:ascii="Arial" w:cs="Arial" w:eastAsia="Arial" w:hAnsi="Arial"/>
                <w:sz w:val="15"/>
                <w:szCs w:val="15"/>
                <w:b w:val="1"/>
                <w:bCs w:val="1"/>
                <w:color w:val="auto"/>
                <w:w w:val="95"/>
              </w:rPr>
              <w:t>As Currently</w:t>
            </w:r>
          </w:p>
        </w:tc>
        <w:tc>
          <w:tcPr>
            <w:tcW w:w="0" w:type="dxa"/>
            <w:vAlign w:val="bottom"/>
          </w:tcPr>
          <w:p>
            <w:pPr>
              <w:spacing w:after="0"/>
              <w:rPr>
                <w:sz w:val="1"/>
                <w:szCs w:val="1"/>
                <w:color w:val="auto"/>
              </w:rPr>
            </w:pPr>
          </w:p>
        </w:tc>
      </w:tr>
      <w:tr>
        <w:trPr>
          <w:trHeight w:val="35"/>
        </w:trPr>
        <w:tc>
          <w:tcPr>
            <w:tcW w:w="4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Drop Down Asset</w:t>
            </w:r>
          </w:p>
        </w:tc>
        <w:tc>
          <w:tcPr>
            <w:tcW w:w="180" w:type="dxa"/>
            <w:vAlign w:val="bottom"/>
          </w:tcPr>
          <w:p>
            <w:pPr>
              <w:spacing w:after="0"/>
              <w:rPr>
                <w:sz w:val="3"/>
                <w:szCs w:val="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79"/>
              </w:rPr>
              <w:t>Assets</w:t>
            </w:r>
          </w:p>
        </w:tc>
        <w:tc>
          <w:tcPr>
            <w:tcW w:w="134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00"/>
              <w:spacing w:after="0" w:line="209" w:lineRule="exact"/>
              <w:rPr>
                <w:sz w:val="20"/>
                <w:szCs w:val="20"/>
                <w:color w:val="auto"/>
              </w:rPr>
            </w:pPr>
            <w:r>
              <w:rPr>
                <w:rFonts w:ascii="Arial" w:cs="Arial" w:eastAsia="Arial" w:hAnsi="Arial"/>
                <w:sz w:val="15"/>
                <w:szCs w:val="15"/>
                <w:b w:val="1"/>
                <w:bCs w:val="1"/>
                <w:color w:val="auto"/>
                <w:w w:val="89"/>
              </w:rPr>
              <w:t xml:space="preserve">Reported </w:t>
            </w:r>
            <w:r>
              <w:rPr>
                <w:rFonts w:ascii="Arial" w:cs="Arial" w:eastAsia="Arial" w:hAnsi="Arial"/>
                <w:sz w:val="24"/>
                <w:szCs w:val="24"/>
                <w:b w:val="1"/>
                <w:bCs w:val="1"/>
                <w:color w:val="auto"/>
                <w:w w:val="89"/>
                <w:vertAlign w:val="superscript"/>
              </w:rPr>
              <w:t>(a)</w:t>
            </w:r>
          </w:p>
        </w:tc>
        <w:tc>
          <w:tcPr>
            <w:tcW w:w="13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5"/>
                <w:szCs w:val="15"/>
                <w:b w:val="1"/>
                <w:bCs w:val="1"/>
                <w:color w:val="auto"/>
              </w:rPr>
              <w:t>Down Assets</w:t>
            </w:r>
          </w:p>
        </w:tc>
        <w:tc>
          <w:tcPr>
            <w:tcW w:w="180" w:type="dxa"/>
            <w:vAlign w:val="bottom"/>
          </w:tcPr>
          <w:p>
            <w:pPr>
              <w:spacing w:after="0"/>
              <w:rPr>
                <w:sz w:val="18"/>
                <w:szCs w:val="18"/>
                <w:color w:val="auto"/>
              </w:rPr>
            </w:pPr>
          </w:p>
        </w:tc>
        <w:tc>
          <w:tcPr>
            <w:tcW w:w="1180" w:type="dxa"/>
            <w:vAlign w:val="bottom"/>
          </w:tcPr>
          <w:p>
            <w:pPr>
              <w:jc w:val="center"/>
              <w:ind w:right="80"/>
              <w:spacing w:after="0"/>
              <w:rPr>
                <w:sz w:val="20"/>
                <w:szCs w:val="20"/>
                <w:color w:val="auto"/>
              </w:rPr>
            </w:pPr>
            <w:r>
              <w:rPr>
                <w:rFonts w:ascii="Arial" w:cs="Arial" w:eastAsia="Arial" w:hAnsi="Arial"/>
                <w:sz w:val="15"/>
                <w:szCs w:val="15"/>
                <w:b w:val="1"/>
                <w:bCs w:val="1"/>
                <w:color w:val="auto"/>
                <w:w w:val="94"/>
              </w:rPr>
              <w:t>Reported</w:t>
            </w:r>
          </w:p>
        </w:tc>
        <w:tc>
          <w:tcPr>
            <w:tcW w:w="0" w:type="dxa"/>
            <w:vAlign w:val="bottom"/>
          </w:tcPr>
          <w:p>
            <w:pPr>
              <w:spacing w:after="0"/>
              <w:rPr>
                <w:sz w:val="1"/>
                <w:szCs w:val="1"/>
                <w:color w:val="auto"/>
              </w:rPr>
            </w:pPr>
          </w:p>
        </w:tc>
      </w:tr>
      <w:tr>
        <w:trPr>
          <w:trHeight w:val="258"/>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502</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176</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Less: Loss attributable to noncontrolling interests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Yield LLC</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86</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As previously reported in the Company's Form 10-Q for the quarter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406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3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b w:val="1"/>
          <w:bCs w:val="1"/>
          <w:i w:val="1"/>
          <w:iCs w:val="1"/>
          <w:color w:val="auto"/>
        </w:rPr>
        <w:t xml:space="preserve">March 2017 Drop Down Assets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27, 2017, the Company acquired the following interests from NRG: (i) Agua Caliente Borrower 2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which owns a 16% interest (approximately 31% of NRG's 51% interest) in the Agua Caliente solar farm, one of the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as further described below. The Company paid cash consideration of $128 million, which includes $3 million of final net working capital adjustment received by the Company from NRG. The acquisition of the March 2017 Drop Down Assets was funded with cash on hand. The Company recorded the acquired interests as equity method investments. The Company also assumed non-recourse debt of $41 million and $287 million on Agua Caliente Borrower 2 LLC and the Utah Solar Portfolio, respectively, as well as its pro-rata share of non-recourse project-level debt of Agua Caliente Solar LLC, as further described in Note 4, </w:t>
      </w:r>
      <w:r>
        <w:rPr>
          <w:rFonts w:ascii="Arial" w:cs="Arial" w:eastAsia="Arial" w:hAnsi="Arial"/>
          <w:sz w:val="17"/>
          <w:szCs w:val="17"/>
          <w:i w:val="1"/>
          <w:iCs w:val="1"/>
          <w:color w:val="auto"/>
        </w:rPr>
        <w:t>Investments Accounted for by the Equity Method and Variable Interest Entities</w:t>
      </w:r>
      <w:r>
        <w:rPr>
          <w:rFonts w:ascii="Arial" w:cs="Arial" w:eastAsia="Arial" w:hAnsi="Arial"/>
          <w:sz w:val="17"/>
          <w:szCs w:val="17"/>
          <w:color w:val="auto"/>
        </w:rPr>
        <w:t>.</w:t>
      </w:r>
    </w:p>
    <w:p>
      <w:pPr>
        <w:spacing w:after="0" w:line="130"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 Combination - Related Issues.</w:t>
      </w:r>
      <w:r>
        <w:rPr>
          <w:rFonts w:ascii="Arial" w:cs="Arial" w:eastAsia="Arial" w:hAnsi="Arial"/>
          <w:sz w:val="16"/>
          <w:szCs w:val="16"/>
          <w:color w:val="auto"/>
        </w:rPr>
        <w:t xml:space="preserve"> The difference between the cash paid and the historical value of the entities' equity of $8 million was recorded as an adjustment to contributed capital.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54" w:lineRule="exact"/>
        <w:rPr>
          <w:sz w:val="20"/>
          <w:szCs w:val="20"/>
          <w:color w:val="auto"/>
        </w:rPr>
      </w:pPr>
    </w:p>
    <w:p>
      <w:pPr>
        <w:ind w:right="4800"/>
        <w:spacing w:after="0" w:line="282"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1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Arial" w:cs="Arial" w:eastAsia="Arial" w:hAnsi="Arial"/>
          <w:sz w:val="18"/>
          <w:szCs w:val="18"/>
          <w:i w:val="1"/>
          <w:iCs w:val="1"/>
          <w:color w:val="auto"/>
        </w:rPr>
        <w:t>Investments Accounted for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 xml:space="preserve">by the Equity Method and Variable Interest Entities, </w:t>
      </w:r>
      <w:r>
        <w:rPr>
          <w:rFonts w:ascii="Arial" w:cs="Arial" w:eastAsia="Arial" w:hAnsi="Arial"/>
          <w:sz w:val="18"/>
          <w:szCs w:val="18"/>
          <w:color w:val="231F20"/>
        </w:rPr>
        <w:t>to the consolidated financial statements included in the Company's 2017 Form 10</w:t>
      </w:r>
      <w:r>
        <w:rPr>
          <w:rFonts w:ascii="Arial" w:cs="Arial" w:eastAsia="Arial" w:hAnsi="Arial"/>
          <w:sz w:val="18"/>
          <w:szCs w:val="18"/>
          <w:color w:val="auto"/>
        </w:rPr>
        <w:t>-K.</w:t>
      </w:r>
    </w:p>
    <w:p>
      <w:pPr>
        <w:spacing w:after="0" w:line="16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b w:val="1"/>
          <w:bCs w:val="1"/>
          <w:i w:val="1"/>
          <w:iCs w:val="1"/>
          <w:color w:val="auto"/>
        </w:rPr>
        <w:t xml:space="preserve">Buckthorn Renewables, LLC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described in 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 Acquisitions</w:t>
      </w:r>
      <w:r>
        <w:rPr>
          <w:rFonts w:ascii="Arial" w:cs="Arial" w:eastAsia="Arial" w:hAnsi="Arial"/>
          <w:sz w:val="17"/>
          <w:szCs w:val="17"/>
          <w:color w:val="auto"/>
        </w:rPr>
        <w:t>, on March 30, 2018, the Company acquired 100% of NRG’s interest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154 MW construction-stage utility-scale solar generation project, Buckthorn Renewables, LLC, which owns 100% interest in Buckthorn Solar Portfolio, LLC, which in turn owns 100% of the Class B membership interests in Buckthorn Holdings, LLC for total consideration of approximately $42 million, subject to working capital adjustments. The Company also assumed non-recourse debt of $183 million and non-controlling interest of $19 million attributable to the Class A member, as further described below. On May 31, 2018, $132 million of non-recourse debt was converted to a term loan with an expected maturity of May 2025, and the remainder of the non-recourse debt was repaid with final proceeds from the Class A member upon the project reaching substantial completion in May 2018.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 is a tax equity investor who made its initial capital contribution of $19 million on March 30, 2018, which is reflected as noncontrolling interest on the Company’s consolidated balance sheet. The project achieved substantial completion in May 2018, at which time the remaining contributions in the amount of $80 million were funded. The Company utilizes the HLBV method to determine the net income or loss allocated to the tax equity investor noncontrolling interest. The Company recorded $51 million of loss attributable to its non-controlling interest in Buckthorn Renewables, LLC during the period ended June 30, 2018.</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June 30, 2018:</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NRG Wind TE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Alta Wind TE</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Spring Canyon</w:t>
            </w:r>
          </w:p>
        </w:tc>
        <w:tc>
          <w:tcPr>
            <w:tcW w:w="200" w:type="dxa"/>
            <w:vAlign w:val="bottom"/>
          </w:tcPr>
          <w:p>
            <w:pPr>
              <w:spacing w:after="0"/>
              <w:rPr>
                <w:sz w:val="14"/>
                <w:szCs w:val="14"/>
                <w:color w:val="auto"/>
              </w:rPr>
            </w:pPr>
          </w:p>
        </w:tc>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Buckthorn</w:t>
            </w:r>
          </w:p>
        </w:tc>
        <w:tc>
          <w:tcPr>
            <w:tcW w:w="0" w:type="dxa"/>
            <w:vAlign w:val="bottom"/>
          </w:tcPr>
          <w:p>
            <w:pPr>
              <w:spacing w:after="0"/>
              <w:rPr>
                <w:sz w:val="1"/>
                <w:szCs w:val="1"/>
                <w:color w:val="auto"/>
              </w:rPr>
            </w:pPr>
          </w:p>
        </w:tc>
      </w:tr>
      <w:tr>
        <w:trPr>
          <w:trHeight w:val="192"/>
        </w:trPr>
        <w:tc>
          <w:tcPr>
            <w:tcW w:w="4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Holdco</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Holdco</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Renewables, LLC</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and non-current assets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and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4920" w:type="dxa"/>
            <w:vAlign w:val="bottom"/>
          </w:tcPr>
          <w:p>
            <w:pPr>
              <w:ind w:left="500"/>
              <w:spacing w:after="0"/>
              <w:rPr>
                <w:sz w:val="20"/>
                <w:szCs w:val="20"/>
                <w:color w:val="auto"/>
              </w:rPr>
            </w:pPr>
            <w:r>
              <w:rPr>
                <w:rFonts w:ascii="Arial" w:cs="Arial" w:eastAsia="Arial" w:hAnsi="Arial"/>
                <w:sz w:val="18"/>
                <w:szCs w:val="18"/>
                <w:color w:val="auto"/>
              </w:rPr>
              <w:t>Net assets less noncontrolling interests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3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7"/>
          <w:szCs w:val="17"/>
          <w:i w:val="1"/>
          <w:iCs w:val="1"/>
          <w:color w:val="auto"/>
        </w:rPr>
        <w:t>Investments Accounted for by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Method and Variable Interest Entities, </w:t>
      </w:r>
      <w:r>
        <w:rPr>
          <w:rFonts w:ascii="Arial" w:cs="Arial" w:eastAsia="Arial" w:hAnsi="Arial"/>
          <w:sz w:val="17"/>
          <w:szCs w:val="17"/>
          <w:color w:val="231F20"/>
        </w:rPr>
        <w:t>to the consolidated financial statements included in the Company's 2017 Form 10-K</w:t>
      </w:r>
      <w:r>
        <w:rPr>
          <w:rFonts w:ascii="Arial" w:cs="Arial" w:eastAsia="Arial" w:hAnsi="Arial"/>
          <w:sz w:val="17"/>
          <w:szCs w:val="17"/>
          <w:color w:val="auto"/>
        </w:rPr>
        <w:t>.</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as of June 30, 2018, is limited to its equity investment in the unconsolidated entities, as further summarized in the table below:</w:t>
      </w:r>
    </w:p>
    <w:p>
      <w:pPr>
        <w:spacing w:after="0" w:line="9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64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Maximum exposure</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vMerge w:val="continue"/>
          </w:tcPr>
          <w:p>
            <w:pPr>
              <w:spacing w:after="0"/>
              <w:rPr>
                <w:sz w:val="16"/>
                <w:szCs w:val="16"/>
                <w:color w:val="auto"/>
              </w:rPr>
            </w:pPr>
          </w:p>
        </w:tc>
        <w:tc>
          <w:tcPr>
            <w:tcW w:w="5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 loss</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 Brothers Solar, LLC</w:t>
            </w:r>
          </w:p>
        </w:tc>
        <w:tc>
          <w:tcPr>
            <w:tcW w:w="53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GenConn Energy LLC</w:t>
            </w:r>
          </w:p>
        </w:tc>
        <w:tc>
          <w:tcPr>
            <w:tcW w:w="5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NRG DGPV Holdco 1 LLC</w:t>
            </w:r>
          </w:p>
        </w:tc>
        <w:tc>
          <w:tcPr>
            <w:tcW w:w="5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Granite Mountain Holdings, LLC</w:t>
            </w:r>
          </w:p>
        </w:tc>
        <w:tc>
          <w:tcPr>
            <w:tcW w:w="5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NRG DGPV Holdco 3 LLC</w:t>
            </w:r>
          </w:p>
        </w:tc>
        <w:tc>
          <w:tcPr>
            <w:tcW w:w="5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NRG DGPV Holdco 2 LLC</w:t>
            </w:r>
          </w:p>
        </w:tc>
        <w:tc>
          <w:tcPr>
            <w:tcW w:w="5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Iron Springs Holdings, LLC</w:t>
            </w:r>
          </w:p>
        </w:tc>
        <w:tc>
          <w:tcPr>
            <w:tcW w:w="5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NRG RPV Holdco 1 LLC</w:t>
            </w:r>
          </w:p>
        </w:tc>
        <w:tc>
          <w:tcPr>
            <w:tcW w:w="5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648"/>
        </w:trPr>
        <w:tc>
          <w:tcPr>
            <w:tcW w:w="3720" w:type="dxa"/>
            <w:vAlign w:val="bottom"/>
          </w:tcPr>
          <w:p>
            <w:pPr>
              <w:spacing w:after="0"/>
              <w:rPr>
                <w:sz w:val="24"/>
                <w:szCs w:val="24"/>
                <w:color w:val="auto"/>
              </w:rPr>
            </w:pPr>
          </w:p>
        </w:tc>
        <w:tc>
          <w:tcPr>
            <w:tcW w:w="5360" w:type="dxa"/>
            <w:vAlign w:val="bottom"/>
          </w:tcPr>
          <w:p>
            <w:pPr>
              <w:jc w:val="right"/>
              <w:ind w:right="3816"/>
              <w:spacing w:after="0"/>
              <w:rPr>
                <w:sz w:val="20"/>
                <w:szCs w:val="20"/>
                <w:color w:val="auto"/>
              </w:rPr>
            </w:pPr>
            <w:r>
              <w:rPr>
                <w:rFonts w:ascii="Arial" w:cs="Arial" w:eastAsia="Arial" w:hAnsi="Arial"/>
                <w:sz w:val="18"/>
                <w:szCs w:val="18"/>
                <w:color w:val="auto"/>
              </w:rPr>
              <w:t>21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21" w:name="page22"/>
    <w:bookmarkEnd w:id="21"/>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NRG DGPV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invested $4 million of cash during the six months ended June 30, 2018 into DGPV Holdco 1 LLC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$3 million due to NRG in accounts payable - affiliate as of June 30, 2018 to be funded in tranches as the project milestones are completed. The Company owns approximately 52 MW of distributed solar capacity, based on cash to be distributed, with a weighted average remaining contract life of approximately 18 years as of June 30, 2018.</w:t>
      </w:r>
    </w:p>
    <w:p>
      <w:pPr>
        <w:spacing w:after="0" w:line="12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NRG DGPV Holdco 3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invested $12 million of cash during the six months ended June 30, 2018 into DGPV Holdco 3 LLC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$10 million due to NRG in accounts payable - affiliate as of June 30, 2018 to be funded in tranches as the project milestones are completed. The Company owns approximately 59 MW of distributed solar capacity, based on cash to be distributed, with a weighted average remaining contract life of approximately 21 years as of June 30, 2018.</w:t>
      </w:r>
    </w:p>
    <w:p>
      <w:pPr>
        <w:spacing w:after="0" w:line="12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Utah Solar Portfolio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in Note 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27, 2017, as part of the March 2017 Drop Down Assets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acquired from NRG 100% of the Class A equity interests in the Utah Solar Portfolio, comprised of Four Brothers Solar, LLC, Granite Mountain Holdings, LLC, and Iron Springs Holdings, LLC. The Class B interests of the Utah Solar Portfolio are owned by a tax equity investor, who receives 99% of allocations of taxable income and other items until the flip point, which occurs when the tax equity investor obtains a specified return on its initial investment, at which time the allocations to the tax equity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project-level debt of unconsolidated affiliates</w:t>
      </w:r>
    </w:p>
    <w:p>
      <w:pPr>
        <w:spacing w:after="0" w:line="167"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i w:val="1"/>
          <w:iCs w:val="1"/>
          <w:color w:val="auto"/>
        </w:rPr>
        <w:t xml:space="preserve">Agua Caliente Financing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Business Acquisitions</w:t>
      </w:r>
      <w:r>
        <w:rPr>
          <w:rFonts w:ascii="Arial" w:cs="Arial" w:eastAsia="Arial" w:hAnsi="Arial"/>
          <w:sz w:val="16"/>
          <w:szCs w:val="16"/>
          <w:color w:val="auto"/>
        </w:rPr>
        <w:t>, on March 27, 2017, the Company acquired a 16% interest in the Agua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Caliente solar facility through its acquisition of Agua Caliente Borrower 2 LLC. As of June 30, 2018, Agua Caliente Solar LLC, the direct owner of the Agua Caliente solar facility, had $812 million outstanding under the Agua Caliente financing agreement with the Federal Financing Bank, or FFB, borrowed to finance the costs of constructing the facility. The Company's pro-rata share of the Agua Caliente financing arrangement was $130 million as of June 30, 2018. Amounts borrowed under the Agua Caliente financing agreement accrue interest at a fixed rate based on U.S. Treasury rates plus a spread of 0.375%, mature in 2037 and are secured by the assets of Agua Caliente Solar LLC. The loans provided by the FFB are guaranteed by the U.S. DOE.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cash and cash equivalents, restricted cash, accounts receivable, accounts receivable — affiliate, accounts payable, current portion of the accounts payable — affiliates, accrued expenses and other liabilities, the carrying amounts approximate fair value because of the short-term maturity of those instruments and are classified as Level 1 within the fair value hierarchy.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2" w:right="239" w:bottom="1440" w:gutter="0" w:footer="0" w:header="0"/>
        </w:sectPr>
      </w:pPr>
    </w:p>
    <w:bookmarkStart w:id="22" w:name="page23"/>
    <w:bookmarkEnd w:id="22"/>
    <w:p>
      <w:pPr>
        <w:ind w:left="50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As of June 30, 2018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As of December 31, 2017</w:t>
            </w:r>
          </w:p>
        </w:tc>
      </w:tr>
      <w:tr>
        <w:trPr>
          <w:trHeight w:val="263"/>
        </w:trPr>
        <w:tc>
          <w:tcPr>
            <w:tcW w:w="604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w:t>
            </w:r>
          </w:p>
        </w:tc>
      </w:tr>
      <w:tr>
        <w:trPr>
          <w:trHeight w:val="27"/>
        </w:trPr>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Long-term debt — affiliate, including current portion</w:t>
            </w:r>
          </w:p>
        </w:tc>
        <w:tc>
          <w:tcPr>
            <w:tcW w:w="44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618</w:t>
            </w:r>
          </w:p>
        </w:tc>
        <w:tc>
          <w:tcPr>
            <w:tcW w:w="3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618</w:t>
            </w:r>
          </w:p>
        </w:tc>
      </w:tr>
      <w:tr>
        <w:trPr>
          <w:trHeight w:val="27"/>
        </w:trPr>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Long-term debt — external, including current portion </w:t>
            </w:r>
            <w:r>
              <w:rPr>
                <w:rFonts w:ascii="Arial" w:cs="Arial" w:eastAsia="Arial" w:hAnsi="Arial"/>
                <w:sz w:val="25"/>
                <w:szCs w:val="25"/>
                <w:color w:val="auto"/>
                <w:vertAlign w:val="superscript"/>
              </w:rPr>
              <w:t>(a)</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5,337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5,307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5,450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5,466</w:t>
            </w:r>
          </w:p>
        </w:tc>
      </w:tr>
    </w:tbl>
    <w:p>
      <w:pPr>
        <w:spacing w:after="0" w:line="251"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Excludes deferred financing costs, which are recorded as a reduction to long-term debt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June 30, 2018 and December 31, 2017:</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As of June 30, 2018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 2017</w:t>
            </w:r>
          </w:p>
        </w:tc>
      </w:tr>
      <w:tr>
        <w:trPr>
          <w:trHeight w:val="264"/>
        </w:trPr>
        <w:tc>
          <w:tcPr>
            <w:tcW w:w="6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827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5,095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870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5,214</w:t>
            </w:r>
          </w:p>
        </w:tc>
      </w:tr>
      <w:tr>
        <w:trPr>
          <w:trHeight w:val="27"/>
        </w:trPr>
        <w:tc>
          <w:tcPr>
            <w:tcW w:w="6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700" w:type="dxa"/>
            <w:vAlign w:val="bottom"/>
            <w:tcBorders>
              <w:bottom w:val="single" w:sz="8" w:color="auto"/>
            </w:tcBorders>
          </w:tcPr>
          <w:p>
            <w:pPr>
              <w:jc w:val="center"/>
              <w:ind w:left="301"/>
              <w:spacing w:after="0"/>
              <w:rPr>
                <w:sz w:val="20"/>
                <w:szCs w:val="20"/>
                <w:color w:val="auto"/>
              </w:rPr>
            </w:pPr>
            <w:r>
              <w:rPr>
                <w:rFonts w:ascii="Arial" w:cs="Arial" w:eastAsia="Arial" w:hAnsi="Arial"/>
                <w:sz w:val="14"/>
                <w:szCs w:val="14"/>
                <w:b w:val="1"/>
                <w:bCs w:val="1"/>
                <w:color w:val="auto"/>
                <w:w w:val="92"/>
              </w:rPr>
              <w:t>As of June 30, 2018</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As of December 31, 2017</w:t>
            </w:r>
          </w:p>
        </w:tc>
      </w:tr>
      <w:tr>
        <w:trPr>
          <w:trHeight w:val="250"/>
        </w:trPr>
        <w:tc>
          <w:tcPr>
            <w:tcW w:w="7080" w:type="dxa"/>
            <w:vAlign w:val="bottom"/>
          </w:tcPr>
          <w:p>
            <w:pPr>
              <w:spacing w:after="0"/>
              <w:rPr>
                <w:sz w:val="21"/>
                <w:szCs w:val="21"/>
                <w:color w:val="auto"/>
              </w:rPr>
            </w:pPr>
          </w:p>
        </w:tc>
        <w:tc>
          <w:tcPr>
            <w:tcW w:w="1700" w:type="dxa"/>
            <w:vAlign w:val="bottom"/>
            <w:tcBorders>
              <w:bottom w:val="single" w:sz="8" w:color="auto"/>
            </w:tcBorders>
          </w:tcPr>
          <w:p>
            <w:pPr>
              <w:jc w:val="center"/>
              <w:ind w:left="301"/>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8"/>
                <w:szCs w:val="8"/>
                <w:b w:val="1"/>
                <w:bCs w:val="1"/>
                <w:color w:val="auto"/>
                <w:w w:val="99"/>
              </w:rPr>
              <w:t>(a)</w:t>
            </w:r>
          </w:p>
        </w:tc>
        <w:tc>
          <w:tcPr>
            <w:tcW w:w="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8"/>
                <w:szCs w:val="8"/>
                <w:b w:val="1"/>
                <w:bCs w:val="1"/>
                <w:color w:val="auto"/>
                <w:w w:val="99"/>
              </w:rPr>
              <w:t>(a)</w:t>
            </w:r>
          </w:p>
        </w:tc>
      </w:tr>
      <w:tr>
        <w:trPr>
          <w:trHeight w:val="25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00" w:type="dxa"/>
            <w:vAlign w:val="bottom"/>
            <w:tcBorders>
              <w:bottom w:val="single" w:sz="8" w:color="auto"/>
            </w:tcBorders>
          </w:tcPr>
          <w:p>
            <w:pPr>
              <w:jc w:val="center"/>
              <w:ind w:left="301"/>
              <w:spacing w:after="0"/>
              <w:rPr>
                <w:sz w:val="20"/>
                <w:szCs w:val="20"/>
                <w:color w:val="auto"/>
              </w:rPr>
            </w:pPr>
            <w:r>
              <w:rPr>
                <w:rFonts w:ascii="Arial" w:cs="Arial" w:eastAsia="Arial" w:hAnsi="Arial"/>
                <w:sz w:val="14"/>
                <w:szCs w:val="14"/>
                <w:b w:val="1"/>
                <w:bCs w:val="1"/>
                <w:color w:val="auto"/>
                <w:w w:val="92"/>
              </w:rPr>
              <w:t>Level 2</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Level 2</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1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jc w:val="center"/>
              <w:ind w:right="4672"/>
              <w:spacing w:after="0"/>
              <w:rPr>
                <w:sz w:val="20"/>
                <w:szCs w:val="20"/>
                <w:color w:val="auto"/>
              </w:rPr>
            </w:pPr>
            <w:r>
              <w:rPr>
                <w:rFonts w:ascii="Arial" w:cs="Arial" w:eastAsia="Arial" w:hAnsi="Arial"/>
                <w:sz w:val="18"/>
                <w:szCs w:val="18"/>
                <w:color w:val="auto"/>
                <w:w w:val="92"/>
              </w:rPr>
              <w:t>Commodity contracts</w:t>
            </w:r>
          </w:p>
        </w:tc>
        <w:tc>
          <w:tcPr>
            <w:tcW w:w="1700" w:type="dxa"/>
            <w:vAlign w:val="bottom"/>
          </w:tcPr>
          <w:p>
            <w:pPr>
              <w:jc w:val="right"/>
              <w:ind w:right="1501"/>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jc w:val="center"/>
              <w:ind w:right="4672"/>
              <w:spacing w:after="0"/>
              <w:rPr>
                <w:sz w:val="20"/>
                <w:szCs w:val="20"/>
                <w:color w:val="auto"/>
              </w:rPr>
            </w:pPr>
            <w:r>
              <w:rPr>
                <w:rFonts w:ascii="Arial" w:cs="Arial" w:eastAsia="Arial" w:hAnsi="Arial"/>
                <w:sz w:val="18"/>
                <w:szCs w:val="18"/>
                <w:color w:val="auto"/>
                <w:w w:val="89"/>
              </w:rPr>
              <w:t>Interest rate contracts</w:t>
            </w:r>
          </w:p>
        </w:tc>
        <w:tc>
          <w:tcPr>
            <w:tcW w:w="17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r>
      <w:tr>
        <w:trPr>
          <w:trHeight w:val="297"/>
        </w:trPr>
        <w:tc>
          <w:tcPr>
            <w:tcW w:w="7080" w:type="dxa"/>
            <w:vAlign w:val="bottom"/>
            <w:tcBorders>
              <w:bottom w:val="single" w:sz="8" w:color="CCEEFF"/>
            </w:tcBorders>
          </w:tcPr>
          <w:p>
            <w:pPr>
              <w:ind w:left="600"/>
              <w:spacing w:after="0"/>
              <w:rPr>
                <w:sz w:val="20"/>
                <w:szCs w:val="20"/>
                <w:color w:val="auto"/>
              </w:rPr>
            </w:pPr>
            <w:r>
              <w:rPr>
                <w:rFonts w:ascii="Arial" w:cs="Arial" w:eastAsia="Arial" w:hAnsi="Arial"/>
                <w:sz w:val="18"/>
                <w:szCs w:val="18"/>
                <w:b w:val="1"/>
                <w:bCs w:val="1"/>
                <w:color w:val="auto"/>
              </w:rPr>
              <w:t>Total assets</w:t>
            </w:r>
          </w:p>
        </w:tc>
        <w:tc>
          <w:tcPr>
            <w:tcW w:w="170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1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jc w:val="center"/>
              <w:ind w:right="4672"/>
              <w:spacing w:after="0"/>
              <w:rPr>
                <w:sz w:val="20"/>
                <w:szCs w:val="20"/>
                <w:color w:val="auto"/>
              </w:rPr>
            </w:pPr>
            <w:r>
              <w:rPr>
                <w:rFonts w:ascii="Arial" w:cs="Arial" w:eastAsia="Arial" w:hAnsi="Arial"/>
                <w:sz w:val="18"/>
                <w:szCs w:val="18"/>
                <w:color w:val="auto"/>
                <w:w w:val="92"/>
              </w:rPr>
              <w:t>Commodity contracts</w:t>
            </w:r>
          </w:p>
        </w:tc>
        <w:tc>
          <w:tcPr>
            <w:tcW w:w="17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jc w:val="center"/>
              <w:ind w:right="4672"/>
              <w:spacing w:after="0"/>
              <w:rPr>
                <w:sz w:val="20"/>
                <w:szCs w:val="20"/>
                <w:color w:val="auto"/>
              </w:rPr>
            </w:pPr>
            <w:r>
              <w:rPr>
                <w:rFonts w:ascii="Arial" w:cs="Arial" w:eastAsia="Arial" w:hAnsi="Arial"/>
                <w:sz w:val="18"/>
                <w:szCs w:val="18"/>
                <w:color w:val="auto"/>
                <w:w w:val="89"/>
              </w:rPr>
              <w:t>Interest rate contracts</w:t>
            </w:r>
          </w:p>
        </w:tc>
        <w:tc>
          <w:tcPr>
            <w:tcW w:w="17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r>
      <w:tr>
        <w:trPr>
          <w:trHeight w:val="257"/>
        </w:trPr>
        <w:tc>
          <w:tcPr>
            <w:tcW w:w="7080" w:type="dxa"/>
            <w:vAlign w:val="bottom"/>
          </w:tcPr>
          <w:p>
            <w:pPr>
              <w:jc w:val="center"/>
              <w:ind w:right="4652"/>
              <w:spacing w:after="0"/>
              <w:rPr>
                <w:sz w:val="20"/>
                <w:szCs w:val="20"/>
                <w:color w:val="auto"/>
              </w:rPr>
            </w:pPr>
            <w:r>
              <w:rPr>
                <w:rFonts w:ascii="Arial" w:cs="Arial" w:eastAsia="Arial" w:hAnsi="Arial"/>
                <w:sz w:val="18"/>
                <w:szCs w:val="18"/>
                <w:b w:val="1"/>
                <w:bCs w:val="1"/>
                <w:color w:val="auto"/>
                <w:w w:val="91"/>
              </w:rPr>
              <w:t>Total liabilities</w:t>
            </w:r>
          </w:p>
        </w:tc>
        <w:tc>
          <w:tcPr>
            <w:tcW w:w="1700" w:type="dxa"/>
            <w:vAlign w:val="bottom"/>
            <w:tcBorders>
              <w:top w:val="single" w:sz="8" w:color="auto"/>
              <w:bottom w:val="single" w:sz="8" w:color="auto"/>
            </w:tcBorders>
          </w:tcPr>
          <w:p>
            <w:pPr>
              <w:jc w:val="right"/>
              <w:ind w:right="1501"/>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49</w:t>
            </w:r>
          </w:p>
        </w:tc>
      </w:tr>
      <w:tr>
        <w:trPr>
          <w:trHeight w:val="20"/>
        </w:trPr>
        <w:tc>
          <w:tcPr>
            <w:tcW w:w="70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or liabilities classified as Level 1 or Level 3 as of June 30, 2018 and December 31, 2017.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p>
      <w:pPr>
        <w:jc w:val="both"/>
        <w:ind w:firstLine="405"/>
        <w:spacing w:after="0" w:line="255" w:lineRule="auto"/>
        <w:rPr>
          <w:sz w:val="20"/>
          <w:szCs w:val="20"/>
          <w:color w:val="auto"/>
        </w:rPr>
      </w:pPr>
      <w:r>
        <w:rPr>
          <w:rFonts w:ascii="Arial" w:cs="Arial" w:eastAsia="Arial" w:hAnsi="Arial"/>
          <w:sz w:val="18"/>
          <w:szCs w:val="18"/>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2018, the credit reserve was $1 million in interest expense. It is possible that future market prices could vary from those used in recording assets and liabilities and such variations could be material.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 xml:space="preserve">In addition to the credit risk discussion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color w:val="231F20"/>
        </w:rPr>
        <w:t>to the consolidated financial</w:t>
      </w:r>
      <w:r>
        <w:rPr>
          <w:rFonts w:ascii="Arial" w:cs="Arial" w:eastAsia="Arial" w:hAnsi="Arial"/>
          <w:sz w:val="16"/>
          <w:szCs w:val="16"/>
          <w:color w:val="auto"/>
        </w:rPr>
        <w:t xml:space="preserve"> statements </w:t>
      </w:r>
      <w:r>
        <w:rPr>
          <w:rFonts w:ascii="Arial" w:cs="Arial" w:eastAsia="Arial" w:hAnsi="Arial"/>
          <w:sz w:val="16"/>
          <w:szCs w:val="16"/>
          <w:color w:val="231F20"/>
        </w:rPr>
        <w:t>included in the</w:t>
      </w:r>
      <w:r>
        <w:rPr>
          <w:rFonts w:ascii="Arial" w:cs="Arial" w:eastAsia="Arial" w:hAnsi="Arial"/>
          <w:sz w:val="16"/>
          <w:szCs w:val="16"/>
          <w:color w:val="auto"/>
        </w:rPr>
        <w:t xml:space="preserve"> </w:t>
      </w:r>
      <w:r>
        <w:rPr>
          <w:rFonts w:ascii="Arial" w:cs="Arial" w:eastAsia="Arial" w:hAnsi="Arial"/>
          <w:sz w:val="16"/>
          <w:szCs w:val="16"/>
          <w:color w:val="231F20"/>
        </w:rPr>
        <w:t xml:space="preserve">Company's </w:t>
      </w:r>
      <w:r>
        <w:rPr>
          <w:rFonts w:ascii="Arial" w:cs="Arial" w:eastAsia="Arial" w:hAnsi="Arial"/>
          <w:sz w:val="16"/>
          <w:szCs w:val="16"/>
          <w:color w:val="000000"/>
        </w:rPr>
        <w:t>2017 Form 10-K, the following is a discussion of the concentration of credit risk for the Company's financial instruments. Credit risk relates to the</w:t>
      </w:r>
      <w:r>
        <w:rPr>
          <w:rFonts w:ascii="Arial" w:cs="Arial" w:eastAsia="Arial" w:hAnsi="Arial"/>
          <w:sz w:val="16"/>
          <w:szCs w:val="16"/>
          <w:color w:val="231F20"/>
        </w:rPr>
        <w:t xml:space="preserve"> </w:t>
      </w:r>
      <w:r>
        <w:rPr>
          <w:rFonts w:ascii="Arial" w:cs="Arial" w:eastAsia="Arial" w:hAnsi="Arial"/>
          <w:sz w:val="16"/>
          <w:szCs w:val="16"/>
          <w:color w:val="000000"/>
        </w:rPr>
        <w:t>risk of loss resulting from non-performance or non-payment by counterparties pursuant to the terms of their contractual obligations. The Company monitors and manages credit risk through credit policies that include: (i) an established credit approval process; (ii) daily monitoring of counterparties' credit limits;</w:t>
      </w:r>
    </w:p>
    <w:p>
      <w:pPr>
        <w:spacing w:after="0" w:line="2" w:lineRule="exact"/>
        <w:rPr>
          <w:sz w:val="20"/>
          <w:szCs w:val="20"/>
          <w:color w:val="auto"/>
        </w:rPr>
      </w:pPr>
    </w:p>
    <w:p>
      <w:pPr>
        <w:jc w:val="both"/>
        <w:ind w:firstLine="8"/>
        <w:spacing w:after="0" w:line="254" w:lineRule="auto"/>
        <w:tabs>
          <w:tab w:leader="none" w:pos="3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3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June 30, 2018, credit risk exposure to these counterparties attributable to the Company's ownership interests was approximately $2.6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Accounting for Derivative Instruments and Hedging Activities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7,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i w:val="1"/>
          <w:iCs w:val="1"/>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 xml:space="preserve">to the consolidated financial statements included in the Company's </w:t>
      </w:r>
      <w:r>
        <w:rPr>
          <w:rFonts w:ascii="Arial" w:cs="Arial" w:eastAsia="Arial" w:hAnsi="Arial"/>
          <w:sz w:val="18"/>
          <w:szCs w:val="18"/>
          <w:color w:val="000000"/>
        </w:rPr>
        <w:t>2017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2018, the Company had energy-related derivative instruments extending through 2020. At June 30, 2018,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2018, the Company had interest rate derivative instruments on non-recourse debt extending through 2041, a portion of which are designated as cash flow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commodity: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June 30, 2018</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9"/>
              </w:rPr>
              <w:t>December 31, 2017</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4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3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238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4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1"/>
              <w:spacing w:after="0"/>
              <w:rPr>
                <w:sz w:val="20"/>
                <w:szCs w:val="20"/>
                <w:color w:val="auto"/>
              </w:rPr>
            </w:pPr>
            <w:r>
              <w:rPr>
                <w:rFonts w:ascii="Arial" w:cs="Arial" w:eastAsia="Arial" w:hAnsi="Arial"/>
                <w:sz w:val="18"/>
                <w:szCs w:val="18"/>
                <w:color w:val="auto"/>
              </w:rPr>
              <w:t>1,972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2,050</w:t>
            </w:r>
          </w:p>
        </w:tc>
      </w:tr>
      <w:tr>
        <w:trPr>
          <w:trHeight w:val="648"/>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60" w:type="dxa"/>
            <w:vAlign w:val="bottom"/>
          </w:tcPr>
          <w:p>
            <w:pPr>
              <w:jc w:val="right"/>
              <w:ind w:right="177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3220" w:type="dxa"/>
            <w:vAlign w:val="bottom"/>
            <w:tcBorders>
              <w:bottom w:val="single" w:sz="8" w:color="auto"/>
            </w:tcBorders>
            <w:gridSpan w:val="5"/>
          </w:tcPr>
          <w:p>
            <w:pPr>
              <w:jc w:val="right"/>
              <w:ind w:right="915"/>
              <w:spacing w:after="0"/>
              <w:rPr>
                <w:sz w:val="20"/>
                <w:szCs w:val="20"/>
                <w:color w:val="auto"/>
              </w:rPr>
            </w:pPr>
            <w:r>
              <w:rPr>
                <w:rFonts w:ascii="Arial" w:cs="Arial" w:eastAsia="Arial" w:hAnsi="Arial"/>
                <w:sz w:val="14"/>
                <w:szCs w:val="14"/>
                <w:b w:val="1"/>
                <w:bCs w:val="1"/>
                <w:color w:val="auto"/>
              </w:rPr>
              <w:t xml:space="preserve">Derivative Assets </w:t>
            </w:r>
            <w:r>
              <w:rPr>
                <w:rFonts w:ascii="Arial" w:cs="Arial" w:eastAsia="Arial" w:hAnsi="Arial"/>
                <w:sz w:val="8"/>
                <w:szCs w:val="8"/>
                <w:b w:val="1"/>
                <w:bCs w:val="1"/>
                <w:color w:val="auto"/>
              </w:rPr>
              <w:t>(a)</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Derivative Liabilities</w:t>
            </w:r>
          </w:p>
        </w:tc>
      </w:tr>
      <w:tr>
        <w:trPr>
          <w:trHeight w:val="264"/>
        </w:trPr>
        <w:tc>
          <w:tcPr>
            <w:tcW w:w="492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2018</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4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200" w:type="dxa"/>
            <w:vAlign w:val="bottom"/>
          </w:tcPr>
          <w:p>
            <w:pPr>
              <w:jc w:val="right"/>
              <w:ind w:right="999"/>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2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12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1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w:t>
            </w:r>
          </w:p>
        </w:tc>
      </w:tr>
      <w:tr>
        <w:trPr>
          <w:trHeight w:val="20"/>
        </w:trPr>
        <w:tc>
          <w:tcPr>
            <w:tcW w:w="49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260" w:hanging="252"/>
        <w:spacing w:after="0" w:line="273" w:lineRule="auto"/>
        <w:tabs>
          <w:tab w:leader="none" w:pos="161" w:val="left"/>
        </w:tabs>
        <w:numPr>
          <w:ilvl w:val="0"/>
          <w:numId w:val="15"/>
        </w:numPr>
        <w:rPr>
          <w:rFonts w:ascii="Arial" w:cs="Arial" w:eastAsia="Arial" w:hAnsi="Arial"/>
          <w:sz w:val="9"/>
          <w:szCs w:val="9"/>
          <w:color w:val="auto"/>
        </w:rPr>
      </w:pPr>
      <w:r>
        <w:rPr>
          <w:rFonts w:ascii="Arial" w:cs="Arial" w:eastAsia="Arial" w:hAnsi="Arial"/>
          <w:sz w:val="14"/>
          <w:szCs w:val="14"/>
          <w:color w:val="auto"/>
        </w:rPr>
        <w:t>Derivative Assets balances classified as current are included within the prepayments and other current assets line item of the consolidated balance sheets as of June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04"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The Company has elected to present derivative assets and liabilities on the balance sheet on a trade-by-trade basis and does not offset amounts at the counterparty master agreement level. As of June 30, 2018 and December 31, 2017, there was no outstanding collateral paid or received. The following tables summarize the offsetting of derivatives by the counterparty master agreement level as of June 30, 2018 and December 31,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June 30, 2018</w:t>
            </w: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4"/>
                <w:szCs w:val="14"/>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720" w:type="dxa"/>
            <w:vAlign w:val="bottom"/>
          </w:tcPr>
          <w:p>
            <w:pPr>
              <w:ind w:left="40"/>
              <w:spacing w:after="0" w:line="269" w:lineRule="exact"/>
              <w:rPr>
                <w:sz w:val="20"/>
                <w:szCs w:val="20"/>
                <w:color w:val="auto"/>
              </w:rPr>
            </w:pPr>
            <w:r>
              <w:rPr>
                <w:rFonts w:ascii="Arial" w:cs="Arial" w:eastAsia="Arial" w:hAnsi="Arial"/>
                <w:sz w:val="18"/>
                <w:szCs w:val="18"/>
                <w:b w:val="1"/>
                <w:bCs w:val="1"/>
                <w:color w:val="auto"/>
              </w:rPr>
              <w:t>Commodity contracts</w:t>
            </w:r>
            <w:r>
              <w:rPr>
                <w:rFonts w:ascii="Arial" w:cs="Arial" w:eastAsia="Arial" w:hAnsi="Arial"/>
                <w:sz w:val="25"/>
                <w:szCs w:val="25"/>
                <w:b w:val="1"/>
                <w:bCs w:val="1"/>
                <w:color w:val="auto"/>
                <w:vertAlign w:val="superscript"/>
              </w:rPr>
              <w:t>(a)</w:t>
            </w: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159"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8"/>
          <w:szCs w:val="8"/>
          <w:color w:val="auto"/>
        </w:rPr>
      </w:pPr>
      <w:r>
        <w:rPr>
          <w:rFonts w:ascii="Arial" w:cs="Arial" w:eastAsia="Arial" w:hAnsi="Arial"/>
          <w:sz w:val="12"/>
          <w:szCs w:val="12"/>
          <w:color w:val="auto"/>
        </w:rPr>
        <w:t>There were no commodity contracts classified as derivative assets as of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 of December 31,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Commodity contracts: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Derivative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Derivative liabilities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commodity contracts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rate contracts: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210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5"/>
              </w:rPr>
              <w:t>Derivative Instruments</w:t>
            </w:r>
          </w:p>
        </w:tc>
        <w:tc>
          <w:tcPr>
            <w:tcW w:w="15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6"/>
              </w:rPr>
              <w:t>(In millions)</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   $</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-359410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-8255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5120" w:space="600"/>
            <w:col w:w="5700"/>
          </w:cols>
          <w:pgMar w:left="240" w:top="746"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9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18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18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39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9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608"/>
        </w:trPr>
        <w:tc>
          <w:tcPr>
            <w:tcW w:w="3920" w:type="dxa"/>
            <w:vAlign w:val="bottom"/>
          </w:tcPr>
          <w:p>
            <w:pPr>
              <w:spacing w:after="0"/>
              <w:rPr>
                <w:sz w:val="24"/>
                <w:szCs w:val="24"/>
                <w:color w:val="auto"/>
              </w:rPr>
            </w:pPr>
          </w:p>
        </w:tc>
        <w:tc>
          <w:tcPr>
            <w:tcW w:w="2600" w:type="dxa"/>
            <w:vAlign w:val="bottom"/>
            <w:gridSpan w:val="2"/>
          </w:tcPr>
          <w:p>
            <w:pPr>
              <w:jc w:val="right"/>
              <w:ind w:right="720"/>
              <w:spacing w:after="0"/>
              <w:rPr>
                <w:sz w:val="20"/>
                <w:szCs w:val="20"/>
                <w:color w:val="auto"/>
              </w:rPr>
            </w:pPr>
            <w:r>
              <w:rPr>
                <w:rFonts w:ascii="Arial" w:cs="Arial" w:eastAsia="Arial" w:hAnsi="Arial"/>
                <w:sz w:val="18"/>
                <w:szCs w:val="18"/>
                <w:color w:val="auto"/>
              </w:rPr>
              <w:t>25</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r>
        <w:rPr>
          <w:rFonts w:ascii="Arial" w:cs="Arial" w:eastAsia="Arial" w:hAnsi="Arial"/>
          <w:sz w:val="18"/>
          <w:szCs w:val="18"/>
          <w:b w:val="1"/>
          <w:bCs w:val="1"/>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r>
      <w:tr>
        <w:trPr>
          <w:trHeight w:val="250"/>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gridSpan w:val="3"/>
          </w:tcPr>
          <w:p>
            <w:pPr>
              <w:jc w:val="right"/>
              <w:ind w:right="417"/>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(79)</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6060" w:type="dxa"/>
            <w:vAlign w:val="bottom"/>
          </w:tcPr>
          <w:p>
            <w:pPr>
              <w:ind w:left="200"/>
              <w:spacing w:after="0"/>
              <w:rPr>
                <w:sz w:val="20"/>
                <w:szCs w:val="20"/>
                <w:color w:val="auto"/>
              </w:rPr>
            </w:pPr>
            <w:r>
              <w:rPr>
                <w:rFonts w:ascii="Arial" w:cs="Arial" w:eastAsia="Arial" w:hAnsi="Arial"/>
                <w:sz w:val="18"/>
                <w:szCs w:val="18"/>
                <w:color w:val="auto"/>
                <w:w w:val="94"/>
              </w:rPr>
              <w:t>Reclassified from accumulated OCL to income due to realization of previously</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deferred amounts</w:t>
            </w: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w:t>
            </w:r>
          </w:p>
        </w:tc>
        <w:tc>
          <w:tcPr>
            <w:tcW w:w="8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(86)</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NRG Yield LLC</w:t>
            </w:r>
          </w:p>
        </w:tc>
        <w:tc>
          <w:tcPr>
            <w:tcW w:w="8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(85)</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will prospectively mark these derivatives to market through the income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three months ended June 30, 2018 and 2017, the impact to the consolidated statements of income was a gain of $7 million and a loss of $13 million, respectively. For the six months ended June 30, 2018 and 2017, the impact to the consolidated statements of operations was a gain of $31 million and a loss of $9 million, respectively.</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income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 statements</w:t>
      </w:r>
      <w:r>
        <w:rPr>
          <w:rFonts w:ascii="Arial" w:cs="Arial" w:eastAsia="Arial" w:hAnsi="Arial"/>
          <w:sz w:val="18"/>
          <w:szCs w:val="18"/>
          <w:color w:val="auto"/>
        </w:rPr>
        <w:t xml:space="preserve"> </w:t>
      </w:r>
      <w:r>
        <w:rPr>
          <w:rFonts w:ascii="Arial" w:cs="Arial" w:eastAsia="Arial" w:hAnsi="Arial"/>
          <w:sz w:val="18"/>
          <w:szCs w:val="18"/>
          <w:color w:val="231F20"/>
        </w:rPr>
        <w:t xml:space="preserve">included in the Company's </w:t>
      </w:r>
      <w:r>
        <w:rPr>
          <w:rFonts w:ascii="Arial" w:cs="Arial" w:eastAsia="Arial" w:hAnsi="Arial"/>
          <w:sz w:val="18"/>
          <w:szCs w:val="18"/>
          <w:color w:val="000000"/>
        </w:rPr>
        <w:t>2017 Form 10-K. Long-term debt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0"/>
              </w:rPr>
              <w:t>December 31,</w:t>
            </w:r>
          </w:p>
        </w:tc>
        <w:tc>
          <w:tcPr>
            <w:tcW w:w="19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June 30, 2018, interest rate</w:t>
            </w:r>
          </w:p>
        </w:tc>
        <w:tc>
          <w:tcPr>
            <w:tcW w:w="200" w:type="dxa"/>
            <w:vAlign w:val="bottom"/>
          </w:tcPr>
          <w:p>
            <w:pPr>
              <w:spacing w:after="0"/>
              <w:rPr>
                <w:sz w:val="14"/>
                <w:szCs w:val="14"/>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Letters of Credit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Outstanding at June</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98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(a)</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30, 2018</w:t>
            </w: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80" w:type="dxa"/>
            <w:vAlign w:val="bottom"/>
            <w:gridSpan w:val="2"/>
          </w:tcPr>
          <w:p>
            <w:pPr>
              <w:jc w:val="right"/>
              <w:ind w:right="656"/>
              <w:spacing w:after="0"/>
              <w:rPr>
                <w:sz w:val="20"/>
                <w:szCs w:val="20"/>
                <w:color w:val="auto"/>
              </w:rPr>
            </w:pPr>
            <w:r>
              <w:rPr>
                <w:rFonts w:ascii="Arial" w:cs="Arial" w:eastAsia="Arial" w:hAnsi="Arial"/>
                <w:sz w:val="14"/>
                <w:szCs w:val="14"/>
                <w:b w:val="1"/>
                <w:bCs w:val="1"/>
                <w:color w:val="auto"/>
              </w:rPr>
              <w:t>(In millions, except rates)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 affiliate, due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337</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Long-term debt - affiliate, due 2020</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281</w:t>
            </w:r>
          </w:p>
        </w:tc>
        <w:tc>
          <w:tcPr>
            <w:tcW w:w="1980" w:type="dxa"/>
            <w:vAlign w:val="bottom"/>
          </w:tcPr>
          <w:p>
            <w:pPr>
              <w:jc w:val="right"/>
              <w:spacing w:after="0"/>
              <w:rPr>
                <w:sz w:val="20"/>
                <w:szCs w:val="20"/>
                <w:color w:val="auto"/>
              </w:rPr>
            </w:pPr>
            <w:r>
              <w:rPr>
                <w:rFonts w:ascii="Arial" w:cs="Arial" w:eastAsia="Arial" w:hAnsi="Arial"/>
                <w:sz w:val="17"/>
                <w:szCs w:val="17"/>
                <w:color w:val="auto"/>
              </w:rPr>
              <w:t>3.325</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 Senior Notes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500</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5.375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2026 Senior Notes</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350</w:t>
            </w:r>
          </w:p>
        </w:tc>
        <w:tc>
          <w:tcPr>
            <w:tcW w:w="1980" w:type="dxa"/>
            <w:vAlign w:val="bottom"/>
          </w:tcPr>
          <w:p>
            <w:pPr>
              <w:jc w:val="right"/>
              <w:spacing w:after="0"/>
              <w:rPr>
                <w:sz w:val="20"/>
                <w:szCs w:val="20"/>
                <w:color w:val="auto"/>
              </w:rPr>
            </w:pPr>
            <w:r>
              <w:rPr>
                <w:rFonts w:ascii="Arial" w:cs="Arial" w:eastAsia="Arial" w:hAnsi="Arial"/>
                <w:sz w:val="17"/>
                <w:szCs w:val="17"/>
                <w:color w:val="auto"/>
              </w:rPr>
              <w:t>5.000</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NRG Yield LLC and NRG Yield Operating LLC Revolving Credit Facility,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500" w:type="dxa"/>
            <w:vAlign w:val="bottom"/>
            <w:shd w:val="clear" w:color="auto" w:fill="CCEEFF"/>
          </w:tcPr>
          <w:p>
            <w:pPr>
              <w:ind w:left="40"/>
              <w:spacing w:after="0" w:line="247" w:lineRule="exact"/>
              <w:rPr>
                <w:sz w:val="20"/>
                <w:szCs w:val="20"/>
                <w:color w:val="auto"/>
              </w:rPr>
            </w:pPr>
            <w:r>
              <w:rPr>
                <w:rFonts w:ascii="Arial" w:cs="Arial" w:eastAsia="Arial" w:hAnsi="Arial"/>
                <w:sz w:val="17"/>
                <w:szCs w:val="17"/>
                <w:color w:val="auto"/>
              </w:rPr>
              <w:t xml:space="preserve">due 2023 </w:t>
            </w:r>
            <w:r>
              <w:rPr>
                <w:rFonts w:ascii="Arial" w:cs="Arial" w:eastAsia="Arial" w:hAnsi="Arial"/>
                <w:sz w:val="28"/>
                <w:szCs w:val="28"/>
                <w:color w:val="auto"/>
                <w:vertAlign w:val="superscript"/>
              </w:rPr>
              <w:t>(b)</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55</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L+1.75</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b w:val="1"/>
                <w:bCs w:val="1"/>
                <w:color w:val="auto"/>
              </w:rPr>
              <w:t>Project-level debt: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Agua Caliente Borrower 2, due 2038</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41</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5.430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Alpine, due 2022</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135</w:t>
            </w:r>
          </w:p>
        </w:tc>
        <w:tc>
          <w:tcPr>
            <w:tcW w:w="1980" w:type="dxa"/>
            <w:vAlign w:val="bottom"/>
          </w:tcPr>
          <w:p>
            <w:pPr>
              <w:jc w:val="right"/>
              <w:spacing w:after="0"/>
              <w:rPr>
                <w:sz w:val="20"/>
                <w:szCs w:val="20"/>
                <w:color w:val="auto"/>
              </w:rPr>
            </w:pPr>
            <w:r>
              <w:rPr>
                <w:rFonts w:ascii="Arial" w:cs="Arial" w:eastAsia="Arial" w:hAnsi="Arial"/>
                <w:sz w:val="17"/>
                <w:szCs w:val="17"/>
                <w:color w:val="auto"/>
              </w:rPr>
              <w:t>L+1.750</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Alta Wind I - V lease financing arrangements, due 2034 and 2035</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926</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5.696 - 7.015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Buckthorn Solar, due 2025</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169</w:t>
            </w:r>
          </w:p>
        </w:tc>
        <w:tc>
          <w:tcPr>
            <w:tcW w:w="1980" w:type="dxa"/>
            <w:vAlign w:val="bottom"/>
          </w:tcPr>
          <w:p>
            <w:pPr>
              <w:jc w:val="right"/>
              <w:spacing w:after="0"/>
              <w:rPr>
                <w:sz w:val="20"/>
                <w:szCs w:val="20"/>
                <w:color w:val="auto"/>
              </w:rPr>
            </w:pPr>
            <w:r>
              <w:rPr>
                <w:rFonts w:ascii="Arial" w:cs="Arial" w:eastAsia="Arial" w:hAnsi="Arial"/>
                <w:sz w:val="17"/>
                <w:szCs w:val="17"/>
                <w:color w:val="auto"/>
              </w:rPr>
              <w:t>L+1.750</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CVSR, due 2037</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746</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2.339 - 3.775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CVSR Holdco Notes, due 2037</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194</w:t>
            </w:r>
          </w:p>
        </w:tc>
        <w:tc>
          <w:tcPr>
            <w:tcW w:w="1980" w:type="dxa"/>
            <w:vAlign w:val="bottom"/>
          </w:tcPr>
          <w:p>
            <w:pPr>
              <w:jc w:val="right"/>
              <w:spacing w:after="0"/>
              <w:rPr>
                <w:sz w:val="20"/>
                <w:szCs w:val="20"/>
                <w:color w:val="auto"/>
              </w:rPr>
            </w:pPr>
            <w:r>
              <w:rPr>
                <w:rFonts w:ascii="Arial" w:cs="Arial" w:eastAsia="Arial" w:hAnsi="Arial"/>
                <w:sz w:val="17"/>
                <w:szCs w:val="17"/>
                <w:color w:val="auto"/>
              </w:rPr>
              <w:t>4.680</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El Segundo Energy Center, due 2023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400</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L+1.75 - L+2.375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Energy Center Minneapolis Series C Notes, due 2025</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83</w:t>
            </w:r>
          </w:p>
        </w:tc>
        <w:tc>
          <w:tcPr>
            <w:tcW w:w="1980" w:type="dxa"/>
            <w:vAlign w:val="bottom"/>
          </w:tcPr>
          <w:p>
            <w:pPr>
              <w:jc w:val="right"/>
              <w:spacing w:after="0"/>
              <w:rPr>
                <w:sz w:val="20"/>
                <w:szCs w:val="20"/>
                <w:color w:val="auto"/>
              </w:rPr>
            </w:pPr>
            <w:r>
              <w:rPr>
                <w:rFonts w:ascii="Arial" w:cs="Arial" w:eastAsia="Arial" w:hAnsi="Arial"/>
                <w:sz w:val="17"/>
                <w:szCs w:val="17"/>
                <w:color w:val="auto"/>
              </w:rPr>
              <w:t>5.950</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Energy Center Minneapolis Series D Notes, due 2031</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125</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Energy Center Minneapolis Series E, F, G, H Notes</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various</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Laredo Ridge, due 2028</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95</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L+1.875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Marsh Landing, due 2023</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318</w:t>
            </w:r>
          </w:p>
        </w:tc>
        <w:tc>
          <w:tcPr>
            <w:tcW w:w="1980" w:type="dxa"/>
            <w:vAlign w:val="bottom"/>
          </w:tcPr>
          <w:p>
            <w:pPr>
              <w:jc w:val="right"/>
              <w:spacing w:after="0"/>
              <w:rPr>
                <w:sz w:val="20"/>
                <w:szCs w:val="20"/>
                <w:color w:val="auto"/>
              </w:rPr>
            </w:pPr>
            <w:r>
              <w:rPr>
                <w:rFonts w:ascii="Arial" w:cs="Arial" w:eastAsia="Arial" w:hAnsi="Arial"/>
                <w:sz w:val="17"/>
                <w:szCs w:val="17"/>
                <w:color w:val="auto"/>
              </w:rPr>
              <w:t>L+2.125</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Tapestry, due 2021</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162</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L+1.625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Utah Solar Portfolio, due 2022</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278</w:t>
            </w:r>
          </w:p>
        </w:tc>
        <w:tc>
          <w:tcPr>
            <w:tcW w:w="1980" w:type="dxa"/>
            <w:vAlign w:val="bottom"/>
          </w:tcPr>
          <w:p>
            <w:pPr>
              <w:jc w:val="right"/>
              <w:spacing w:after="0"/>
              <w:rPr>
                <w:sz w:val="20"/>
                <w:szCs w:val="20"/>
                <w:color w:val="auto"/>
              </w:rPr>
            </w:pPr>
            <w:r>
              <w:rPr>
                <w:rFonts w:ascii="Arial" w:cs="Arial" w:eastAsia="Arial" w:hAnsi="Arial"/>
                <w:sz w:val="17"/>
                <w:szCs w:val="17"/>
                <w:color w:val="auto"/>
              </w:rPr>
              <w:t>various</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Viento, due 2023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163</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L+3.00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Walnut Creek, due 2023</w:t>
            </w:r>
          </w:p>
        </w:tc>
        <w:tc>
          <w:tcPr>
            <w:tcW w:w="16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267</w:t>
            </w:r>
          </w:p>
        </w:tc>
        <w:tc>
          <w:tcPr>
            <w:tcW w:w="1980" w:type="dxa"/>
            <w:vAlign w:val="bottom"/>
          </w:tcPr>
          <w:p>
            <w:pPr>
              <w:jc w:val="right"/>
              <w:spacing w:after="0"/>
              <w:rPr>
                <w:sz w:val="20"/>
                <w:szCs w:val="20"/>
                <w:color w:val="auto"/>
              </w:rPr>
            </w:pPr>
            <w:r>
              <w:rPr>
                <w:rFonts w:ascii="Arial" w:cs="Arial" w:eastAsia="Arial" w:hAnsi="Arial"/>
                <w:sz w:val="17"/>
                <w:szCs w:val="17"/>
                <w:color w:val="auto"/>
              </w:rPr>
              <w:t>L+1.625</w:t>
            </w:r>
          </w:p>
        </w:tc>
        <w:tc>
          <w:tcPr>
            <w:tcW w:w="2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443</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various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9"/>
        </w:trPr>
        <w:tc>
          <w:tcPr>
            <w:tcW w:w="5500" w:type="dxa"/>
            <w:vAlign w:val="bottom"/>
          </w:tcPr>
          <w:p>
            <w:pPr>
              <w:ind w:left="280"/>
              <w:spacing w:after="0"/>
              <w:rPr>
                <w:sz w:val="20"/>
                <w:szCs w:val="20"/>
                <w:color w:val="auto"/>
              </w:rPr>
            </w:pPr>
            <w:r>
              <w:rPr>
                <w:rFonts w:ascii="Arial" w:cs="Arial" w:eastAsia="Arial" w:hAnsi="Arial"/>
                <w:sz w:val="17"/>
                <w:szCs w:val="17"/>
                <w:color w:val="auto"/>
              </w:rPr>
              <w:t>Subtotal project-level debt:</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4,487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4,545</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debt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6,068</w:t>
            </w:r>
          </w:p>
        </w:tc>
        <w:tc>
          <w:tcPr>
            <w:tcW w:w="1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120"/>
              <w:spacing w:after="0" w:line="270" w:lineRule="exact"/>
              <w:rPr>
                <w:sz w:val="20"/>
                <w:szCs w:val="20"/>
                <w:color w:val="auto"/>
              </w:rPr>
            </w:pPr>
            <w:r>
              <w:rPr>
                <w:rFonts w:ascii="Arial" w:cs="Arial" w:eastAsia="Arial" w:hAnsi="Arial"/>
                <w:sz w:val="17"/>
                <w:szCs w:val="17"/>
                <w:color w:val="auto"/>
              </w:rPr>
              <w:t xml:space="preserve">Less current maturities </w:t>
            </w:r>
            <w:r>
              <w:rPr>
                <w:rFonts w:ascii="Arial" w:cs="Arial" w:eastAsia="Arial" w:hAnsi="Arial"/>
                <w:sz w:val="28"/>
                <w:szCs w:val="28"/>
                <w:color w:val="auto"/>
                <w:vertAlign w:val="superscript"/>
              </w:rPr>
              <w:t>(c)</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(339)</w:t>
            </w:r>
          </w:p>
        </w:tc>
        <w:tc>
          <w:tcPr>
            <w:tcW w:w="1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Less net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9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500" w:type="dxa"/>
            <w:vAlign w:val="bottom"/>
          </w:tcPr>
          <w:p>
            <w:pPr>
              <w:ind w:left="180"/>
              <w:spacing w:after="0"/>
              <w:rPr>
                <w:sz w:val="20"/>
                <w:szCs w:val="20"/>
                <w:color w:val="auto"/>
              </w:rPr>
            </w:pPr>
            <w:r>
              <w:rPr>
                <w:rFonts w:ascii="Arial" w:cs="Arial" w:eastAsia="Arial" w:hAnsi="Arial"/>
                <w:sz w:val="17"/>
                <w:szCs w:val="17"/>
                <w:color w:val="auto"/>
              </w:rPr>
              <w:t>Total 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5,251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5,667</w:t>
            </w:r>
          </w:p>
        </w:tc>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7959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48" w:lineRule="exact"/>
        <w:rPr>
          <w:sz w:val="20"/>
          <w:szCs w:val="20"/>
          <w:color w:val="auto"/>
        </w:rPr>
      </w:pPr>
    </w:p>
    <w:p>
      <w:pPr>
        <w:ind w:left="80" w:right="20" w:hanging="4"/>
        <w:spacing w:after="0" w:line="246" w:lineRule="auto"/>
        <w:tabs>
          <w:tab w:leader="none" w:pos="227" w:val="left"/>
        </w:tabs>
        <w:numPr>
          <w:ilvl w:val="1"/>
          <w:numId w:val="17"/>
        </w:numPr>
        <w:rPr>
          <w:rFonts w:ascii="Arial" w:cs="Arial" w:eastAsia="Arial" w:hAnsi="Arial"/>
          <w:sz w:val="18"/>
          <w:szCs w:val="18"/>
          <w:color w:val="auto"/>
          <w:vertAlign w:val="superscript"/>
        </w:rPr>
      </w:pPr>
      <w:r>
        <w:rPr>
          <w:rFonts w:ascii="Arial" w:cs="Arial" w:eastAsia="Arial" w:hAnsi="Arial"/>
          <w:sz w:val="14"/>
          <w:szCs w:val="14"/>
          <w:color w:val="auto"/>
        </w:rPr>
        <w:t>As of June 30, 2018, L+ equals 3 month LIBOR plus x%, except for Viento, due 2023 where L+ equals 6 month LIBOR plus 3.00% and Buckthorn Solar and Utah Solar Portfolio, where L+ equals 1 month LIBOR plus x%.</w:t>
      </w:r>
    </w:p>
    <w:p>
      <w:pPr>
        <w:spacing w:after="0" w:line="1" w:lineRule="exact"/>
        <w:rPr>
          <w:rFonts w:ascii="Arial" w:cs="Arial" w:eastAsia="Arial" w:hAnsi="Arial"/>
          <w:sz w:val="18"/>
          <w:szCs w:val="18"/>
          <w:color w:val="auto"/>
          <w:vertAlign w:val="superscript"/>
        </w:rPr>
      </w:pPr>
    </w:p>
    <w:p>
      <w:pPr>
        <w:ind w:left="160" w:hanging="152"/>
        <w:spacing w:after="0" w:line="229" w:lineRule="auto"/>
        <w:tabs>
          <w:tab w:leader="none" w:pos="160" w:val="left"/>
        </w:tabs>
        <w:numPr>
          <w:ilvl w:val="0"/>
          <w:numId w:val="18"/>
        </w:numPr>
        <w:rPr>
          <w:rFonts w:ascii="Arial" w:cs="Arial" w:eastAsia="Arial" w:hAnsi="Arial"/>
          <w:sz w:val="11"/>
          <w:szCs w:val="11"/>
          <w:color w:val="auto"/>
        </w:rPr>
      </w:pPr>
      <w:r>
        <w:rPr>
          <w:rFonts w:ascii="Arial" w:cs="Arial" w:eastAsia="Arial" w:hAnsi="Arial"/>
          <w:sz w:val="16"/>
          <w:szCs w:val="16"/>
          <w:color w:val="auto"/>
        </w:rPr>
        <w:t>Applicable rate is determined by the borrower leverage ratio, as defined in the credit agreement.</w:t>
      </w:r>
    </w:p>
    <w:p>
      <w:pPr>
        <w:ind w:left="160" w:hanging="152"/>
        <w:spacing w:after="0" w:line="219" w:lineRule="auto"/>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 long-term debt - affiliate, due 2019 becomes due in February 2019 and is included in current portion of long-term debt - affiliate on the Company's consolidated balance</w:t>
      </w:r>
    </w:p>
    <w:p>
      <w:pPr>
        <w:ind w:left="80" w:right="20"/>
        <w:spacing w:after="0" w:line="257" w:lineRule="auto"/>
        <w:rPr>
          <w:sz w:val="20"/>
          <w:szCs w:val="20"/>
          <w:color w:val="auto"/>
        </w:rPr>
      </w:pPr>
      <w:r>
        <w:rPr>
          <w:rFonts w:ascii="Arial" w:cs="Arial" w:eastAsia="Arial" w:hAnsi="Arial"/>
          <w:sz w:val="16"/>
          <w:szCs w:val="16"/>
          <w:color w:val="auto"/>
        </w:rPr>
        <w:t>sheet as of June 30, 2018. Upon conversion of the 2019 Convertible Notes, pursuant to a notice delivered by the Company to the holders of the 2019 Convertible Notes on July 26, 2018, the Company will settle all conversions through the payment of cash, as described in the 2019 Convertible Notes indenture.</w:t>
      </w:r>
    </w:p>
    <w:p>
      <w:pPr>
        <w:spacing w:after="0" w:line="128"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June 30, 2018, the Company was in compliance with all of the required covenants.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or additions of long-term debt for the six months ended June 30,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b w:val="1"/>
          <w:bCs w:val="1"/>
          <w:i w:val="1"/>
          <w:iCs w:val="1"/>
          <w:color w:val="auto"/>
        </w:rPr>
        <w:t>NRG Yield LLC and NRG Yield Operating LLC Revolving Credit Facility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2018</w:t>
      </w:r>
      <w:r>
        <w:rPr>
          <w:rFonts w:ascii="Arial" w:cs="Arial" w:eastAsia="Arial" w:hAnsi="Arial"/>
          <w:sz w:val="18"/>
          <w:szCs w:val="18"/>
          <w:color w:val="231F20"/>
        </w:rPr>
        <w:t>, there were no outstanding borrowings under the revolving credit facility and the Company had $67 million of letters of credit outstanding.</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April 30, 2018, the Company closed on the refinancing of the revolving credit facility, which extended the maturity of the facility to April 28, 2023, and decreased the Company's overall cost of borrowing from L+2.50% to L+1.75%. The facility will continue to be used for general corporate purposes including financing of future acquisitions and posting letters of credit.</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February 6, 2018, NRG Yield Operating LLC and NRG Yield LLC amended the revolving credit facility to modify the "change of control" provisions to permit the consummation of the NRG Transaction, and also to permit NRG Yield Operating LLC, NRG Yield LLC and certain subsidiaries to incur up to $1.5 billion of unsecured indebtedness in order to repurchase or make other required cash payments, in each case if applicable, with respect to NRG Yield Operating LLC’s outstanding senior notes and NRG Yield's outstanding convertible notes in connection with the NRG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Project - level Debt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Center Minneapolis Series E, F, G, H Notes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19, 2018, NRG Energy Center Minneapolis LLC, a subsidiary of the Company, entered into an amended and restated Thermal note purchase and private shelf agreement under which it authorized the issuance of the Series E Notes, Series F Notes, Series G Notes, and Series H Notes, as further described in the table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ind w:left="4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900" w:type="dxa"/>
            <w:vAlign w:val="bottom"/>
          </w:tcPr>
          <w:p>
            <w:pPr>
              <w:jc w:val="right"/>
              <w:ind w:right="31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Center Minneapolis Series E Notes, due 2033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Energy Center Minneapolis Series F Notes, due 2033</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90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Center Minneapolis Series G Notes, due 2035</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Energy Center Minneapolis Series H Notes, due 2037</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90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proceeds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w:t>
            </w:r>
          </w:p>
        </w:tc>
        <w:tc>
          <w:tcPr>
            <w:tcW w:w="1900" w:type="dxa"/>
            <w:vAlign w:val="bottom"/>
            <w:tcBorders>
              <w:bottom w:val="single" w:sz="8" w:color="CCEEFF"/>
            </w:tcBorders>
            <w:shd w:val="clear" w:color="auto" w:fill="CCEEFF"/>
          </w:tcPr>
          <w:p>
            <w:pPr>
              <w:spacing w:after="0"/>
              <w:rPr>
                <w:sz w:val="22"/>
                <w:szCs w:val="22"/>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30"/>
        </w:trPr>
        <w:tc>
          <w:tcPr>
            <w:tcW w:w="7940" w:type="dxa"/>
            <w:vAlign w:val="bottom"/>
          </w:tcPr>
          <w:p>
            <w:pPr>
              <w:ind w:left="40"/>
              <w:spacing w:after="0"/>
              <w:rPr>
                <w:sz w:val="20"/>
                <w:szCs w:val="20"/>
                <w:color w:val="auto"/>
              </w:rPr>
            </w:pPr>
            <w:r>
              <w:rPr>
                <w:rFonts w:ascii="Arial" w:cs="Arial" w:eastAsia="Arial" w:hAnsi="Arial"/>
                <w:sz w:val="18"/>
                <w:szCs w:val="18"/>
                <w:color w:val="auto"/>
              </w:rPr>
              <w:t>Repayment of Energy Center Minneapolis Series C Notes, due 2025</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190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borrowings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w:t>
            </w:r>
          </w:p>
        </w:tc>
        <w:tc>
          <w:tcPr>
            <w:tcW w:w="1900" w:type="dxa"/>
            <w:vAlign w:val="bottom"/>
            <w:tcBorders>
              <w:bottom w:val="single" w:sz="8" w:color="CCEEFF"/>
            </w:tcBorders>
            <w:shd w:val="clear" w:color="auto" w:fill="CCEEFF"/>
          </w:tcPr>
          <w:p>
            <w:pPr>
              <w:spacing w:after="0"/>
              <w:rPr>
                <w:sz w:val="22"/>
                <w:szCs w:val="22"/>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The proceeds from the sale of the Series E Notes and the Series F Notes were utilized to finance the acquisition of the UPMC Thermal Project as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The Series G Notes were used to refinance the Series C Notes as noted above in the table. The Series H Notes were used to make a dividend to NRG Yield Operating LLC.</w:t>
      </w:r>
    </w:p>
    <w:p>
      <w:pPr>
        <w:spacing w:after="0" w:line="12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amended and restated Thermal note purchase and private shelf agreement also established a private shelf facility for the future issuance of notes in the amount of $40 million.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Buckthorn Solar Drop Down Asset Debt</w:t>
      </w:r>
    </w:p>
    <w:p>
      <w:pPr>
        <w:spacing w:after="0" w:line="17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 xml:space="preserve">As part of the Buckthorn Solar Drop Down Asset acquisition, as further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the Company assumed non-recourse debt of $183 million relating to Buckthorn Solar Portfolio, LLC as of the date of the acquisition, March 30, 2018. The assumed debt consisted of a Construction Loan and an Investment Tax Credits, or ITC, Bridge Loan, both at an interest rate of LIBOR plus 1.75%. On May 31, 2018, $132 million of non-recourse debt was converted to a term loan with an expected maturity of May 2025, and the remainder of the non-recourse debt was repaid with the final proceeds from the Class A member upon the project reaching substantial completion in May 2018.</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Buckthorn Solar entered into a series of fixed for floating interest rate swaps that would fix the interest rate for a minimum of 80% of the outstanding notional amount. All interest rate swap payments by Buckthorn Solar and its counterparties are made quarterly and LIBOR is determined in advance of each interest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Three months ended June 30, 2018</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8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1,828</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5,937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8,327</w:t>
            </w:r>
          </w:p>
        </w:tc>
        <w:tc>
          <w:tcPr>
            <w:tcW w:w="0" w:type="dxa"/>
            <w:vAlign w:val="bottom"/>
          </w:tcPr>
          <w:p>
            <w:pPr>
              <w:spacing w:after="0"/>
              <w:rPr>
                <w:sz w:val="1"/>
                <w:szCs w:val="1"/>
                <w:color w:val="auto"/>
              </w:rPr>
            </w:pPr>
          </w:p>
        </w:tc>
      </w:tr>
      <w:tr>
        <w:trPr>
          <w:trHeight w:val="561"/>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Three months ended June 30, 2017</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44"/>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680"/>
              <w:spacing w:after="0"/>
              <w:rPr>
                <w:sz w:val="20"/>
                <w:szCs w:val="20"/>
                <w:color w:val="auto"/>
              </w:rPr>
            </w:pPr>
            <w:r>
              <w:rPr>
                <w:rFonts w:ascii="Arial" w:cs="Arial" w:eastAsia="Arial" w:hAnsi="Arial"/>
                <w:sz w:val="14"/>
                <w:szCs w:val="14"/>
                <w:b w:val="1"/>
                <w:bCs w:val="1"/>
                <w:color w:val="auto"/>
                <w:w w:val="90"/>
              </w:rPr>
              <w:t>Six months ended June 30, 2018</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8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68</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1"/>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8,327</w:t>
            </w:r>
          </w:p>
        </w:tc>
        <w:tc>
          <w:tcPr>
            <w:tcW w:w="0" w:type="dxa"/>
            <w:vAlign w:val="bottom"/>
          </w:tcPr>
          <w:p>
            <w:pPr>
              <w:spacing w:after="0"/>
              <w:rPr>
                <w:sz w:val="1"/>
                <w:szCs w:val="1"/>
                <w:color w:val="auto"/>
              </w:rPr>
            </w:pPr>
          </w:p>
        </w:tc>
      </w:tr>
      <w:tr>
        <w:trPr>
          <w:trHeight w:val="33"/>
        </w:trPr>
        <w:tc>
          <w:tcPr>
            <w:tcW w:w="4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2017</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debt extinguishment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1184"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the transactions and relationships described elsewhere in the notes to the consolidated financial statements, NRG or certain subsidiaries of NRG provide services to the Company's project entities. Amounts due to NRG or its subsidiaries are recorded as accounts payable - affiliate and amounts due to the Company from NRG subsidiaries are recorded as accounts receivable - affiliate on the Company's consolidated balance sheet. The disclosures below summarize the Company's material related party transactions with NRG and its subsidiaries that are included in the Company's operating revenues and operating costs.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Purchase Agreements (PPAs) between the Company and NRG Power Marketing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Elbow Creek and Dover are parties to PPAs with NRG Power Marketing and generate revenue under the PPAs, which are recorded to operating revenues in the Company's consolidated statements of operations. For the three and six months ended June 30, 2018, Elbow Creek and Dover, collectively, generated revenues of $3 million and $6 million, respectively. For the three and six months ended June 30, 2017, Elbow Creek and Dover, collectively, generated revenue of $3 million and $7 million, respectively.</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Marketing Services Agreement by and between Thermal entities and NRG Power Marketing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NRG Energy Center Dover LLC, NRG Energy Center Minneapolis, NRG Energy Center Phoenix LLC, and NRG Energy Center Paxton LLC, or Thermal entities, which are subsidiaries of the Company, are parties to Energy Marketing Services Agreements with NRG Power Marketing, a wholly-owned subsidiary of NRG. Under the agreements, NRG Power Marketing procures fuel and fuel transportation for the operation of the Thermal entities. For each of the three and six months ended June 30, 2018 and 2017, the Thermal entities purchased $2 million and $6 million for each period in each year, respectively, of natural gas from NRG Power Marketing.</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Operation and Maintenance (O&amp;M) Services Agreements by and between the Company's subsidiaries and NRG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w:t>
      </w:r>
    </w:p>
    <w:p>
      <w:pPr>
        <w:spacing w:after="0" w:line="11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fees incurred under these agreements were $10 million and $20 million for each of the three and six months ended June 30, 2018, respectively. For the three and six months ended June 30, 2017, the fees incurred were $9 million and $19 million, respectively. The Company had $9 million and $13 million due to NRG for the services performed under the O&amp;M Agreements in accounts payable — affiliate as of June 30, 2018 and December 31, 2017, respectively.</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GenConn incurs fees under two O&amp;M agreements with wholly-owned subsidiaries of NRG. For the three and six months ended June 30, 2018 and 2017, the aggregate fees incurred under the agreements were $2 million and $3 million for each period in each year,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 West Coast LLC</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Marsh Landing is a party to an administrative services agreement with NRG West Coast LLC, a wholly owned subsidiary of NRG. The Company reimbursed costs under this agreement of $6 million and $9 million for each of the three and six months ended June 30, 2018, respectively. The Company reimbursed costs under the agreement of $3 million and $6 million for the three and six months ended June 30, 2017, respectively. There was a balance of $1 million due to NRG West Coast LLC in accounts payable—affiliate as of June 30, 2018 and December 31, 2017.</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NRG Renew Operation &amp; Maintenance LLC</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Various wholly-owned subsidiaries of the Company in the Renewables segment are party to administrative services agreements with NRG Renew Operation &amp; Maintenance LLC, or RENOM, a wholly-owned subsidiary of NRG, which provides O&amp;M services to these subsidiaries. The Company incurred total expenses for these services of $8 million and $15 million for the three and six months ended June 30, 2018, respectively. The Company incurred total expenses for these services of $6 million and $12 million for the three and six months ended June 30, 2017, respectively. There was a balance of $4 million and $5 million due to RENOM as of June 30, 2018 and December 31, 2017,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2" w:right="2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NRG provides the Company with various operational, management, and administrative services, which include human resources, accounting, tax, legal, information systems, treasury, and risk management, as set forth in the Management Services Agreement. As of June 30, 2018, the base management fee was approximately $9 million per year, subject to an inflation-based adjustment annually at an inflation factor based on the year-over-year U.S. consumer price index. The fee is also subject to adjustments following the consummation of future acquisitions and as a result of a change in the scope of services provided under the Management Services Agreement. Costs incurred under this agreement were $3 million and $5 million for the three and six months ended June 30, 2018, respectively. Costs incurred under this agreement for the three and six months ended June 30, 2017 were $4 million and $6 million, respectively. The costs incurred under the Management Services Agreement included certain direct expenses incurred by NRG on behalf of the Company in addition to the base management fee.</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EPC Agreement by and between NECP and NRG</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NRG Business Services LLC, a subsidiary of NRG, and NECP, a wholly owned subsidiary of the Company, entered into an EPC agreement for the construction of a 73 MWt district energy system for NECP to provide 150 kpph of steam, 6,750 tons of chilled water and 7.5 MW of emergency backup power service to UPMC Mercy. The initial term of the energy services agreement with UPMC Mercy will be for a period of twenty years from the service commencement date. On June 19, 2018, as discussed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NECP purchased the UPMC Thermal Project assets from NRG Business Services LLC for cash consideration of $84 million, subject to working capital adjustments. The Company also recorded a payable of $4 million to be paid to NRG upon final completion of the project, which is included in accounts payable - affiliate as of June 30, 2018.</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Condensed Consolidating Financial Information</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As of June 30, 2018, Yield Operating LLC had outstanding $500 million of the 2024 Senior Notes and $350 million of the 2026 Senior Notes, collectively Senior Notes, as described in Note 10,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to the consolidated financial statements included in the Company's 2017 Form 10-K. These Senior Notes are guaranteed by NRG Yield LLC,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Unless otherwise noted below, each of the following guarantor subsidiaries fully and unconditionally guaranteed the Senior Notes as of June 30, 2018:</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Central CA Fuel Cell 1,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Solar Iguana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Solar Las Vegas MB 1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Solar Star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Solar Tabernacle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South Trent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DGPV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RPV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NYLD Fuel Cell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Portfolio Solar 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Flagstaff One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Thermal Infrastructure Development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Asset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II-B,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UB Fuel Cell, LLC</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Yield Operating LLC conducts its business through and derives its income from its subsidiaries. Therefore, its ability to make required payments with respect to its indebtedness and other obligations depends on the financial results and condition of its subsidiaries and Yield Operating LLC's ability to receive funds from its subsidiaries. There are no restrictions on the ability of any of the guarantor subsidiaries to transfer funds to Yield Operating LLC. However, there may be restrictions for certain non-guarantor subsidiaries.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NRG Yield LLC, Yield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this presentation, NRG Yield LLC consists of parent company operations. Guarantor subsidiaries and non-guarantor subsidiaries of NRG Yield LLC are reported on an equity basis. For companies acquired, the fair values of the assets and liabilities acquired have been presented on a push-down accounting basis. As described in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the Company completed the acquisition of the Buckthorn Solar Drop Down Asset on March 30, 2018. The guidance requires retrospective combination of the entities for all periods presented as if the combination has been in effect since the inception of common control. Accordingly, the Company prepared its condensed consolidating financial statements to reflect the transfers as if they had taken place from the beginning of the financial statements period.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2"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Operating LLC</w:t>
            </w:r>
          </w:p>
        </w:tc>
        <w:tc>
          <w:tcPr>
            <w:tcW w:w="18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72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(Note Issuer)</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4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4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Acquisition-related transaction and integration</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72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4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(losses) of consolidated</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affiliates</w:t>
            </w:r>
          </w:p>
        </w:tc>
        <w:tc>
          <w:tcPr>
            <w:tcW w:w="4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w w:val="97"/>
              </w:rPr>
              <w:t>Equity in earnings of unconsolidated affiliates</w:t>
            </w:r>
          </w:p>
        </w:tc>
        <w:tc>
          <w:tcPr>
            <w:tcW w:w="4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4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loss attributable to noncontrolling</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3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42" w:right="319" w:bottom="1440" w:gutter="0" w:footer="0" w:header="0"/>
        </w:sectPr>
      </w:pPr>
    </w:p>
    <w:bookmarkStart w:id="34" w:name="page35"/>
    <w:bookmarkEnd w:id="34"/>
    <w:p>
      <w:pPr>
        <w:ind w:left="4120"/>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integration costs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consolidated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affiliates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of unconsolidated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4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Less: Net loss attributable to noncontrolling</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5"/>
        </w:trPr>
        <w:tc>
          <w:tcPr>
            <w:tcW w:w="32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NRG Yield</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6"/>
        </w:trPr>
        <w:tc>
          <w:tcPr>
            <w:tcW w:w="3260" w:type="dxa"/>
            <w:vAlign w:val="bottom"/>
          </w:tcPr>
          <w:p>
            <w:pPr>
              <w:ind w:left="200"/>
              <w:spacing w:after="0"/>
              <w:rPr>
                <w:sz w:val="20"/>
                <w:szCs w:val="20"/>
                <w:color w:val="auto"/>
              </w:rPr>
            </w:pPr>
            <w:r>
              <w:rPr>
                <w:rFonts w:ascii="Arial" w:cs="Arial" w:eastAsia="Arial" w:hAnsi="Arial"/>
                <w:sz w:val="18"/>
                <w:szCs w:val="18"/>
                <w:b w:val="1"/>
                <w:bCs w:val="1"/>
                <w:color w:val="auto"/>
              </w:rPr>
              <w:t>LLC</w:t>
            </w:r>
          </w:p>
        </w:tc>
        <w:tc>
          <w:tcPr>
            <w:tcW w:w="1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742" w:right="4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NRG Yield LLC</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9"/>
        </w:trPr>
        <w:tc>
          <w:tcPr>
            <w:tcW w:w="3880" w:type="dxa"/>
            <w:vAlign w:val="bottom"/>
          </w:tcPr>
          <w:p>
            <w:pPr>
              <w:ind w:left="180"/>
              <w:spacing w:after="0"/>
              <w:rPr>
                <w:sz w:val="20"/>
                <w:szCs w:val="20"/>
                <w:color w:val="auto"/>
              </w:rPr>
            </w:pPr>
            <w:r>
              <w:rPr>
                <w:rFonts w:ascii="Arial" w:cs="Arial" w:eastAsia="Arial" w:hAnsi="Arial"/>
                <w:sz w:val="18"/>
                <w:szCs w:val="18"/>
                <w:color w:val="auto"/>
              </w:rPr>
              <w:t>Less: Comprehensive loss attributable to</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Comprehensive Income Attributable to NRG</w:t>
            </w:r>
          </w:p>
        </w:tc>
        <w:tc>
          <w:tcPr>
            <w:tcW w:w="2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1"/>
        </w:trPr>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Yield LLC</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0"/>
              </w:rPr>
              <w:t>For the Six Months ended June 30, 2018</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NRG Yield LLC</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9"/>
        </w:trPr>
        <w:tc>
          <w:tcPr>
            <w:tcW w:w="3880" w:type="dxa"/>
            <w:vAlign w:val="bottom"/>
          </w:tcPr>
          <w:p>
            <w:pPr>
              <w:ind w:left="180"/>
              <w:spacing w:after="0"/>
              <w:rPr>
                <w:sz w:val="20"/>
                <w:szCs w:val="20"/>
                <w:color w:val="auto"/>
              </w:rPr>
            </w:pPr>
            <w:r>
              <w:rPr>
                <w:rFonts w:ascii="Arial" w:cs="Arial" w:eastAsia="Arial" w:hAnsi="Arial"/>
                <w:sz w:val="18"/>
                <w:szCs w:val="18"/>
                <w:color w:val="auto"/>
              </w:rPr>
              <w:t>Less: Comprehensive loss attributable to</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Comprehensive Income Attributable to NRG</w:t>
            </w:r>
          </w:p>
        </w:tc>
        <w:tc>
          <w:tcPr>
            <w:tcW w:w="2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1"/>
        </w:trPr>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Yield LLC</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2" w:right="239" w:bottom="1440" w:gutter="0" w:footer="0" w:header="0"/>
        </w:sectPr>
      </w:pPr>
    </w:p>
    <w:bookmarkStart w:id="36" w:name="page37"/>
    <w:bookmarkEnd w:id="36"/>
    <w:p>
      <w:pPr>
        <w:jc w:val="center"/>
        <w:ind w:right="-11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2018</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60" w:type="dxa"/>
            <w:vAlign w:val="bottom"/>
          </w:tcPr>
          <w:p>
            <w:pPr>
              <w:ind w:left="15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Prepayments and other current assets</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5,308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3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investments in affiliates</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43"/>
        </w:trPr>
        <w:tc>
          <w:tcPr>
            <w:tcW w:w="386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5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7,567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8,327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4147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20" w:hanging="158"/>
        <w:spacing w:after="0"/>
        <w:tabs>
          <w:tab w:leader="none" w:pos="22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240" w:top="742" w:right="3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LIABILITIES AND MEMBERS' EQUITY</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Current portion of long-term debt — external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Long-term debt — external</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4,226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Contributed capital</w:t>
            </w: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8,327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291465</wp:posOffset>
            </wp:positionV>
            <wp:extent cx="14147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0" w:hanging="158"/>
        <w:spacing w:after="0"/>
        <w:tabs>
          <w:tab w:leader="none" w:pos="16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300" w:top="959" w:right="29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9"/>
              </w:rPr>
              <w:t>NRG Yield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w w:val="96"/>
              </w:rPr>
              <w:t>Operating</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rPr>
              <w:t>LLC (Note</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2C2C2C"/>
                <w:w w:val="91"/>
              </w:rPr>
              <w:t>Issuer)</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transactions between Yield LLC and 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the Drop Down Assets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receipts from 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Return of investment from unconsolidated affiliates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investments in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Transfer of funds under intercompany cash management arrangement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Net contributions from noncontrolling interests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of) proceeds from distributions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Payment of debt issuance costs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Class C units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Proceeds from the revolving credit facility</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the 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Proceeds from the issuance of long-term debt — external</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Net Increase (Decrease) in Cash, Cash Equivalents and Restricted</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w w:val="95"/>
              </w:rPr>
              <w:t>Cash, Cash Equivalents and Restricted Cash at Beginning of Period</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58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742" w:right="29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 xml:space="preserve">Consolidated </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8"/>
        </w:trPr>
        <w:tc>
          <w:tcPr>
            <w:tcW w:w="3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60"/>
              <w:spacing w:after="0" w:line="199" w:lineRule="exact"/>
              <w:rPr>
                <w:sz w:val="20"/>
                <w:szCs w:val="20"/>
                <w:color w:val="auto"/>
              </w:rPr>
            </w:pPr>
            <w:r>
              <w:rPr>
                <w:rFonts w:ascii="Arial" w:cs="Arial" w:eastAsia="Arial" w:hAnsi="Arial"/>
                <w:sz w:val="22"/>
                <w:szCs w:val="22"/>
                <w:b w:val="1"/>
                <w:bCs w:val="1"/>
                <w:color w:val="auto"/>
                <w:vertAlign w:val="subscript"/>
              </w:rPr>
              <w:t>LLC</w:t>
            </w:r>
            <w:r>
              <w:rPr>
                <w:rFonts w:ascii="Arial" w:cs="Arial" w:eastAsia="Arial" w:hAnsi="Arial"/>
                <w:sz w:val="8"/>
                <w:szCs w:val="8"/>
                <w:b w:val="1"/>
                <w:bCs w:val="1"/>
                <w:color w:val="auto"/>
              </w:rPr>
              <w:t xml:space="preserve"> (a)</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 xml:space="preserve">Subsidiaries </w:t>
            </w:r>
            <w:r>
              <w:rPr>
                <w:rFonts w:ascii="Arial" w:cs="Arial" w:eastAsia="Arial" w:hAnsi="Arial"/>
                <w:sz w:val="8"/>
                <w:szCs w:val="8"/>
                <w:b w:val="1"/>
                <w:bCs w:val="1"/>
                <w:color w:val="auto"/>
                <w:w w:val="94"/>
              </w:rPr>
              <w:t>(a)</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(Note Issuer) </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integration costs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Equity in earnings of 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rPr>
              <w:t>Equity in earnings of unconsolidated</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Less: Net loss attributable to noncontrolling</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w w:val="97"/>
              </w:rPr>
              <w:t>Net Income Attributable to NRG Yield LLC</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34"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2"/>
          <w:szCs w:val="12"/>
          <w:color w:val="auto"/>
        </w:rPr>
        <w:t xml:space="preserve">Retrospectively adjusted as discussed in Note 1, </w:t>
      </w:r>
      <w:r>
        <w:rPr>
          <w:rFonts w:ascii="Arial" w:cs="Arial" w:eastAsia="Arial" w:hAnsi="Arial"/>
          <w:sz w:val="12"/>
          <w:szCs w:val="12"/>
          <w:i w:val="1"/>
          <w:iCs w:val="1"/>
          <w:color w:val="auto"/>
        </w:rPr>
        <w:t>Nature of Business</w:t>
      </w:r>
      <w:r>
        <w:rPr>
          <w:rFonts w:ascii="Arial" w:cs="Arial" w:eastAsia="Arial" w:hAnsi="Arial"/>
          <w:sz w:val="12"/>
          <w:szCs w:val="12"/>
          <w:color w:val="auto"/>
        </w:rPr>
        <w:t>.</w:t>
      </w:r>
    </w:p>
    <w:p>
      <w:pPr>
        <w:spacing w:after="0" w:line="32" w:lineRule="exact"/>
        <w:rPr>
          <w:rFonts w:ascii="Arial" w:cs="Arial" w:eastAsia="Arial" w:hAnsi="Arial"/>
          <w:sz w:val="18"/>
          <w:szCs w:val="18"/>
          <w:color w:val="auto"/>
          <w:vertAlign w:val="superscript"/>
        </w:rPr>
      </w:pPr>
    </w:p>
    <w:p>
      <w:pPr>
        <w:ind w:left="180" w:hanging="172"/>
        <w:spacing w:after="0" w:line="187" w:lineRule="auto"/>
        <w:tabs>
          <w:tab w:leader="none" w:pos="180" w:val="left"/>
        </w:tabs>
        <w:numPr>
          <w:ilvl w:val="0"/>
          <w:numId w:val="23"/>
        </w:numPr>
        <w:rPr>
          <w:rFonts w:ascii="Arial" w:cs="Arial" w:eastAsia="Arial" w:hAnsi="Arial"/>
          <w:sz w:val="19"/>
          <w:szCs w:val="19"/>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LLC</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6"/>
                <w:szCs w:val="16"/>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6"/>
                <w:szCs w:val="1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6"/>
                <w:szCs w:val="16"/>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 xml:space="preserve">Consolidated </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9"/>
                <w:szCs w:val="9"/>
                <w:b w:val="1"/>
                <w:bCs w:val="1"/>
                <w:color w:val="auto"/>
              </w:rPr>
              <w:t>(a)</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 xml:space="preserve">Subsidiaries </w:t>
            </w:r>
            <w:r>
              <w:rPr>
                <w:rFonts w:ascii="Arial" w:cs="Arial" w:eastAsia="Arial" w:hAnsi="Arial"/>
                <w:sz w:val="8"/>
                <w:szCs w:val="8"/>
                <w:b w:val="1"/>
                <w:bCs w:val="1"/>
                <w:color w:val="auto"/>
                <w:w w:val="96"/>
              </w:rPr>
              <w:t>(a)</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(Note Issuer) </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504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3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integration costs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Equity in income of 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rPr>
              <w:t>Equity in earnings of unconsolidated</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40"/>
              <w:spacing w:after="0"/>
              <w:rPr>
                <w:sz w:val="20"/>
                <w:szCs w:val="20"/>
                <w:color w:val="auto"/>
              </w:rPr>
            </w:pPr>
            <w:r>
              <w:rPr>
                <w:rFonts w:ascii="Arial" w:cs="Arial" w:eastAsia="Arial" w:hAnsi="Arial"/>
                <w:sz w:val="18"/>
                <w:szCs w:val="18"/>
                <w:color w:val="auto"/>
              </w:rPr>
              <w:t>affiliates</w:t>
            </w:r>
          </w:p>
        </w:tc>
        <w:tc>
          <w:tcPr>
            <w:tcW w:w="3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Loss on debt extinguishment</w:t>
            </w:r>
          </w:p>
        </w:tc>
        <w:tc>
          <w:tcPr>
            <w:tcW w:w="3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w w:val="94"/>
              </w:rPr>
              <w:t>Less: Net loss attributable to noncontrolling</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40"/>
              <w:spacing w:after="0"/>
              <w:rPr>
                <w:sz w:val="20"/>
                <w:szCs w:val="20"/>
                <w:color w:val="auto"/>
              </w:rPr>
            </w:pPr>
            <w:r>
              <w:rPr>
                <w:rFonts w:ascii="Arial" w:cs="Arial" w:eastAsia="Arial" w:hAnsi="Arial"/>
                <w:sz w:val="18"/>
                <w:szCs w:val="18"/>
                <w:color w:val="auto"/>
              </w:rPr>
              <w:t>interests</w:t>
            </w:r>
          </w:p>
        </w:tc>
        <w:tc>
          <w:tcPr>
            <w:tcW w:w="3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7"/>
              </w:rPr>
              <w:t>Net Income Attributable to NRG Yield LLC</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2"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2"/>
          <w:szCs w:val="12"/>
          <w:color w:val="auto"/>
        </w:rPr>
        <w:t xml:space="preserve">Retrospectively adjusted as discussed in Note 1, </w:t>
      </w:r>
      <w:r>
        <w:rPr>
          <w:rFonts w:ascii="Arial" w:cs="Arial" w:eastAsia="Arial" w:hAnsi="Arial"/>
          <w:sz w:val="12"/>
          <w:szCs w:val="12"/>
          <w:i w:val="1"/>
          <w:iCs w:val="1"/>
          <w:color w:val="auto"/>
        </w:rPr>
        <w:t>Nature of Business</w:t>
      </w:r>
      <w:r>
        <w:rPr>
          <w:rFonts w:ascii="Arial" w:cs="Arial" w:eastAsia="Arial" w:hAnsi="Arial"/>
          <w:sz w:val="12"/>
          <w:szCs w:val="12"/>
          <w:color w:val="auto"/>
        </w:rPr>
        <w:t>.</w:t>
      </w:r>
    </w:p>
    <w:p>
      <w:pPr>
        <w:spacing w:after="0" w:line="32" w:lineRule="exact"/>
        <w:rPr>
          <w:rFonts w:ascii="Arial" w:cs="Arial" w:eastAsia="Arial" w:hAnsi="Arial"/>
          <w:sz w:val="18"/>
          <w:szCs w:val="18"/>
          <w:color w:val="auto"/>
          <w:vertAlign w:val="superscript"/>
        </w:rPr>
      </w:pPr>
    </w:p>
    <w:p>
      <w:pPr>
        <w:ind w:left="180" w:hanging="172"/>
        <w:spacing w:after="0" w:line="187" w:lineRule="auto"/>
        <w:tabs>
          <w:tab w:leader="none" w:pos="180" w:val="left"/>
        </w:tabs>
        <w:numPr>
          <w:ilvl w:val="0"/>
          <w:numId w:val="24"/>
        </w:numPr>
        <w:rPr>
          <w:rFonts w:ascii="Arial" w:cs="Arial" w:eastAsia="Arial" w:hAnsi="Arial"/>
          <w:sz w:val="19"/>
          <w:szCs w:val="19"/>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500" w:type="dxa"/>
            <w:vAlign w:val="bottom"/>
            <w:gridSpan w:val="5"/>
          </w:tcPr>
          <w:p>
            <w:pPr>
              <w:ind w:left="20"/>
              <w:spacing w:after="0"/>
              <w:rPr>
                <w:sz w:val="20"/>
                <w:szCs w:val="20"/>
                <w:color w:val="auto"/>
              </w:rPr>
            </w:pPr>
            <w:r>
              <w:rPr>
                <w:rFonts w:ascii="Arial" w:cs="Arial" w:eastAsia="Arial" w:hAnsi="Arial"/>
                <w:sz w:val="14"/>
                <w:szCs w:val="14"/>
                <w:b w:val="1"/>
                <w:bCs w:val="1"/>
                <w:color w:val="auto"/>
              </w:rPr>
              <w:t>NRG Yield Operating</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LLC</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3"/>
              </w:rPr>
              <w:t xml:space="preserve">Consolidated </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8"/>
        </w:trPr>
        <w:tc>
          <w:tcPr>
            <w:tcW w:w="3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400"/>
              <w:spacing w:after="0" w:line="199" w:lineRule="exact"/>
              <w:rPr>
                <w:sz w:val="20"/>
                <w:szCs w:val="20"/>
                <w:color w:val="auto"/>
              </w:rPr>
            </w:pPr>
            <w:r>
              <w:rPr>
                <w:rFonts w:ascii="Arial" w:cs="Arial" w:eastAsia="Arial" w:hAnsi="Arial"/>
                <w:sz w:val="22"/>
                <w:szCs w:val="22"/>
                <w:b w:val="1"/>
                <w:bCs w:val="1"/>
                <w:color w:val="auto"/>
                <w:vertAlign w:val="subscript"/>
              </w:rPr>
              <w:t>LLC</w:t>
            </w:r>
            <w:r>
              <w:rPr>
                <w:rFonts w:ascii="Arial" w:cs="Arial" w:eastAsia="Arial" w:hAnsi="Arial"/>
                <w:sz w:val="8"/>
                <w:szCs w:val="8"/>
                <w:b w:val="1"/>
                <w:bCs w:val="1"/>
                <w:color w:val="auto"/>
              </w:rPr>
              <w:t xml:space="preserve"> (a)</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 xml:space="preserve">Subsidiaries </w:t>
            </w:r>
            <w:r>
              <w:rPr>
                <w:rFonts w:ascii="Arial" w:cs="Arial" w:eastAsia="Arial" w:hAnsi="Arial"/>
                <w:sz w:val="8"/>
                <w:szCs w:val="8"/>
                <w:b w:val="1"/>
                <w:bCs w:val="1"/>
                <w:color w:val="auto"/>
              </w:rPr>
              <w:t>(a)</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 xml:space="preserve">(Note Issuer) </w:t>
            </w:r>
            <w:r>
              <w:rPr>
                <w:rFonts w:ascii="Arial" w:cs="Arial" w:eastAsia="Arial" w:hAnsi="Arial"/>
                <w:sz w:val="8"/>
                <w:szCs w:val="8"/>
                <w:b w:val="1"/>
                <w:bCs w:val="1"/>
                <w:color w:val="auto"/>
                <w:w w:val="92"/>
              </w:rPr>
              <w:t>(a)</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800" w:type="dxa"/>
            <w:vAlign w:val="bottom"/>
          </w:tcPr>
          <w:p>
            <w:pPr>
              <w:jc w:val="right"/>
              <w:ind w:right="116"/>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760" w:type="dxa"/>
            <w:vAlign w:val="bottom"/>
          </w:tcPr>
          <w:p>
            <w:pPr>
              <w:ind w:left="4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Less: Comprehensive loss attributable to</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5"/>
        </w:trPr>
        <w:tc>
          <w:tcPr>
            <w:tcW w:w="31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4"/>
              </w:rPr>
              <w:t>Comprehensive Income Attributable to</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7"/>
                <w:szCs w:val="17"/>
                <w:color w:val="auto"/>
              </w:rPr>
            </w:pPr>
          </w:p>
        </w:tc>
        <w:tc>
          <w:tcPr>
            <w:tcW w:w="1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vMerge w:val="restart"/>
          </w:tcPr>
          <w:p>
            <w:pPr>
              <w:ind w:left="4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14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1"/>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NRG Yield LLC</w:t>
            </w:r>
          </w:p>
        </w:tc>
        <w:tc>
          <w:tcPr>
            <w:tcW w:w="1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gridSpan w:val="2"/>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gridSpan w:val="2"/>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gridSpan w:val="2"/>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60" w:type="dxa"/>
            <w:vAlign w:val="bottom"/>
            <w:gridSpan w:val="18"/>
          </w:tcPr>
          <w:p>
            <w:pPr>
              <w:ind w:left="680"/>
              <w:spacing w:after="0"/>
              <w:rPr>
                <w:sz w:val="20"/>
                <w:szCs w:val="20"/>
                <w:color w:val="auto"/>
              </w:rPr>
            </w:pPr>
            <w:r>
              <w:rPr>
                <w:rFonts w:ascii="Arial" w:cs="Arial" w:eastAsia="Arial" w:hAnsi="Arial"/>
                <w:sz w:val="18"/>
                <w:szCs w:val="18"/>
                <w:b w:val="1"/>
                <w:bCs w:val="1"/>
                <w:color w:val="auto"/>
              </w:rPr>
              <w:t>For the Six Months Ended June 30, 2017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8"/>
          </w:tcPr>
          <w:p>
            <w:pPr>
              <w:ind w:left="600"/>
              <w:spacing w:after="0"/>
              <w:rPr>
                <w:sz w:val="20"/>
                <w:szCs w:val="20"/>
                <w:color w:val="auto"/>
              </w:rPr>
            </w:pPr>
            <w:r>
              <w:rPr>
                <w:rFonts w:ascii="Arial" w:cs="Arial" w:eastAsia="Arial" w:hAnsi="Arial"/>
                <w:sz w:val="18"/>
                <w:szCs w:val="18"/>
                <w:b w:val="1"/>
                <w:bCs w:val="1"/>
                <w:color w:val="auto"/>
              </w:rPr>
              <w:t>(Unaudited)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NRG Yield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NRG Yield LLC</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Non-Guarantor</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Operating LLC</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7"/>
              </w:rPr>
              <w:t xml:space="preserve">Consolidated </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340"/>
              <w:spacing w:after="0"/>
              <w:rPr>
                <w:sz w:val="20"/>
                <w:szCs w:val="20"/>
                <w:color w:val="auto"/>
              </w:rPr>
            </w:pPr>
            <w:r>
              <w:rPr>
                <w:rFonts w:ascii="Arial" w:cs="Arial" w:eastAsia="Arial" w:hAnsi="Arial"/>
                <w:sz w:val="9"/>
                <w:szCs w:val="9"/>
                <w:b w:val="1"/>
                <w:bCs w:val="1"/>
                <w:color w:val="auto"/>
              </w:rPr>
              <w:t>(a)</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Subsidiaries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2"/>
              </w:rPr>
              <w:t xml:space="preserve">Subsidiaries </w:t>
            </w:r>
            <w:r>
              <w:rPr>
                <w:rFonts w:ascii="Arial" w:cs="Arial" w:eastAsia="Arial" w:hAnsi="Arial"/>
                <w:sz w:val="8"/>
                <w:szCs w:val="8"/>
                <w:b w:val="1"/>
                <w:bCs w:val="1"/>
                <w:color w:val="auto"/>
                <w:w w:val="92"/>
              </w:rPr>
              <w:t>(a)</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4"/>
              </w:rPr>
              <w:t xml:space="preserve">(Note Issuer) </w:t>
            </w:r>
            <w:r>
              <w:rPr>
                <w:rFonts w:ascii="Arial" w:cs="Arial" w:eastAsia="Arial" w:hAnsi="Arial"/>
                <w:sz w:val="8"/>
                <w:szCs w:val="8"/>
                <w:b w:val="1"/>
                <w:bCs w:val="1"/>
                <w:color w:val="auto"/>
                <w:w w:val="94"/>
              </w:rPr>
              <w:t>(a)</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ind w:left="600"/>
              <w:spacing w:after="0"/>
              <w:rPr>
                <w:sz w:val="20"/>
                <w:szCs w:val="20"/>
                <w:color w:val="auto"/>
              </w:rPr>
            </w:pPr>
            <w:r>
              <w:rPr>
                <w:rFonts w:ascii="Arial" w:cs="Arial" w:eastAsia="Arial" w:hAnsi="Arial"/>
                <w:sz w:val="18"/>
                <w:szCs w:val="18"/>
                <w:color w:val="auto"/>
              </w:rPr>
              <w:t>13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Less: Comprehensive loss attributable to</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5"/>
        </w:trPr>
        <w:tc>
          <w:tcPr>
            <w:tcW w:w="31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4"/>
              </w:rPr>
              <w:t>Comprehensive Income Attributable to</w:t>
            </w:r>
          </w:p>
        </w:tc>
        <w:tc>
          <w:tcPr>
            <w:tcW w:w="16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8"/>
                <w:szCs w:val="18"/>
                <w:color w:val="auto"/>
              </w:rPr>
              <w:t>89</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vMerge w:val="restart"/>
          </w:tcPr>
          <w:p>
            <w:pPr>
              <w:ind w:left="600"/>
              <w:spacing w:after="0"/>
              <w:rPr>
                <w:sz w:val="20"/>
                <w:szCs w:val="20"/>
                <w:color w:val="auto"/>
              </w:rPr>
            </w:pPr>
            <w:r>
              <w:rPr>
                <w:rFonts w:ascii="Arial" w:cs="Arial" w:eastAsia="Arial" w:hAnsi="Arial"/>
                <w:sz w:val="18"/>
                <w:szCs w:val="18"/>
                <w:color w:val="auto"/>
              </w:rPr>
              <w:t>13</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88</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1"/>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NRG Yield LLC</w:t>
            </w:r>
          </w:p>
        </w:tc>
        <w:tc>
          <w:tcPr>
            <w:tcW w:w="16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722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9"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1" w:lineRule="exact"/>
        <w:rPr>
          <w:rFonts w:ascii="Arial" w:cs="Arial" w:eastAsia="Arial" w:hAnsi="Arial"/>
          <w:sz w:val="9"/>
          <w:szCs w:val="9"/>
          <w:color w:val="auto"/>
        </w:rPr>
      </w:pPr>
    </w:p>
    <w:p>
      <w:pPr>
        <w:ind w:left="140" w:hanging="132"/>
        <w:spacing w:after="0" w:line="229" w:lineRule="auto"/>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2"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Consolidated</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Subsidiaries</w:t>
            </w:r>
            <w:r>
              <w:rPr>
                <w:rFonts w:ascii="Arial" w:cs="Arial" w:eastAsia="Arial" w:hAnsi="Arial"/>
                <w:sz w:val="8"/>
                <w:szCs w:val="8"/>
                <w:b w:val="1"/>
                <w:bCs w:val="1"/>
                <w:color w:val="auto"/>
              </w:rPr>
              <w:t>(a)</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460" w:type="dxa"/>
            <w:vAlign w:val="bottom"/>
          </w:tcPr>
          <w:p>
            <w:pPr>
              <w:ind w:left="13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Prepayments and other current assets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97"/>
        </w:trPr>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Equity investments in affiliates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346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8"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(b)</w:t>
            </w:r>
          </w:p>
        </w:tc>
        <w:tc>
          <w:tcPr>
            <w:tcW w:w="160" w:type="dxa"/>
            <w:vAlign w:val="bottom"/>
          </w:tcPr>
          <w:p>
            <w:pPr>
              <w:spacing w:after="0"/>
              <w:rPr>
                <w:sz w:val="12"/>
                <w:szCs w:val="12"/>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Consolidated</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Subsidiaries</w:t>
            </w:r>
            <w:r>
              <w:rPr>
                <w:rFonts w:ascii="Arial" w:cs="Arial" w:eastAsia="Arial" w:hAnsi="Arial"/>
                <w:sz w:val="8"/>
                <w:szCs w:val="8"/>
                <w:b w:val="1"/>
                <w:bCs w:val="1"/>
                <w:color w:val="auto"/>
                <w:w w:val="92"/>
              </w:rPr>
              <w:t>(a)</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LIABILITIES AND MEMBERS' EQUITY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5"/>
          </w:tcPr>
          <w:p>
            <w:pPr>
              <w:ind w:left="104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Current portion of long-term debt —</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18"/>
                <w:szCs w:val="18"/>
                <w:color w:val="auto"/>
              </w:rPr>
              <w:t>external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Accounts payable — affiliate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Accrued expenses and other current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 external</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37"/>
        </w:trPr>
        <w:tc>
          <w:tcPr>
            <w:tcW w:w="346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Members' Equity</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Contributed capital</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Members'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57"/>
        </w:trPr>
        <w:tc>
          <w:tcPr>
            <w:tcW w:w="346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and Members’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7,662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3,568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1" w:lineRule="exact"/>
        <w:rPr>
          <w:rFonts w:ascii="Arial" w:cs="Arial" w:eastAsia="Arial" w:hAnsi="Arial"/>
          <w:sz w:val="9"/>
          <w:szCs w:val="9"/>
          <w:color w:val="auto"/>
        </w:rPr>
      </w:pPr>
    </w:p>
    <w:p>
      <w:pPr>
        <w:ind w:left="140" w:hanging="132"/>
        <w:spacing w:after="0"/>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414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9"/>
              </w:rPr>
              <w:t>NRG Yield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480" w:type="dxa"/>
            <w:vAlign w:val="bottom"/>
          </w:tcPr>
          <w:p>
            <w:pPr>
              <w:spacing w:after="0"/>
              <w:rPr>
                <w:sz w:val="14"/>
                <w:szCs w:val="14"/>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8"/>
              </w:rPr>
              <w:t>Operating LLC</w:t>
            </w:r>
          </w:p>
        </w:tc>
        <w:tc>
          <w:tcPr>
            <w:tcW w:w="200" w:type="dxa"/>
            <w:vAlign w:val="bottom"/>
          </w:tcPr>
          <w:p>
            <w:pPr>
              <w:spacing w:after="0"/>
              <w:rPr>
                <w:sz w:val="14"/>
                <w:szCs w:val="14"/>
                <w:color w:val="auto"/>
              </w:rPr>
            </w:pPr>
          </w:p>
        </w:tc>
        <w:tc>
          <w:tcPr>
            <w:tcW w:w="12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7"/>
              </w:rPr>
              <w:t xml:space="preserve">Consolidated </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82"/>
        </w:trPr>
        <w:tc>
          <w:tcPr>
            <w:tcW w:w="44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9"/>
                <w:szCs w:val="9"/>
                <w:b w:val="1"/>
                <w:bCs w:val="1"/>
                <w:color w:val="auto"/>
                <w:w w:val="90"/>
              </w:rPr>
              <w:t>(a)</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Subsidiaries </w:t>
            </w:r>
            <w:r>
              <w:rPr>
                <w:rFonts w:ascii="Arial" w:cs="Arial" w:eastAsia="Arial" w:hAnsi="Arial"/>
                <w:sz w:val="8"/>
                <w:szCs w:val="8"/>
                <w:b w:val="1"/>
                <w:bCs w:val="1"/>
                <w:color w:val="auto"/>
                <w:w w:val="92"/>
              </w:rPr>
              <w:t>(a)</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2C2C2C"/>
                <w:w w:val="93"/>
              </w:rPr>
              <w:t>(Note Issuer)</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Intercompany transactions from Yield LLC to</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40"/>
              <w:spacing w:after="0"/>
              <w:rPr>
                <w:sz w:val="20"/>
                <w:szCs w:val="20"/>
                <w:color w:val="auto"/>
              </w:rPr>
            </w:pPr>
            <w:r>
              <w:rPr>
                <w:rFonts w:ascii="Arial" w:cs="Arial" w:eastAsia="Arial" w:hAnsi="Arial"/>
                <w:sz w:val="18"/>
                <w:szCs w:val="18"/>
                <w:color w:val="auto"/>
              </w:rPr>
              <w:t>subsidiaries</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the Drop Down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receipts from 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Return of investment from unconsolidated affiliates</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investments in unconsolidated affiliates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w w:val="94"/>
              </w:rPr>
              <w:t>Transfer of funds under intercompany cash management</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40"/>
              <w:spacing w:after="0"/>
              <w:rPr>
                <w:sz w:val="20"/>
                <w:szCs w:val="20"/>
                <w:color w:val="auto"/>
              </w:rPr>
            </w:pPr>
            <w:r>
              <w:rPr>
                <w:rFonts w:ascii="Arial" w:cs="Arial" w:eastAsia="Arial" w:hAnsi="Arial"/>
                <w:sz w:val="18"/>
                <w:szCs w:val="18"/>
                <w:color w:val="auto"/>
              </w:rPr>
              <w:t>arrangement</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contributions from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w w:val="95"/>
              </w:rPr>
              <w:t>Net distributions and return of capital to NRG prior to the</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40"/>
              <w:spacing w:after="0"/>
              <w:rPr>
                <w:sz w:val="20"/>
                <w:szCs w:val="20"/>
                <w:color w:val="auto"/>
              </w:rPr>
            </w:pPr>
            <w:r>
              <w:rPr>
                <w:rFonts w:ascii="Arial" w:cs="Arial" w:eastAsia="Arial" w:hAnsi="Arial"/>
                <w:sz w:val="18"/>
                <w:szCs w:val="18"/>
                <w:color w:val="auto"/>
              </w:rPr>
              <w:t>acquisition of Drop Down Assets</w:t>
            </w:r>
          </w:p>
        </w:tc>
        <w:tc>
          <w:tcPr>
            <w:tcW w:w="3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Class C units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(Payments of) proceeds from distributions</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w w:val="96"/>
              </w:rPr>
              <w:t>Proceeds from the issuance of long-term debt - external</w:t>
            </w:r>
          </w:p>
        </w:tc>
        <w:tc>
          <w:tcPr>
            <w:tcW w:w="3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long-term debt — external</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w w:val="99"/>
              </w:rPr>
              <w:t>Net Cash (Used in) Provided by Financing Activities</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4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3"/>
              </w:rPr>
              <w:t>Net Decrease in Cash, Cash Equivalents and Restricted</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5"/>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Beginning of Period</w:t>
            </w:r>
          </w:p>
        </w:tc>
        <w:tc>
          <w:tcPr>
            <w:tcW w:w="3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4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5"/>
              </w:rPr>
              <w:t>Cash, Cash Equivalents and Restricted Cash at End of</w:t>
            </w:r>
          </w:p>
        </w:tc>
        <w:tc>
          <w:tcPr>
            <w:tcW w:w="32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1"/>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Period</w:t>
            </w:r>
          </w:p>
        </w:tc>
        <w:tc>
          <w:tcPr>
            <w:tcW w:w="3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Company's 2017 Form 10-K.</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Braun v. NRG Yield, Inc. </w:t>
      </w:r>
      <w:r>
        <w:rPr>
          <w:rFonts w:ascii="Arial" w:cs="Arial" w:eastAsia="Arial" w:hAnsi="Arial"/>
          <w:sz w:val="18"/>
          <w:szCs w:val="18"/>
          <w:color w:val="auto"/>
        </w:rPr>
        <w:t>— On April 19, 2016, plaintiffs filed a putative class action lawsuit against NRG Yield, Inc., the current and former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its board of directors individually, and other parties in California Superior Court in Kern County, California. Plaintiffs allege various violations of the Securities Act due to the defendants’ alleged failure to disclose material facts related to low wind production prior to the NRG Yield, Inc.'s June 22, 2015 Class C common stock offering. Plaintiffs seek compensatory damages, rescission, attorney’s fees and costs. The defendants filed demurrers and a motion challenging jurisdiction on October 18, 2016. On July 30, 2018, the plaintiffs filed an opposition to the defendants’ motion to quash service of the summons and an opposition to the defendants’ demurrer.</w:t>
      </w:r>
    </w:p>
    <w:p>
      <w:pPr>
        <w:spacing w:after="0" w:line="139"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i w:val="1"/>
          <w:iCs w:val="1"/>
          <w:color w:val="auto"/>
        </w:rPr>
        <w:t xml:space="preserve">GenOn Noteholders' Lawsuit </w:t>
      </w:r>
      <w:r>
        <w:rPr>
          <w:rFonts w:ascii="Arial" w:cs="Arial" w:eastAsia="Arial" w:hAnsi="Arial"/>
          <w:sz w:val="16"/>
          <w:szCs w:val="16"/>
          <w:color w:val="auto"/>
        </w:rPr>
        <w:t>— On December 13, 2016, certain indenture trustees for an ad hoc group of holders, or the Noteholders, of the GenOn</w:t>
      </w:r>
      <w:r>
        <w:rPr>
          <w:rFonts w:ascii="Arial" w:cs="Arial" w:eastAsia="Arial" w:hAnsi="Arial"/>
          <w:sz w:val="16"/>
          <w:szCs w:val="16"/>
          <w:i w:val="1"/>
          <w:iCs w:val="1"/>
          <w:color w:val="auto"/>
        </w:rPr>
        <w:t xml:space="preserve"> </w:t>
      </w:r>
      <w:r>
        <w:rPr>
          <w:rFonts w:ascii="Arial" w:cs="Arial" w:eastAsia="Arial" w:hAnsi="Arial"/>
          <w:sz w:val="16"/>
          <w:szCs w:val="16"/>
          <w:color w:val="auto"/>
        </w:rPr>
        <w:t>Energy, Inc., or GenOn, 7.875% Senior Notes due 2017, 9.500% Notes due 2018, and 9.875% Notes due 2020, and the GenOn Americas Generation, LLC 8.50% Senior Notes due 2021 and 9.125% Senior Notes due 2031, along with certain of the Noteholders, filed a complaint in the Superior Court of the State of Delaware against NRG and GenOn alleging certain claims related to the Services Agreement between NRG and GenOn. On April 30, 2017, the Noteholders filed an amended complaint that asserts additional claims of fraudulent transfer, insider preference and breach of fiduciary duties. In addition to NRG and GenOn, the amended complaint names NRG Yield LLC and certain current and former officers and directors of GenOn as defendants. The plaintiffs, among other things, generally seek return of all monies paid under the Services Agreement and any other damages that the court deems appropriate. On April 28, 2017, the bondholders filed an amended complaint adding the GenOn directors and officers as defendants and asserting claims that they breached certain fiduciary duties. Plaintiffs specifically allege that the transfer of Marsh Landing to NRG Yield LLC constituted a fraudulent transfer. On June 12, 2017, certain GenOn entities, NRG and certain holders of the GenOn and GenOn Americas Generation, LLC senior notes entered into a restructuring support and lock-up agreement. On July 13, 2018, NRG and GenOn executed a term sheet that resolves and releases the GenOn Noteholder litigation.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33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discussion analyzes the Company's historical financial condition and results of operations, which were recast to include the effect of the Buckthorn Solar Drop Down Asset.</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As you read this discussion and analysis, refer to the Company's Consolidated Financial Statements to this Form 10-Q, which present the results of operations for the six months ended June 30, 2018 and 2017. Also refer to the </w:t>
      </w:r>
      <w:r>
        <w:rPr>
          <w:rFonts w:ascii="Arial" w:cs="Arial" w:eastAsia="Arial" w:hAnsi="Arial"/>
          <w:sz w:val="18"/>
          <w:szCs w:val="18"/>
          <w:color w:val="231F20"/>
        </w:rPr>
        <w:t>Company's</w:t>
      </w:r>
      <w:r>
        <w:rPr>
          <w:rFonts w:ascii="Arial" w:cs="Arial" w:eastAsia="Arial" w:hAnsi="Arial"/>
          <w:sz w:val="18"/>
          <w:szCs w:val="18"/>
          <w:color w:val="auto"/>
        </w:rPr>
        <w:t xml:space="preserve"> 2017 Form 10-K, which includes detailed discussions of various items impacting the Company's business, results of operations and financial condition.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640" w:hanging="320"/>
        <w:spacing w:after="0" w:line="277" w:lineRule="auto"/>
        <w:tabs>
          <w:tab w:leader="none" w:pos="130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63"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NRG Yield LLC was formed by NRG as a Delaware limited liability company on March 5, 2013, to serve as the primary vehicle through which NRG owns, operates and acquires contracted renewable and conventional generation and thermal infrastructure assets. The Company believes it is well positioned to be a premier company for investors seeking stable and growing distributions income from a diversified portfolio of lower-risk assets.</w:t>
      </w:r>
    </w:p>
    <w:p>
      <w:pPr>
        <w:spacing w:after="0" w:line="11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7"/>
          <w:szCs w:val="17"/>
          <w:color w:val="231F20"/>
        </w:rPr>
        <w:t>5,118 net MW as of June 30, 2018. Nearly all</w:t>
      </w:r>
      <w:r>
        <w:rPr>
          <w:rFonts w:ascii="Arial" w:cs="Arial" w:eastAsia="Arial" w:hAnsi="Arial"/>
          <w:sz w:val="17"/>
          <w:szCs w:val="17"/>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7"/>
          <w:szCs w:val="17"/>
          <w:color w:val="231F20"/>
        </w:rPr>
        <w:t>15 years as of June 30, 2018,</w:t>
      </w:r>
      <w:r>
        <w:rPr>
          <w:rFonts w:ascii="Arial" w:cs="Arial" w:eastAsia="Arial" w:hAnsi="Arial"/>
          <w:sz w:val="17"/>
          <w:szCs w:val="17"/>
          <w:color w:val="auto"/>
        </w:rPr>
        <w:t xml:space="preserve"> based on CAFD</w:t>
      </w:r>
      <w:r>
        <w:rPr>
          <w:rFonts w:ascii="Arial" w:cs="Arial" w:eastAsia="Arial" w:hAnsi="Arial"/>
          <w:sz w:val="17"/>
          <w:szCs w:val="17"/>
          <w:color w:val="231F20"/>
        </w:rPr>
        <w:t>. The Company also owns thermal infrastructure assets with an aggregate steam</w:t>
      </w:r>
      <w:r>
        <w:rPr>
          <w:rFonts w:ascii="Arial" w:cs="Arial" w:eastAsia="Arial" w:hAnsi="Arial"/>
          <w:sz w:val="17"/>
          <w:szCs w:val="17"/>
          <w:color w:val="auto"/>
        </w:rPr>
        <w:t xml:space="preserve"> </w:t>
      </w:r>
      <w:r>
        <w:rPr>
          <w:rFonts w:ascii="Arial" w:cs="Arial" w:eastAsia="Arial" w:hAnsi="Arial"/>
          <w:sz w:val="17"/>
          <w:szCs w:val="17"/>
          <w:color w:val="231F20"/>
        </w:rPr>
        <w:t>and chilled water capacity of 1,392 net MWt and electric generation capacity of 133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Sponsorship with Global Infrastructure Partners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February 6, 2018, Global Infrastructure Partners, or GIP, entered into a purchase and sale agreement with NRG, or the NRG Transaction, for the acquisition of NRG’s full ownership interest in NRG Yield, Inc. and NRG’s renewable energy development and operations platform. The NRG Transaction is subject to certain closing conditions, including customary legal and regulatory approvals. As of July 31, 2018, all regulatory approvals have been received and the Company expects the NRG Transaction to close in the third quarter of 2018.</w:t>
      </w:r>
    </w:p>
    <w:p>
      <w:pPr>
        <w:spacing w:after="0" w:line="13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In connection with the NRG Transaction, the Company entered into a Consent and Indemnity Agreement with NRG and GIP setting forth key terms and conditions of the Company's consent to the NRG Transaction. The key provisions of the Consent and Indemnity Agreement are described in the Company's 2017 Form 10-K in Item 7, </w:t>
      </w:r>
      <w:r>
        <w:rPr>
          <w:rFonts w:ascii="Arial" w:cs="Arial" w:eastAsia="Arial" w:hAnsi="Arial"/>
          <w:sz w:val="17"/>
          <w:szCs w:val="17"/>
          <w:i w:val="1"/>
          <w:iCs w:val="1"/>
          <w:color w:val="auto"/>
        </w:rPr>
        <w:t>Management's Discussion and Analysis of Financial Condition and the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 During the Quarter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Offer</w:t>
      </w:r>
    </w:p>
    <w:p>
      <w:pPr>
        <w:spacing w:after="0" w:line="171" w:lineRule="exact"/>
        <w:rPr>
          <w:sz w:val="20"/>
          <w:szCs w:val="20"/>
          <w:color w:val="auto"/>
        </w:rPr>
      </w:pPr>
    </w:p>
    <w:p>
      <w:pPr>
        <w:ind w:left="340" w:hanging="251"/>
        <w:spacing w:after="0" w:line="308" w:lineRule="auto"/>
        <w:tabs>
          <w:tab w:leader="none" w:pos="340" w:val="left"/>
        </w:tabs>
        <w:numPr>
          <w:ilvl w:val="0"/>
          <w:numId w:val="30"/>
        </w:numPr>
        <w:rPr>
          <w:rFonts w:ascii="Arial" w:cs="Arial" w:eastAsia="Arial" w:hAnsi="Arial"/>
          <w:sz w:val="17"/>
          <w:szCs w:val="17"/>
          <w:i w:val="1"/>
          <w:iCs w:val="1"/>
          <w:color w:val="auto"/>
        </w:rPr>
      </w:pPr>
      <w:r>
        <w:rPr>
          <w:rFonts w:ascii="Arial" w:cs="Arial" w:eastAsia="Arial" w:hAnsi="Arial"/>
          <w:sz w:val="17"/>
          <w:szCs w:val="17"/>
          <w:color w:val="auto"/>
        </w:rPr>
        <w:t>On June 27, 2018, NRG, through its renewables business, offered the Company the opportunity to acquire 80 MW of utility-scale solar projects located in Kawailoa and Oahu, Hawaii. The acquisition is subject to negotiation and approval by NRG Yield's Independent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UPMC Thermal Project Acquisition and Thermal Financings</w:t>
      </w:r>
    </w:p>
    <w:p>
      <w:pPr>
        <w:spacing w:after="0" w:line="212" w:lineRule="exact"/>
        <w:rPr>
          <w:sz w:val="20"/>
          <w:szCs w:val="20"/>
          <w:color w:val="auto"/>
        </w:rPr>
      </w:pPr>
    </w:p>
    <w:p>
      <w:pPr>
        <w:ind w:left="34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June 19, 2018, upon reaching substantial completion, the Company acquired from NRG the UPMC Thermal Project for cash consideration of $84 million, subject to working capital adjustments. The Company will pay NRG an additional $4 million at final completion of the project.</w:t>
      </w:r>
    </w:p>
    <w:p>
      <w:pPr>
        <w:spacing w:after="0" w:line="92"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As further described in Note 7,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on June 19, 2018, NRG Energy Center Minneapolis LLC, a subsidiary of the Company, entered into an amended and restated Thermal note purchase and private shelf agreement under which it authorized the issuance of the Series E Notes, Series F Notes, Series G Notes, and Series H Notes and established a private shelf facility for the further issuance of $40 million in notes.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of the Revolving Credit Facility</w:t>
      </w:r>
    </w:p>
    <w:p>
      <w:pPr>
        <w:spacing w:after="0" w:line="171" w:lineRule="exact"/>
        <w:rPr>
          <w:sz w:val="20"/>
          <w:szCs w:val="20"/>
          <w:color w:val="auto"/>
        </w:rPr>
      </w:pPr>
    </w:p>
    <w:p>
      <w:pPr>
        <w:jc w:val="both"/>
        <w:ind w:left="34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April 30, 2018, the Company closed on the refinancing of the revolving credit facility, which extended the maturity of the facility to April 28, 2023 and decreased the Company's overall cost of borrowing. The facility will continue to be used for general corporate purposes including financing of future acquisitions and posting letters of credit.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Regulatory Matters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 xml:space="preserve">The Company’s environmental matters and regulatory matters are described in the Company’s 2017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Matters </w:t>
      </w:r>
      <w:r>
        <w:rPr>
          <w:rFonts w:ascii="Arial" w:cs="Arial" w:eastAsia="Arial" w:hAnsi="Arial"/>
          <w:sz w:val="18"/>
          <w:szCs w:val="18"/>
          <w:color w:val="auto"/>
        </w:rPr>
        <w:t>and Item 1A,</w:t>
      </w:r>
      <w:r>
        <w:rPr>
          <w:rFonts w:ascii="Arial" w:cs="Arial" w:eastAsia="Arial" w:hAnsi="Arial"/>
          <w:sz w:val="18"/>
          <w:szCs w:val="18"/>
          <w:i w:val="1"/>
          <w:iCs w:val="1"/>
          <w:color w:val="auto"/>
        </w:rPr>
        <w:t xml:space="preserve"> Risk Factors.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2017 Form 10-K in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 Trends Affecting Results of Operations and Future Business Performance.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742"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w w:val="92"/>
              </w:rPr>
              <w:t>Three months ended June 30,</w:t>
            </w: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9"/>
          </w:tcPr>
          <w:p>
            <w:pPr>
              <w:jc w:val="center"/>
              <w:ind w:left="353"/>
              <w:spacing w:after="0"/>
              <w:rPr>
                <w:sz w:val="20"/>
                <w:szCs w:val="20"/>
                <w:color w:val="auto"/>
              </w:rPr>
            </w:pPr>
            <w:r>
              <w:rPr>
                <w:rFonts w:ascii="Arial" w:cs="Arial" w:eastAsia="Arial" w:hAnsi="Arial"/>
                <w:sz w:val="14"/>
                <w:szCs w:val="14"/>
                <w:b w:val="1"/>
                <w:bCs w:val="1"/>
                <w:color w:val="auto"/>
                <w:w w:val="89"/>
              </w:rPr>
              <w:t>Six months ended June 30,</w:t>
            </w:r>
          </w:p>
        </w:tc>
        <w:tc>
          <w:tcPr>
            <w:tcW w:w="620" w:type="dxa"/>
            <w:vAlign w:val="bottom"/>
            <w:tcBorders>
              <w:bottom w:val="single" w:sz="8" w:color="auto"/>
            </w:tcBorders>
          </w:tcPr>
          <w:p>
            <w:pPr>
              <w:spacing w:after="0"/>
              <w:rPr>
                <w:sz w:val="16"/>
                <w:szCs w:val="16"/>
                <w:color w:val="auto"/>
              </w:rPr>
            </w:pPr>
          </w:p>
        </w:tc>
      </w:tr>
      <w:tr>
        <w:trPr>
          <w:trHeight w:val="229"/>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000" w:type="dxa"/>
            <w:vAlign w:val="bottom"/>
            <w:gridSpan w:val="4"/>
          </w:tcPr>
          <w:p>
            <w:pPr>
              <w:ind w:left="22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9"/>
                <w:szCs w:val="19"/>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Energy and capacity revenues</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325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567</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Cost of fuels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Operations and maintenance</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Other costs of operations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Total operating costs and expenses</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expense, net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Loss attributable to noncontrolling interests</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53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w w:val="91"/>
              </w:rPr>
              <w:t>Three months ended June 30,</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9"/>
          </w:tcPr>
          <w:p>
            <w:pPr>
              <w:jc w:val="center"/>
              <w:ind w:left="333"/>
              <w:spacing w:after="0"/>
              <w:rPr>
                <w:sz w:val="20"/>
                <w:szCs w:val="20"/>
                <w:color w:val="auto"/>
              </w:rPr>
            </w:pPr>
            <w:r>
              <w:rPr>
                <w:rFonts w:ascii="Arial" w:cs="Arial" w:eastAsia="Arial" w:hAnsi="Arial"/>
                <w:sz w:val="14"/>
                <w:szCs w:val="14"/>
                <w:b w:val="1"/>
                <w:bCs w:val="1"/>
                <w:color w:val="auto"/>
                <w:w w:val="90"/>
              </w:rPr>
              <w:t>Six months ended June 30,</w:t>
            </w:r>
          </w:p>
        </w:tc>
        <w:tc>
          <w:tcPr>
            <w:tcW w:w="620" w:type="dxa"/>
            <w:vAlign w:val="bottom"/>
            <w:tcBorders>
              <w:bottom w:val="single" w:sz="8" w:color="auto"/>
            </w:tcBorders>
          </w:tcPr>
          <w:p>
            <w:pPr>
              <w:spacing w:after="0"/>
              <w:rPr>
                <w:sz w:val="24"/>
                <w:szCs w:val="24"/>
                <w:color w:val="auto"/>
              </w:rPr>
            </w:pPr>
          </w:p>
        </w:tc>
      </w:tr>
      <w:tr>
        <w:trPr>
          <w:trHeight w:val="264"/>
        </w:trPr>
        <w:tc>
          <w:tcPr>
            <w:tcW w:w="5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Business metrics:</w:t>
            </w: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2017</w:t>
            </w:r>
          </w:p>
        </w:tc>
        <w:tc>
          <w:tcPr>
            <w:tcW w:w="5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4"/>
                <w:szCs w:val="14"/>
                <w:b w:val="1"/>
                <w:bCs w:val="1"/>
                <w:color w:val="auto"/>
              </w:rPr>
              <w:t>2017</w:t>
            </w:r>
          </w:p>
        </w:tc>
      </w:tr>
      <w:tr>
        <w:trPr>
          <w:trHeight w:val="270"/>
        </w:trPr>
        <w:tc>
          <w:tcPr>
            <w:tcW w:w="53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2,112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3"/>
              </w:rPr>
              <w:t>3,789</w:t>
            </w: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Thermal MWt sold (in thousands)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1,079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987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3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(b)</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r>
      <w:tr>
        <w:trPr>
          <w:trHeight w:val="270"/>
        </w:trPr>
        <w:tc>
          <w:tcPr>
            <w:tcW w:w="53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(a)(c)</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455</w:t>
            </w:r>
          </w:p>
        </w:tc>
      </w:tr>
      <w:tr>
        <w:trPr>
          <w:trHeight w:val="243"/>
        </w:trPr>
        <w:tc>
          <w:tcPr>
            <w:tcW w:w="5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Conventional equivalent availability factor</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97.5%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94.1%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91.2%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8"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spacing w:after="0" w:line="10" w:lineRule="exact"/>
        <w:rPr>
          <w:rFonts w:ascii="Arial" w:cs="Arial" w:eastAsia="Arial" w:hAnsi="Arial"/>
          <w:sz w:val="18"/>
          <w:szCs w:val="18"/>
          <w:color w:val="auto"/>
          <w:vertAlign w:val="superscript"/>
        </w:rPr>
      </w:pPr>
    </w:p>
    <w:p>
      <w:pPr>
        <w:ind w:right="120" w:firstLine="8"/>
        <w:spacing w:after="0" w:line="266" w:lineRule="auto"/>
        <w:tabs>
          <w:tab w:leader="none" w:pos="153" w:val="left"/>
        </w:tabs>
        <w:numPr>
          <w:ilvl w:val="0"/>
          <w:numId w:val="33"/>
        </w:numPr>
        <w:rPr>
          <w:rFonts w:ascii="Arial" w:cs="Arial" w:eastAsia="Arial" w:hAnsi="Arial"/>
          <w:sz w:val="17"/>
          <w:szCs w:val="17"/>
          <w:color w:val="auto"/>
          <w:vertAlign w:val="superscript"/>
        </w:rPr>
      </w:pPr>
      <w:r>
        <w:rPr>
          <w:rFonts w:ascii="Arial" w:cs="Arial" w:eastAsia="Arial" w:hAnsi="Arial"/>
          <w:sz w:val="12"/>
          <w:szCs w:val="12"/>
          <w:color w:val="auto"/>
        </w:rPr>
        <w:t xml:space="preserve">MWh sold do not include 19 MWh and 11 MWh during the three months ended June 30, 2018 and 2017, respectively, and 29 MWh and 18 MWh during the six months ended June 30, 2018 and 2017, respectively, generated by NRG Dover, a subsidiary of the Company, under the PPA with NRG Power Marketing, as further described in Note 9, </w:t>
      </w:r>
      <w:r>
        <w:rPr>
          <w:rFonts w:ascii="Arial" w:cs="Arial" w:eastAsia="Arial" w:hAnsi="Arial"/>
          <w:sz w:val="12"/>
          <w:szCs w:val="12"/>
          <w:i w:val="1"/>
          <w:iCs w:val="1"/>
          <w:color w:val="auto"/>
        </w:rPr>
        <w:t>Related Party Transactions</w:t>
      </w:r>
      <w:r>
        <w:rPr>
          <w:rFonts w:ascii="Arial" w:cs="Arial" w:eastAsia="Arial" w:hAnsi="Arial"/>
          <w:sz w:val="12"/>
          <w:szCs w:val="12"/>
          <w:color w:val="auto"/>
        </w:rPr>
        <w:t>.</w:t>
      </w:r>
    </w:p>
    <w:p>
      <w:pPr>
        <w:ind w:left="160" w:hanging="152"/>
        <w:spacing w:after="0" w:line="207" w:lineRule="auto"/>
        <w:tabs>
          <w:tab w:leader="none" w:pos="160" w:val="left"/>
        </w:tabs>
        <w:numPr>
          <w:ilvl w:val="0"/>
          <w:numId w:val="33"/>
        </w:numPr>
        <w:rPr>
          <w:rFonts w:ascii="Arial" w:cs="Arial" w:eastAsia="Arial" w:hAnsi="Arial"/>
          <w:sz w:val="19"/>
          <w:szCs w:val="19"/>
          <w:color w:val="auto"/>
          <w:vertAlign w:val="superscript"/>
        </w:rPr>
      </w:pPr>
      <w:r>
        <w:rPr>
          <w:rFonts w:ascii="Arial" w:cs="Arial" w:eastAsia="Arial" w:hAnsi="Arial"/>
          <w:sz w:val="13"/>
          <w:szCs w:val="13"/>
          <w:color w:val="auto"/>
        </w:rPr>
        <w:t>Volumes generated are not sold by the Company as the Conventional facilities sell capacity rather than energy.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2"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Management’s Discussion of the Results of Operations for the Three Months Ended June 30, 2018 and 2017</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three months ended June 30, 2018 and 2017:</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22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60" w:type="dxa"/>
            <w:vAlign w:val="bottom"/>
          </w:tcPr>
          <w:p>
            <w:pPr>
              <w:ind w:left="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2018</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Energy and capacity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fuels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7"/>
        </w:trPr>
        <w:tc>
          <w:tcPr>
            <w:tcW w:w="626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2017</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Energy and capacity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fuels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7"/>
        </w:trPr>
        <w:tc>
          <w:tcPr>
            <w:tcW w:w="626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Gross margin increased by $16 million during the three months ended June 30, 2018, compared to the same period in 2017, as further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ind w:left="40"/>
              <w:spacing w:after="0"/>
              <w:rPr>
                <w:sz w:val="20"/>
                <w:szCs w:val="20"/>
                <w:color w:val="auto"/>
              </w:rPr>
            </w:pPr>
            <w:r>
              <w:rPr>
                <w:rFonts w:ascii="Arial" w:cs="Arial" w:eastAsia="Arial" w:hAnsi="Arial"/>
                <w:sz w:val="16"/>
                <w:szCs w:val="16"/>
                <w:b w:val="1"/>
                <w:bCs w:val="1"/>
                <w:color w:val="auto"/>
              </w:rPr>
              <w:t>Segment</w:t>
            </w:r>
          </w:p>
        </w:tc>
        <w:tc>
          <w:tcPr>
            <w:tcW w:w="740" w:type="dxa"/>
            <w:vAlign w:val="bottom"/>
          </w:tcPr>
          <w:p>
            <w:pPr>
              <w:ind w:left="40"/>
              <w:spacing w:after="0"/>
              <w:rPr>
                <w:sz w:val="20"/>
                <w:szCs w:val="20"/>
                <w:color w:val="auto"/>
              </w:rPr>
            </w:pPr>
            <w:r>
              <w:rPr>
                <w:rFonts w:ascii="Arial" w:cs="Arial" w:eastAsia="Arial" w:hAnsi="Arial"/>
                <w:sz w:val="16"/>
                <w:szCs w:val="16"/>
                <w:b w:val="1"/>
                <w:bCs w:val="1"/>
                <w:color w:val="auto"/>
              </w:rPr>
              <w:t>Increase</w:t>
            </w:r>
          </w:p>
        </w:tc>
        <w:tc>
          <w:tcPr>
            <w:tcW w:w="4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Reason for Increase</w:t>
            </w: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Renewables: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9% increase in volume generated by wind projects, primarily at the Alta Wind projects, as well as 2% increase in</w:t>
            </w: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vMerge w:val="continue"/>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8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solar generation, primarily at CVSR</w:t>
            </w:r>
          </w:p>
        </w:tc>
        <w:tc>
          <w:tcPr>
            <w:tcW w:w="0" w:type="dxa"/>
            <w:vAlign w:val="bottom"/>
          </w:tcPr>
          <w:p>
            <w:pPr>
              <w:spacing w:after="0"/>
              <w:rPr>
                <w:sz w:val="1"/>
                <w:szCs w:val="1"/>
                <w:color w:val="auto"/>
              </w:rPr>
            </w:pPr>
          </w:p>
        </w:tc>
      </w:tr>
      <w:tr>
        <w:trPr>
          <w:trHeight w:val="229"/>
        </w:trPr>
        <w:tc>
          <w:tcPr>
            <w:tcW w:w="1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Thermal:</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w w:val="90"/>
              </w:rPr>
              <w:t>Steam sales revenues generated at the UPMC Thermal Project pursuant to the Energy Sales Agreement between the</w:t>
            </w: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8500" w:type="dxa"/>
            <w:vAlign w:val="bottom"/>
          </w:tcPr>
          <w:p>
            <w:pPr>
              <w:ind w:left="180"/>
              <w:spacing w:after="0"/>
              <w:rPr>
                <w:sz w:val="20"/>
                <w:szCs w:val="20"/>
                <w:color w:val="auto"/>
              </w:rPr>
            </w:pPr>
            <w:r>
              <w:rPr>
                <w:rFonts w:ascii="Arial" w:cs="Arial" w:eastAsia="Arial" w:hAnsi="Arial"/>
                <w:sz w:val="18"/>
                <w:szCs w:val="18"/>
                <w:color w:val="auto"/>
              </w:rPr>
              <w:t>Company and UPMC Mercy</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Conventional :</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Higher plant availability at Walnut Creek in 2018, partially offset by lower start revenue at Marsh Landing</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w:t>
            </w:r>
          </w:p>
        </w:tc>
        <w:tc>
          <w:tcPr>
            <w:tcW w:w="8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500" w:type="dxa"/>
            <w:vAlign w:val="bottom"/>
            <w:vMerge w:val="restart"/>
          </w:tcPr>
          <w:p>
            <w:pPr>
              <w:ind w:left="27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Operations and Maintenance</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Operations and maintenance expense decreased by $4 million during the three months ended June 30, 2018, primarily due to lower net losses on disposal and replacement of assets at Walnut Creek and El Segundo, as well as lower costs related to the forced outages at Walnut Creek in the second quarter of 2018 compared to the same period in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and amortization expense increased by $3 million during the three months ended June 30, 2018, compared to the same period in 2017, primarily due to change in estimated useful lives for certain components of fixed assets in the Renewables segment in the first half of 2017, as well as due to the substantial completion of the Buckthorn Solar project in May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Equity in earnings of unconsolidated affiliates increased by $13 million during the three months ended June 30, 2018, compared to the same period in 2017, primarily due to income allocated to the Company in DGPV Holdco 3, which was formed in September 2017. The HLBV method of accounting generally allocates more losses to the TE investors in the first several years after fund formation, and conversely, more income to the Company.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Interest expense decreased by $18 million during the three months ended June 30, 2018, compared to the same period in 2017, primarily due to changes in the fair value of interest rate swaps during the second quarter of 2018.</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three months ended June 30, 2018, the Company had a loss of $56 million attributable to noncontrolling interests with respect to its tax equity financing arrangements and the application of the HLBV method. For the three months ended June 30, 2017, the Company had a loss of $22 million attributable to noncontrolling interests with respect to its tax equity financing arrangements and the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Management’s Discussion of the Results of Operations for the Six Months Ended June 30, 2018 and 2017</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six months ended June 30, 2018 and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Thermal</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Generation</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June 30, 2018</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June 30, 2017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513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Gross margin increased by $16 million during the six months ended June 30, 2018, compared to the same period in 2017, due to a combination of the drivers summarized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ind w:left="40"/>
              <w:spacing w:after="0"/>
              <w:rPr>
                <w:sz w:val="20"/>
                <w:szCs w:val="20"/>
                <w:color w:val="auto"/>
              </w:rPr>
            </w:pPr>
            <w:r>
              <w:rPr>
                <w:rFonts w:ascii="Arial" w:cs="Arial" w:eastAsia="Arial" w:hAnsi="Arial"/>
                <w:sz w:val="16"/>
                <w:szCs w:val="16"/>
                <w:b w:val="1"/>
                <w:bCs w:val="1"/>
                <w:color w:val="auto"/>
              </w:rPr>
              <w:t>Segment</w:t>
            </w:r>
          </w:p>
        </w:tc>
        <w:tc>
          <w:tcPr>
            <w:tcW w:w="860" w:type="dxa"/>
            <w:vAlign w:val="bottom"/>
          </w:tcPr>
          <w:p>
            <w:pPr>
              <w:ind w:left="40"/>
              <w:spacing w:after="0"/>
              <w:rPr>
                <w:sz w:val="20"/>
                <w:szCs w:val="20"/>
                <w:color w:val="auto"/>
              </w:rPr>
            </w:pPr>
            <w:r>
              <w:rPr>
                <w:rFonts w:ascii="Arial" w:cs="Arial" w:eastAsia="Arial" w:hAnsi="Arial"/>
                <w:sz w:val="16"/>
                <w:szCs w:val="16"/>
                <w:b w:val="1"/>
                <w:bCs w:val="1"/>
                <w:color w:val="auto"/>
              </w:rPr>
              <w:t>Increase</w:t>
            </w:r>
          </w:p>
        </w:tc>
        <w:tc>
          <w:tcPr>
            <w:tcW w:w="52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Reason for Increase</w:t>
            </w: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Renewables: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 increase in volume generated by wind projects, primarily in connection with higher wind resource at the Alta</w:t>
            </w: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vMerge w:val="continue"/>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Wind projects, as well as a 5% increase in solar generation, primarily at CVSR</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Conventional:</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8320" w:type="dxa"/>
            <w:vAlign w:val="bottom"/>
          </w:tcPr>
          <w:p>
            <w:pPr>
              <w:ind w:left="20"/>
              <w:spacing w:after="0"/>
              <w:rPr>
                <w:sz w:val="20"/>
                <w:szCs w:val="20"/>
                <w:color w:val="auto"/>
              </w:rPr>
            </w:pPr>
            <w:r>
              <w:rPr>
                <w:rFonts w:ascii="Arial" w:cs="Arial" w:eastAsia="Arial" w:hAnsi="Arial"/>
                <w:sz w:val="18"/>
                <w:szCs w:val="18"/>
                <w:color w:val="auto"/>
              </w:rPr>
              <w:t>Higher plant availability at Walnut Creek and El Segundo</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Thermal:</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Increased consumption across the portfolio in 2018, as well as steam sales revenues generated at the UPMC</w:t>
            </w: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vMerge w:val="continue"/>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Thermal Project pursuant to the Energy Sales Agreement between the Company and UPMC Mercy</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8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w:t>
            </w:r>
          </w:p>
        </w:tc>
        <w:tc>
          <w:tcPr>
            <w:tcW w:w="8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320" w:type="dxa"/>
            <w:vAlign w:val="bottom"/>
            <w:vMerge w:val="restart"/>
          </w:tcPr>
          <w:p>
            <w:pPr>
              <w:ind w:left="25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Operations and Maintenance</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Operations and maintenance expense decreased by $4 million during the six months ended June 30, 2018, compared to the same period in 2017, primarily due to lower net losses on disposal and replacement of assets at Walnut Creek and El Segundo, as well as lower costs related to the forced outages at Walnut Creek in the first half of 2018 compared to the same period in 2017, partially offset by higher personnel and maintenance costs in Thermal segment in connection with the UPMC Thermal Project going on-line in March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and amortization expense increased by $7 million during the six months ended June 30, 2018, compared to the same period in 2017, due to changes in estimated useful lives for certain components of fixed assets in the first half of 2017 in the Conventional and Renewables segments, as well as due to the substantial completion of the Buckthorn Solar project in May 2018.</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Equity in earnings of unconsolidated affiliates decreased by $2 million during the six months ended June 30, 2018, compared to the same period in 2017, primarily driven by the prior period HLBV income allocated to the Company’s interests in the Utah Portfolio offset by income allocated to the Company in DGPV Holdco 3, which was formed in September 2017. The HLBV method of accounting generally allocates more losses to the TE investors in the first several years after fund formation, and conversely, more income to the Company. The prior period losses allocated to the TE investors were primarily driven by early tax losses allocated to the TE investor in the Utah Solar Portfolio.</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decreased by $38 million during the six months ended June 30, 2018, compared to the same period in 2017, primarily due to changes in the fair value of interest rate swaps during the first half of 2018.</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six months ended June 30, 2018, the Company had a loss of $93 million attributable to noncontrolling interests with respect to its tax equity financing arrangements and the application of the HLBV method. For the six months ended June 30, 2017, the Company had a loss of $33 million attributable to noncontrolling interests with respect to its tax equity financing arrangements and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 the Company</w:t>
      </w:r>
      <w:r>
        <w:rPr>
          <w:rFonts w:ascii="Arial" w:cs="Arial" w:eastAsia="Arial" w:hAnsi="Arial"/>
          <w:sz w:val="17"/>
          <w:szCs w:val="17"/>
          <w:color w:val="231F20"/>
        </w:rPr>
        <w:t xml:space="preserve"> </w:t>
      </w:r>
      <w:r>
        <w:rPr>
          <w:rFonts w:ascii="Arial" w:cs="Arial" w:eastAsia="Arial" w:hAnsi="Arial"/>
          <w:sz w:val="17"/>
          <w:szCs w:val="17"/>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June 30, 2018</w:t>
      </w:r>
      <w:r>
        <w:rPr>
          <w:rFonts w:ascii="Arial" w:cs="Arial" w:eastAsia="Arial" w:hAnsi="Arial"/>
          <w:sz w:val="16"/>
          <w:szCs w:val="16"/>
          <w:color w:val="231F20"/>
        </w:rPr>
        <w:t xml:space="preserve">, the Company had $428 million of available borrowings under its revolving credit facility. As of </w:t>
      </w:r>
      <w:r>
        <w:rPr>
          <w:rFonts w:ascii="Arial" w:cs="Arial" w:eastAsia="Arial" w:hAnsi="Arial"/>
          <w:sz w:val="16"/>
          <w:szCs w:val="16"/>
          <w:color w:val="000000"/>
        </w:rPr>
        <w:t>June 30, 2018</w:t>
      </w:r>
      <w:r>
        <w:rPr>
          <w:rFonts w:ascii="Arial" w:cs="Arial" w:eastAsia="Arial" w:hAnsi="Arial"/>
          <w:sz w:val="16"/>
          <w:szCs w:val="16"/>
          <w:color w:val="231F20"/>
        </w:rPr>
        <w:t xml:space="preserve"> and </w:t>
      </w:r>
      <w:r>
        <w:rPr>
          <w:rFonts w:ascii="Arial" w:cs="Arial" w:eastAsia="Arial" w:hAnsi="Arial"/>
          <w:sz w:val="16"/>
          <w:szCs w:val="16"/>
          <w:color w:val="000000"/>
        </w:rPr>
        <w:t>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r>
        <w:rPr>
          <w:rFonts w:ascii="Arial" w:cs="Arial" w:eastAsia="Arial" w:hAnsi="Arial"/>
          <w:sz w:val="18"/>
          <w:szCs w:val="18"/>
          <w:color w:val="231F20"/>
        </w:rPr>
        <w:t>, the Company's liquidity was $694 million and $680 million, respectively, comprised of the following:</w:t>
      </w:r>
    </w:p>
    <w:p>
      <w:pPr>
        <w:spacing w:after="0" w:line="378"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7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16"/>
                <w:szCs w:val="16"/>
                <w:color w:val="auto"/>
              </w:rPr>
            </w:pPr>
          </w:p>
        </w:tc>
        <w:tc>
          <w:tcPr>
            <w:tcW w:w="1620" w:type="dxa"/>
            <w:vAlign w:val="bottom"/>
          </w:tcPr>
          <w:p>
            <w:pPr>
              <w:jc w:val="right"/>
              <w:ind w:right="252"/>
              <w:spacing w:after="0"/>
              <w:rPr>
                <w:sz w:val="20"/>
                <w:szCs w:val="20"/>
                <w:color w:val="auto"/>
              </w:rPr>
            </w:pPr>
            <w:r>
              <w:rPr>
                <w:rFonts w:ascii="Arial" w:cs="Arial" w:eastAsia="Arial" w:hAnsi="Arial"/>
                <w:sz w:val="14"/>
                <w:szCs w:val="14"/>
                <w:b w:val="1"/>
                <w:bCs w:val="1"/>
                <w:color w:val="auto"/>
                <w:w w:val="99"/>
              </w:rPr>
              <w:t>December 31, 2017</w:t>
            </w:r>
          </w:p>
        </w:tc>
      </w:tr>
      <w:tr>
        <w:trPr>
          <w:trHeight w:val="250"/>
        </w:trPr>
        <w:tc>
          <w:tcPr>
            <w:tcW w:w="7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80"/>
              <w:spacing w:after="0"/>
              <w:rPr>
                <w:sz w:val="20"/>
                <w:szCs w:val="20"/>
                <w:color w:val="auto"/>
              </w:rPr>
            </w:pPr>
            <w:r>
              <w:rPr>
                <w:rFonts w:ascii="Arial" w:cs="Arial" w:eastAsia="Arial" w:hAnsi="Arial"/>
                <w:sz w:val="18"/>
                <w:szCs w:val="18"/>
                <w:color w:val="auto"/>
              </w:rPr>
              <w:t>NRG Yield LLC, excluding subsidiaries</w:t>
            </w:r>
          </w:p>
        </w:tc>
        <w:tc>
          <w:tcPr>
            <w:tcW w:w="32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Subsidiaries</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b w:val="1"/>
                <w:bCs w:val="1"/>
                <w:color w:val="auto"/>
              </w:rPr>
              <w:t>Restricted cash:</w:t>
            </w: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accounts</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43"/>
        </w:trPr>
        <w:tc>
          <w:tcPr>
            <w:tcW w:w="7060" w:type="dxa"/>
            <w:vAlign w:val="bottom"/>
          </w:tcPr>
          <w:p>
            <w:pPr>
              <w:ind w:left="280"/>
              <w:spacing w:after="0"/>
              <w:rPr>
                <w:sz w:val="20"/>
                <w:szCs w:val="20"/>
                <w:color w:val="auto"/>
              </w:rPr>
            </w:pPr>
            <w:r>
              <w:rPr>
                <w:rFonts w:ascii="Arial" w:cs="Arial" w:eastAsia="Arial" w:hAnsi="Arial"/>
                <w:sz w:val="18"/>
                <w:szCs w:val="18"/>
                <w:color w:val="auto"/>
                <w:w w:val="93"/>
              </w:rPr>
              <w:t>Reserves, including debt service, distributions, performance obligations and other reserves</w:t>
            </w:r>
          </w:p>
        </w:tc>
        <w:tc>
          <w:tcPr>
            <w:tcW w:w="32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143</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r>
      <w:tr>
        <w:trPr>
          <w:trHeight w:val="237"/>
        </w:trPr>
        <w:tc>
          <w:tcPr>
            <w:tcW w:w="7060" w:type="dxa"/>
            <w:vAlign w:val="bottom"/>
          </w:tcPr>
          <w:p>
            <w:pPr>
              <w:ind w:left="280"/>
              <w:spacing w:after="0"/>
              <w:rPr>
                <w:sz w:val="20"/>
                <w:szCs w:val="20"/>
                <w:color w:val="auto"/>
              </w:rPr>
            </w:pPr>
            <w:r>
              <w:rPr>
                <w:rFonts w:ascii="Arial" w:cs="Arial" w:eastAsia="Arial" w:hAnsi="Arial"/>
                <w:sz w:val="18"/>
                <w:szCs w:val="18"/>
                <w:color w:val="auto"/>
              </w:rPr>
              <w:t>Revolving credit facility availability</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366</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liquidity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w:t>
            </w:r>
          </w:p>
        </w:tc>
      </w:tr>
      <w:tr>
        <w:trPr>
          <w:trHeight w:val="20"/>
        </w:trPr>
        <w:tc>
          <w:tcPr>
            <w:tcW w:w="7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2018</w:t>
      </w:r>
      <w:r>
        <w:rPr>
          <w:rFonts w:ascii="Arial" w:cs="Arial" w:eastAsia="Arial" w:hAnsi="Arial"/>
          <w:sz w:val="18"/>
          <w:szCs w:val="18"/>
          <w:color w:val="231F20"/>
        </w:rPr>
        <w:t>, there were no outstanding borrowings and $67 million of letters of credit outstanding under the Company's revolving credit facility.</w:t>
      </w:r>
    </w:p>
    <w:p>
      <w:pPr>
        <w:spacing w:after="0" w:line="116"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Yield, Inc. and NRG.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8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1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2018, the Company's 2024 Senior Notes and 2026 Senior Notes are rated BB by S&amp;P and Ba2 by Moody's, respectively. The ratings</w:t>
      </w:r>
      <w:r>
        <w:rPr>
          <w:rFonts w:ascii="Arial" w:cs="Arial" w:eastAsia="Arial" w:hAnsi="Arial"/>
          <w:sz w:val="18"/>
          <w:szCs w:val="18"/>
          <w:color w:val="231F20"/>
        </w:rPr>
        <w:t xml:space="preserve"> </w:t>
      </w:r>
      <w:r>
        <w:rPr>
          <w:rFonts w:ascii="Arial" w:cs="Arial" w:eastAsia="Arial" w:hAnsi="Arial"/>
          <w:sz w:val="18"/>
          <w:szCs w:val="18"/>
          <w:color w:val="000000"/>
        </w:rPr>
        <w:t>outlook is stable.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Note 7, </w:t>
      </w:r>
      <w:r>
        <w:rPr>
          <w:rFonts w:ascii="Arial" w:cs="Arial" w:eastAsia="Arial" w:hAnsi="Arial"/>
          <w:sz w:val="18"/>
          <w:szCs w:val="18"/>
          <w:i w:val="1"/>
          <w:iCs w:val="1"/>
          <w:color w:val="231F20"/>
        </w:rPr>
        <w:t>Long-term</w:t>
      </w:r>
      <w:r>
        <w:rPr>
          <w:rFonts w:ascii="Arial" w:cs="Arial" w:eastAsia="Arial" w:hAnsi="Arial"/>
          <w:sz w:val="18"/>
          <w:szCs w:val="18"/>
          <w:color w:val="231F20"/>
        </w:rPr>
        <w:t xml:space="preserve"> </w:t>
      </w:r>
      <w:r>
        <w:rPr>
          <w:rFonts w:ascii="Arial" w:cs="Arial" w:eastAsia="Arial" w:hAnsi="Arial"/>
          <w:sz w:val="18"/>
          <w:szCs w:val="18"/>
          <w:i w:val="1"/>
          <w:iCs w:val="1"/>
          <w:color w:val="231F20"/>
        </w:rPr>
        <w:t>Debt</w:t>
      </w:r>
      <w:r>
        <w:rPr>
          <w:rFonts w:ascii="Arial" w:cs="Arial" w:eastAsia="Arial" w:hAnsi="Arial"/>
          <w:sz w:val="18"/>
          <w:szCs w:val="18"/>
          <w:color w:val="231F20"/>
        </w:rPr>
        <w:t>, to this Form 10-Q and Note 10,</w:t>
      </w:r>
      <w:r>
        <w:rPr>
          <w:rFonts w:ascii="Arial" w:cs="Arial" w:eastAsia="Arial" w:hAnsi="Arial"/>
          <w:sz w:val="18"/>
          <w:szCs w:val="18"/>
          <w:i w:val="1"/>
          <w:iCs w:val="1"/>
          <w:color w:val="231F20"/>
        </w:rPr>
        <w:t xml:space="preserve"> Long-term Debt</w:t>
      </w:r>
      <w:r>
        <w:rPr>
          <w:rFonts w:ascii="Arial" w:cs="Arial" w:eastAsia="Arial" w:hAnsi="Arial"/>
          <w:sz w:val="18"/>
          <w:szCs w:val="18"/>
          <w:color w:val="231F20"/>
        </w:rPr>
        <w:t>, to the consolidated financial statements included in the Company's</w:t>
      </w:r>
      <w:r>
        <w:rPr>
          <w:rFonts w:ascii="Arial" w:cs="Arial" w:eastAsia="Arial" w:hAnsi="Arial"/>
          <w:sz w:val="18"/>
          <w:szCs w:val="18"/>
          <w:i w:val="1"/>
          <w:iCs w:val="1"/>
          <w:color w:val="231F20"/>
        </w:rPr>
        <w:t xml:space="preserve"> </w:t>
      </w:r>
      <w:r>
        <w:rPr>
          <w:rFonts w:ascii="Arial" w:cs="Arial" w:eastAsia="Arial" w:hAnsi="Arial"/>
          <w:sz w:val="18"/>
          <w:szCs w:val="18"/>
          <w:color w:val="000000"/>
        </w:rPr>
        <w:t>2017 Form 10-K</w:t>
      </w:r>
      <w:r>
        <w:rPr>
          <w:rFonts w:ascii="Arial" w:cs="Arial" w:eastAsia="Arial" w:hAnsi="Arial"/>
          <w:sz w:val="18"/>
          <w:szCs w:val="18"/>
          <w:color w:val="231F20"/>
        </w:rPr>
        <w:t>, the Company's</w:t>
      </w:r>
      <w:r>
        <w:rPr>
          <w:rFonts w:ascii="Arial" w:cs="Arial" w:eastAsia="Arial" w:hAnsi="Arial"/>
          <w:sz w:val="18"/>
          <w:szCs w:val="18"/>
          <w:i w:val="1"/>
          <w:iCs w:val="1"/>
          <w:color w:val="231F20"/>
        </w:rPr>
        <w:t xml:space="preserve"> </w:t>
      </w:r>
      <w:r>
        <w:rPr>
          <w:rFonts w:ascii="Arial" w:cs="Arial" w:eastAsia="Arial" w:hAnsi="Arial"/>
          <w:sz w:val="18"/>
          <w:szCs w:val="18"/>
          <w:color w:val="231F20"/>
        </w:rPr>
        <w:t>financing arrangements consist of the revolving credit facility, the Senior Notes, the ATM Program, its intercompany borrowings with Yield, Inc. and project-level financings for its various assets.</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April 30, 2018, the Company closed on the refinancing of the revolving credit facility, which extended the maturity of the facility to April 28, 2023 and decreased the Company's overall cost of borrowing. The facility will continue to be used for general corporate purposes including financing of future acquisitions and posting letters of credit.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42" w:right="239" w:bottom="1440" w:gutter="0" w:footer="0" w:header="0"/>
        </w:sectPr>
      </w:pPr>
    </w:p>
    <w:bookmarkStart w:id="55" w:name="page56"/>
    <w:bookmarkEnd w:id="55"/>
    <w:p>
      <w:pPr>
        <w:ind w:left="420"/>
        <w:spacing w:after="0"/>
        <w:rPr>
          <w:sz w:val="20"/>
          <w:szCs w:val="20"/>
          <w:color w:val="auto"/>
        </w:rPr>
      </w:pPr>
      <w:r>
        <w:rPr>
          <w:rFonts w:ascii="Arial" w:cs="Arial" w:eastAsia="Arial" w:hAnsi="Arial"/>
          <w:sz w:val="18"/>
          <w:szCs w:val="18"/>
          <w:i w:val="1"/>
          <w:iCs w:val="1"/>
          <w:color w:val="231F20"/>
        </w:rPr>
        <w:t>At-the-Market Equity Offering Program</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Yield, Inc. sold a total of 4,392,583 of Class C common stock for gross proceeds of $77 million during the period ended June 30, 2018, $1 million of which was received in the third quarter of 2018. Yield, Inc. used the net proceeds to acquire 4,392,583 Class C units from the Company.</w:t>
      </w:r>
    </w:p>
    <w:p>
      <w:pPr>
        <w:spacing w:after="0" w:line="147" w:lineRule="exact"/>
        <w:rPr>
          <w:sz w:val="20"/>
          <w:szCs w:val="20"/>
          <w:color w:val="auto"/>
        </w:rPr>
      </w:pPr>
    </w:p>
    <w:p>
      <w:pPr>
        <w:ind w:left="420" w:right="1700"/>
        <w:spacing w:after="0" w:line="438" w:lineRule="auto"/>
        <w:rPr>
          <w:sz w:val="20"/>
          <w:szCs w:val="20"/>
          <w:color w:val="auto"/>
        </w:rPr>
      </w:pPr>
      <w:r>
        <w:rPr>
          <w:rFonts w:ascii="Arial" w:cs="Arial" w:eastAsia="Arial" w:hAnsi="Arial"/>
          <w:sz w:val="18"/>
          <w:szCs w:val="18"/>
          <w:color w:val="auto"/>
        </w:rPr>
        <w:t xml:space="preserve">As of July 3, 2018, approximately $38 million of Class C common stock remains available for issuance under the ATM Program. </w:t>
      </w:r>
      <w:r>
        <w:rPr>
          <w:rFonts w:ascii="Arial" w:cs="Arial" w:eastAsia="Arial" w:hAnsi="Arial"/>
          <w:sz w:val="18"/>
          <w:szCs w:val="18"/>
          <w:b w:val="1"/>
          <w:bCs w:val="1"/>
          <w:i w:val="1"/>
          <w:iCs w:val="1"/>
          <w:color w:val="auto"/>
        </w:rPr>
        <w:t>Energy Center Minneapolis Series E, F, G, H Notes</w:t>
      </w:r>
    </w:p>
    <w:p>
      <w:pPr>
        <w:spacing w:after="0" w:line="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June 19, 2018, NRG Energy Center Minneapolis LLC, a subsidiary of the Company, completed the issuances of 4.80% Series E notes due June 15, 2033, or the Series E Notes, and 4.60% Series F notes due March 15, 2033, or the Series F Notes, for gross proceeds of $80 million. The proceeds of the Series E Notes and Series F Notes were utilized to finance the acquisition of the UPMC Thermal Project. Also, on June 19, 2018, NRG Energy Center Minneapolis LLC issued $83 million of 5.90% Series G notes due June 15, 2035, which were utilized to refinance its $83 million of outstanding Series C notes. NRG Energy Center Minneapolis LLC also issued 4.83% Series H notes due June 15, 2037, or Series H Notes for proceeds of $40 million and established a private shelf facility for the future issuance of $40 million in additional notes.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color w:val="231F20"/>
        </w:rPr>
        <w:t>; (ii) capital expenditures; (iii) acquisitions and investments; and (iv) distributions.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231F20"/>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For the six months ended </w:t>
      </w:r>
      <w:r>
        <w:rPr>
          <w:rFonts w:ascii="Arial" w:cs="Arial" w:eastAsia="Arial" w:hAnsi="Arial"/>
          <w:sz w:val="16"/>
          <w:szCs w:val="16"/>
          <w:color w:val="000000"/>
        </w:rPr>
        <w:t>June 30, 2018</w:t>
      </w:r>
      <w:r>
        <w:rPr>
          <w:rFonts w:ascii="Arial" w:cs="Arial" w:eastAsia="Arial" w:hAnsi="Arial"/>
          <w:sz w:val="16"/>
          <w:szCs w:val="16"/>
          <w:color w:val="231F20"/>
        </w:rPr>
        <w:t>, the Company used approximately $45 million to fund capital expenditures, including growth</w:t>
      </w:r>
      <w:r>
        <w:rPr>
          <w:rFonts w:ascii="Arial" w:cs="Arial" w:eastAsia="Arial" w:hAnsi="Arial"/>
          <w:sz w:val="16"/>
          <w:szCs w:val="16"/>
          <w:color w:val="000000"/>
        </w:rPr>
        <w:t xml:space="preserve"> expenditures of $26 million in the Renewables segment in connection with the construction of Buckthorn Solar Drop Down Asset. The $26 million includes $10 million incurred by NRG during the construction of the Buckthorn Solar project prior to its acquisition by the Company on March 30, 2018, as described below. </w:t>
      </w:r>
      <w:r>
        <w:rPr>
          <w:rFonts w:ascii="Arial" w:cs="Arial" w:eastAsia="Arial" w:hAnsi="Arial"/>
          <w:sz w:val="16"/>
          <w:szCs w:val="16"/>
          <w:color w:val="231F20"/>
        </w:rPr>
        <w:t>For the six months ended June 30,</w:t>
      </w:r>
      <w:r>
        <w:rPr>
          <w:rFonts w:ascii="Arial" w:cs="Arial" w:eastAsia="Arial" w:hAnsi="Arial"/>
          <w:sz w:val="16"/>
          <w:szCs w:val="16"/>
          <w:color w:val="000000"/>
        </w:rPr>
        <w:t xml:space="preserve"> </w:t>
      </w:r>
      <w:r>
        <w:rPr>
          <w:rFonts w:ascii="Arial" w:cs="Arial" w:eastAsia="Arial" w:hAnsi="Arial"/>
          <w:sz w:val="16"/>
          <w:szCs w:val="16"/>
          <w:color w:val="231F20"/>
        </w:rPr>
        <w:t xml:space="preserve">2017, the Company used approximately $60 million to fund capital expenditures, of which </w:t>
      </w:r>
      <w:r>
        <w:rPr>
          <w:rFonts w:ascii="Arial" w:cs="Arial" w:eastAsia="Arial" w:hAnsi="Arial"/>
          <w:sz w:val="16"/>
          <w:szCs w:val="16"/>
          <w:color w:val="000000"/>
        </w:rPr>
        <w:t>$47 million related to growth expenditures in the Renewables</w:t>
      </w:r>
      <w:r>
        <w:rPr>
          <w:rFonts w:ascii="Arial" w:cs="Arial" w:eastAsia="Arial" w:hAnsi="Arial"/>
          <w:sz w:val="16"/>
          <w:szCs w:val="16"/>
          <w:color w:val="231F20"/>
        </w:rPr>
        <w:t xml:space="preserve"> </w:t>
      </w:r>
      <w:r>
        <w:rPr>
          <w:rFonts w:ascii="Arial" w:cs="Arial" w:eastAsia="Arial" w:hAnsi="Arial"/>
          <w:sz w:val="16"/>
          <w:szCs w:val="16"/>
          <w:color w:val="000000"/>
        </w:rPr>
        <w:t xml:space="preserve">segment paid by NRG in connection with the construction of Buckthorn Solar. </w:t>
      </w:r>
      <w:r>
        <w:rPr>
          <w:rFonts w:ascii="Arial" w:cs="Arial" w:eastAsia="Arial" w:hAnsi="Arial"/>
          <w:sz w:val="16"/>
          <w:szCs w:val="16"/>
          <w:color w:val="231F20"/>
        </w:rPr>
        <w:t>The Company develops annual capital spending plans based on projected</w:t>
      </w:r>
      <w:r>
        <w:rPr>
          <w:rFonts w:ascii="Arial" w:cs="Arial" w:eastAsia="Arial" w:hAnsi="Arial"/>
          <w:sz w:val="16"/>
          <w:szCs w:val="16"/>
          <w:color w:val="000000"/>
        </w:rPr>
        <w:t xml:space="preserve"> </w:t>
      </w:r>
      <w:r>
        <w:rPr>
          <w:rFonts w:ascii="Arial" w:cs="Arial" w:eastAsia="Arial" w:hAnsi="Arial"/>
          <w:sz w:val="16"/>
          <w:szCs w:val="16"/>
          <w:color w:val="231F20"/>
        </w:rPr>
        <w:t xml:space="preserve">requirements for maintenance and growth capital. The Company estimates $32 million of maintenance expenditures for 2018. </w:t>
      </w:r>
      <w:r>
        <w:rPr>
          <w:rFonts w:ascii="Arial" w:cs="Arial" w:eastAsia="Arial" w:hAnsi="Arial"/>
          <w:sz w:val="16"/>
          <w:szCs w:val="16"/>
          <w:color w:val="000000"/>
        </w:rPr>
        <w:t>These estimates are subject to</w:t>
      </w:r>
      <w:r>
        <w:rPr>
          <w:rFonts w:ascii="Arial" w:cs="Arial" w:eastAsia="Arial" w:hAnsi="Arial"/>
          <w:sz w:val="16"/>
          <w:szCs w:val="16"/>
          <w:color w:val="231F20"/>
        </w:rPr>
        <w:t xml:space="preserve"> </w:t>
      </w:r>
      <w:r>
        <w:rPr>
          <w:rFonts w:ascii="Arial" w:cs="Arial" w:eastAsia="Arial" w:hAnsi="Arial"/>
          <w:sz w:val="16"/>
          <w:szCs w:val="16"/>
          <w:color w:val="000000"/>
        </w:rPr>
        <w:t>continuing review and adjustment and actual capital expenditures may vary from these estimates.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intends to acquire generation and thermal infrastructure assets developed and constructed by NRG and third parties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3"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17"/>
          <w:szCs w:val="17"/>
          <w:b w:val="1"/>
          <w:bCs w:val="1"/>
          <w:i w:val="1"/>
          <w:iCs w:val="1"/>
          <w:color w:val="auto"/>
        </w:rPr>
        <w:t xml:space="preserve">UPMC Thermal Project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19, 2018, upon reaching substantial completion, the Company acquired from NRG the UPMC Thermal Project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consideration of $84 million, subject to working capital adjustments. The Company also recorded a payable of $4 million to be paid to NRG upon final completion of the project. The project adds 73 MWt of thermal equivalent capacity and 7.5 MW of emergency backup thermal capacity to the Company's portfolio. The transaction was accounted for as an asset acquisition and is reflected in the Company's Thermal segment.</w:t>
      </w:r>
    </w:p>
    <w:p>
      <w:pPr>
        <w:spacing w:after="0" w:line="111"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i w:val="1"/>
          <w:iCs w:val="1"/>
          <w:color w:val="auto"/>
        </w:rPr>
        <w:t xml:space="preserve">Central CA Fuel Cell 1,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April 18, 2018, the Company acquired the Central CA Fuel Cell 1, LLC project in Tulare, California from FuelCell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Finance, Inc., for cash consideration of $11 million, subject to working capital adjustments. The project adds 2.8 MW of thermal capacity to the Company's portfolio, with a 20-year PPA contract with the City of Tulare. The transaction is reflected in the Company's Thermal segment.</w:t>
      </w:r>
    </w:p>
    <w:p>
      <w:pPr>
        <w:spacing w:after="0" w:line="8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Buckthorn Solar Drop Down Asset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30, 2018, the Company acquired 100% of NRG's interests in Buckthorn Renewables, LLC,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a 154 MW construction-stage utility-scale solar generation project, located in Texas, or the Buckthorn Solar Drop Down Asset, for cash consideration of approximately $42 million, subject to working capital adjustments. The project sells power under a 25-year PPA to the City of Georgetown, Texas which commenced in July 2018.</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46" w:right="239" w:bottom="1440" w:gutter="0" w:footer="0" w:header="0"/>
        </w:sectPr>
      </w:pPr>
    </w:p>
    <w:bookmarkStart w:id="56" w:name="page57"/>
    <w:bookmarkEnd w:id="56"/>
    <w:p>
      <w:pPr>
        <w:jc w:val="both"/>
        <w:ind w:firstLine="392"/>
        <w:spacing w:after="0" w:line="303" w:lineRule="auto"/>
        <w:rPr>
          <w:sz w:val="20"/>
          <w:szCs w:val="20"/>
          <w:color w:val="auto"/>
        </w:rPr>
      </w:pPr>
      <w:r>
        <w:rPr>
          <w:rFonts w:ascii="Arial" w:cs="Arial" w:eastAsia="Arial" w:hAnsi="Arial"/>
          <w:sz w:val="16"/>
          <w:szCs w:val="16"/>
          <w:b w:val="1"/>
          <w:bCs w:val="1"/>
          <w:i w:val="1"/>
          <w:iCs w:val="1"/>
          <w:color w:val="auto"/>
        </w:rPr>
        <w:t xml:space="preserve">Carlsbad Energy Holdings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February 6, 2018, the Company entered into an agreement with NRG to purchase 100% of the membership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in Carlsbad Energy Holdings LLC, which indirectly owns the Carlsbad project, a 527 MW natural gas fired project in Carlsbad, CA, pursuant to the ROFO Agreement. The purchase price for the transaction is $365 million in cash consideration, subject to customary working capital and other adjustments. The transaction is expected to close during the fourth quarter of 2018 and is contingent upon the consummation of the NRG Transaction.</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Partnership with NRG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six months ended June 30, 2018, the Company invested $16 million in distributed generation partnerships with NRG.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Cash Distributions to Yield, Inc. and NRG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Dividends on t</w:t>
      </w:r>
      <w:r>
        <w:rPr>
          <w:rFonts w:ascii="Arial" w:cs="Arial" w:eastAsia="Arial" w:hAnsi="Arial"/>
          <w:sz w:val="18"/>
          <w:szCs w:val="18"/>
          <w:color w:val="000000"/>
        </w:rPr>
        <w:t>he Class A common stock and Class C common stock are subject to available capital, market conditions, and compliance with associated laws, regulations</w:t>
      </w:r>
      <w:r>
        <w:rPr>
          <w:rFonts w:ascii="Arial" w:cs="Arial" w:eastAsia="Arial" w:hAnsi="Arial"/>
          <w:sz w:val="18"/>
          <w:szCs w:val="18"/>
          <w:color w:val="231F20"/>
        </w:rPr>
        <w:t xml:space="preserve"> </w:t>
      </w:r>
      <w:r>
        <w:rPr>
          <w:rFonts w:ascii="Arial" w:cs="Arial" w:eastAsia="Arial" w:hAnsi="Arial"/>
          <w:sz w:val="18"/>
          <w:szCs w:val="18"/>
          <w:color w:val="000000"/>
        </w:rPr>
        <w:t>and other contractual obligations. The Company expects that, based on current circumstances, comparable cash dividends will continue to be paid in the foreseeable future.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the distributions paid on the Company's Class A, B, C and D units during the six months ended June 30, 2018:</w:t>
      </w:r>
    </w:p>
    <w:p>
      <w:pPr>
        <w:spacing w:after="0" w:line="230" w:lineRule="exact"/>
        <w:rPr>
          <w:sz w:val="20"/>
          <w:szCs w:val="20"/>
          <w:color w:val="auto"/>
        </w:rPr>
      </w:pPr>
    </w:p>
    <w:tbl>
      <w:tblPr>
        <w:tblLayout w:type="fixed"/>
        <w:tblInd w:w="140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 2018</w:t>
            </w:r>
          </w:p>
        </w:tc>
        <w:tc>
          <w:tcPr>
            <w:tcW w:w="1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4"/>
                <w:szCs w:val="14"/>
                <w:b w:val="1"/>
                <w:bCs w:val="1"/>
                <w:color w:val="auto"/>
                <w:w w:val="95"/>
              </w:rPr>
              <w:t>First Quarter 2018</w:t>
            </w:r>
          </w:p>
        </w:tc>
      </w:tr>
      <w:tr>
        <w:trPr>
          <w:trHeight w:val="243"/>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A, B, C and D unit</w:t>
            </w: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0.309</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0.298</w:t>
            </w:r>
          </w:p>
        </w:tc>
      </w:tr>
      <w:tr>
        <w:trPr>
          <w:trHeight w:val="27"/>
        </w:trPr>
        <w:tc>
          <w:tcPr>
            <w:tcW w:w="57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 July 24, 2018, the Company declared a distribution on its Class A, Class B, Class C and Class D units of $0.320 per unit payable on September 18, 2018 to unit holders of record as of September 4,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reflects the changes in cash flows for the six months ended June 30, 2018, compared to the six months ended June 30,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74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2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94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170</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5"/>
              </w:rPr>
              <w:t>(166)</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432"/>
        </w:trPr>
        <w:tc>
          <w:tcPr>
            <w:tcW w:w="53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300" w:type="dxa"/>
            <w:vAlign w:val="bottom"/>
          </w:tcPr>
          <w:p>
            <w:pPr>
              <w:ind w:left="40"/>
              <w:spacing w:after="0"/>
              <w:rPr>
                <w:sz w:val="20"/>
                <w:szCs w:val="20"/>
                <w:color w:val="auto"/>
              </w:rPr>
            </w:pPr>
            <w:r>
              <w:rPr>
                <w:rFonts w:ascii="Arial" w:cs="Arial" w:eastAsia="Arial" w:hAnsi="Arial"/>
                <w:sz w:val="18"/>
                <w:szCs w:val="18"/>
                <w:color w:val="auto"/>
                <w:w w:val="96"/>
              </w:rPr>
              <w:t>Changes to net cash provided by operating activities were driven by:</w:t>
            </w: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operating income adjusted for non-cash items</w:t>
            </w:r>
          </w:p>
        </w:tc>
        <w:tc>
          <w:tcPr>
            <w:tcW w:w="2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10180" w:type="dxa"/>
            <w:vAlign w:val="bottom"/>
            <w:gridSpan w:val="7"/>
          </w:tcPr>
          <w:p>
            <w:pPr>
              <w:ind w:left="40"/>
              <w:spacing w:after="0"/>
              <w:rPr>
                <w:sz w:val="20"/>
                <w:szCs w:val="20"/>
                <w:color w:val="auto"/>
              </w:rPr>
            </w:pPr>
            <w:r>
              <w:rPr>
                <w:rFonts w:ascii="Arial" w:cs="Arial" w:eastAsia="Arial" w:hAnsi="Arial"/>
                <w:sz w:val="18"/>
                <w:szCs w:val="18"/>
                <w:color w:val="auto"/>
                <w:w w:val="91"/>
              </w:rPr>
              <w:t>Changes in other working capital primarily due to a higher increase in accounts receivable balances in the first half of 2018 compared to the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0"/>
              <w:spacing w:after="0"/>
              <w:rPr>
                <w:sz w:val="20"/>
                <w:szCs w:val="20"/>
                <w:color w:val="auto"/>
              </w:rPr>
            </w:pPr>
            <w:r>
              <w:rPr>
                <w:rFonts w:ascii="Arial" w:cs="Arial" w:eastAsia="Arial" w:hAnsi="Arial"/>
                <w:sz w:val="18"/>
                <w:szCs w:val="18"/>
                <w:color w:val="auto"/>
              </w:rPr>
              <w:t>same period in 2017</w:t>
            </w:r>
          </w:p>
        </w:tc>
        <w:tc>
          <w:tcPr>
            <w:tcW w:w="2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distributions from unconsolidated affiliates</w:t>
            </w:r>
          </w:p>
        </w:tc>
        <w:tc>
          <w:tcPr>
            <w:tcW w:w="2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vMerge w:val="restart"/>
          </w:tcPr>
          <w:p>
            <w:pPr>
              <w:jc w:val="right"/>
              <w:ind w:right="1556"/>
              <w:spacing w:after="0"/>
              <w:rPr>
                <w:sz w:val="20"/>
                <w:szCs w:val="20"/>
                <w:color w:val="auto"/>
              </w:rPr>
            </w:pPr>
            <w:r>
              <w:rPr>
                <w:rFonts w:ascii="Arial" w:cs="Arial" w:eastAsia="Arial" w:hAnsi="Arial"/>
                <w:sz w:val="18"/>
                <w:szCs w:val="18"/>
                <w:color w:val="auto"/>
              </w:rPr>
              <w:t>57</w:t>
            </w: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14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3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5"/>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Lower payments for the Buckthorn Solar Drop Down Asset and UPMC Thermal Project in 2018 compared to the payment made for the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March 2017 Drop Down Assets in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Payment to acquire Central CA Fuel Cell 1, LLC in 2018</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Decrease in capital expenditures driven primarily by the substantial completion of the Buckthorn Solar Drop Down Asset in May 2018</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Lower net investment in unconsolidated affiliates primarily in the DGPV partnerships with NRG during 2018</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10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1016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1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in net cash used in financing activities were driven by:</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Lower distributions, net of contributions to NRG for the Drop Down Assets relating to the pre-acquisition period in 2018 compared to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Net repayments under the revolving credit facility in 2018</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Increase in net contributions from noncontrolling interests primarily from Buckthorn Holdings, LLC's Class A member in 2018, as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described in Note 3, </w:t>
            </w:r>
            <w:r>
              <w:rPr>
                <w:rFonts w:ascii="Arial" w:cs="Arial" w:eastAsia="Arial" w:hAnsi="Arial"/>
                <w:sz w:val="18"/>
                <w:szCs w:val="18"/>
                <w:i w:val="1"/>
                <w:iCs w:val="1"/>
                <w:color w:val="auto"/>
              </w:rPr>
              <w:t>Business Acquisitions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Higher proceeds from the issuance of Class C units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 xml:space="preserve">Net proceeds from the refinancing of the Thermal note purchase and private shelf agreement, as described in Note 7, </w:t>
            </w:r>
            <w:r>
              <w:rPr>
                <w:rFonts w:ascii="Arial" w:cs="Arial" w:eastAsia="Arial" w:hAnsi="Arial"/>
                <w:sz w:val="18"/>
                <w:szCs w:val="18"/>
                <w:i w:val="1"/>
                <w:iCs w:val="1"/>
                <w:color w:val="auto"/>
                <w:w w:val="94"/>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Conversion of the Buckthorn Solar Portfolio, LLC Construction Loan to a term loan in 2018</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distributions paid to unit holders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10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June 30, 2018, the Company has several investments with an ownership interest percentage of 50% or</w:t>
      </w:r>
      <w:r>
        <w:rPr>
          <w:rFonts w:ascii="Arial" w:cs="Arial" w:eastAsia="Arial" w:hAnsi="Arial"/>
          <w:sz w:val="17"/>
          <w:szCs w:val="17"/>
          <w:i w:val="1"/>
          <w:iCs w:val="1"/>
          <w:color w:val="auto"/>
        </w:rPr>
        <w:t xml:space="preserve"> </w:t>
      </w:r>
      <w:r>
        <w:rPr>
          <w:rFonts w:ascii="Arial" w:cs="Arial" w:eastAsia="Arial" w:hAnsi="Arial"/>
          <w:sz w:val="17"/>
          <w:szCs w:val="17"/>
          <w:color w:val="auto"/>
        </w:rPr>
        <w:t>less in energy and energy-related entities that are accounted for under the equity method. Utah Solar Portfolio, GenConn, DGPV Holdco 1, RPV Holdco, DGPV Holdco 2, and DGPV Holdco 3 are variable interest entities for which the Company is not the primary beneficiary.</w:t>
      </w:r>
    </w:p>
    <w:p>
      <w:pPr>
        <w:spacing w:after="0" w:line="8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pro-rata share of non-recourse debt held by unconsolidated affiliates was approximately $814 million as of June 30, 2018. This indebtedness may restrict the ability of these subsidiaries to issue dividends or distributions to the Company.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2017 Form 10-K. See also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to this Form 10-Q for a discussion of additional contingencies that occurred during 2018.</w:t>
      </w: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01" w:right="239" w:bottom="1440" w:gutter="0" w:footer="0" w:header="0"/>
        </w:sectPr>
      </w:pPr>
    </w:p>
    <w:bookmarkStart w:id="58" w:name="page59"/>
    <w:bookmarkEnd w:id="58"/>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June 30, 2018</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June 30, 2018</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 1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3"/>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5040" w:type="dxa"/>
            <w:vAlign w:val="bottom"/>
            <w:gridSpan w:val="4"/>
          </w:tcPr>
          <w:p>
            <w:pPr>
              <w:ind w:left="40"/>
              <w:spacing w:after="0"/>
              <w:rPr>
                <w:sz w:val="20"/>
                <w:szCs w:val="20"/>
                <w:color w:val="auto"/>
              </w:rPr>
            </w:pPr>
            <w:r>
              <w:rPr>
                <w:rFonts w:ascii="Arial" w:cs="Arial" w:eastAsia="Arial" w:hAnsi="Arial"/>
                <w:sz w:val="18"/>
                <w:szCs w:val="18"/>
                <w:color w:val="auto"/>
              </w:rPr>
              <w:t>Fair value of contracts as of June 30, 2018</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Fair value of contracts as of June 30, 2018</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844"/>
              <w:spacing w:after="0"/>
              <w:rPr>
                <w:sz w:val="20"/>
                <w:szCs w:val="20"/>
                <w:color w:val="auto"/>
              </w:rPr>
            </w:pPr>
            <w:r>
              <w:rPr>
                <w:rFonts w:ascii="Arial" w:cs="Arial" w:eastAsia="Arial" w:hAnsi="Arial"/>
                <w:sz w:val="14"/>
                <w:szCs w:val="14"/>
                <w:b w:val="1"/>
                <w:bCs w:val="1"/>
                <w:color w:val="auto"/>
              </w:rPr>
              <w:t>Maturity</w:t>
            </w:r>
          </w:p>
        </w:tc>
        <w:tc>
          <w:tcPr>
            <w:tcW w:w="1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6"/>
              </w:rPr>
              <w:t>Greater Than</w:t>
            </w:r>
          </w:p>
        </w:tc>
        <w:tc>
          <w:tcPr>
            <w:tcW w:w="180" w:type="dxa"/>
            <w:vAlign w:val="bottom"/>
          </w:tcPr>
          <w:p>
            <w:pPr>
              <w:spacing w:after="0"/>
              <w:rPr>
                <w:sz w:val="13"/>
                <w:szCs w:val="13"/>
                <w:color w:val="auto"/>
              </w:rPr>
            </w:pPr>
          </w:p>
        </w:tc>
        <w:tc>
          <w:tcPr>
            <w:tcW w:w="1020" w:type="dxa"/>
            <w:vAlign w:val="bottom"/>
          </w:tcPr>
          <w:p>
            <w:pPr>
              <w:jc w:val="center"/>
              <w:ind w:right="44"/>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1160" w:type="dxa"/>
            <w:vAlign w:val="bottom"/>
            <w:vMerge w:val="restart"/>
          </w:tcPr>
          <w:p>
            <w:pPr>
              <w:jc w:val="center"/>
              <w:ind w:left="222"/>
              <w:spacing w:after="0"/>
              <w:rPr>
                <w:sz w:val="20"/>
                <w:szCs w:val="20"/>
                <w:color w:val="auto"/>
              </w:rPr>
            </w:pPr>
            <w:r>
              <w:rPr>
                <w:rFonts w:ascii="Arial" w:cs="Arial" w:eastAsia="Arial" w:hAnsi="Arial"/>
                <w:sz w:val="14"/>
                <w:szCs w:val="14"/>
                <w:b w:val="1"/>
                <w:bCs w:val="1"/>
                <w:color w:val="auto"/>
                <w:w w:val="98"/>
              </w:rPr>
              <w:t>Greater Than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50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Fair Value Hierarchy (Losses)/Gains</w:t>
            </w:r>
          </w:p>
        </w:tc>
        <w:tc>
          <w:tcPr>
            <w:tcW w:w="160" w:type="dxa"/>
            <w:vAlign w:val="bottom"/>
          </w:tcPr>
          <w:p>
            <w:pPr>
              <w:spacing w:after="0"/>
              <w:rPr>
                <w:sz w:val="12"/>
                <w:szCs w:val="12"/>
                <w:color w:val="auto"/>
              </w:rPr>
            </w:pPr>
          </w:p>
        </w:tc>
        <w:tc>
          <w:tcPr>
            <w:tcW w:w="11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3"/>
              </w:rPr>
              <w:t>1 Year or Less</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1"/>
              </w:rPr>
              <w:t>3 Years to 5</w:t>
            </w: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6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w w:val="99"/>
              </w:rPr>
              <w:t>1 Year to 3 Years</w:t>
            </w:r>
          </w:p>
        </w:tc>
        <w:tc>
          <w:tcPr>
            <w:tcW w:w="180" w:type="dxa"/>
            <w:vAlign w:val="bottom"/>
          </w:tcPr>
          <w:p>
            <w:pPr>
              <w:spacing w:after="0"/>
              <w:rPr>
                <w:sz w:val="13"/>
                <w:szCs w:val="13"/>
                <w:color w:val="auto"/>
              </w:rPr>
            </w:pPr>
          </w:p>
        </w:tc>
        <w:tc>
          <w:tcPr>
            <w:tcW w:w="102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w w:val="89"/>
              </w:rPr>
              <w:t>Years</w:t>
            </w:r>
          </w:p>
        </w:tc>
        <w:tc>
          <w:tcPr>
            <w:tcW w:w="1160" w:type="dxa"/>
            <w:vAlign w:val="bottom"/>
          </w:tcPr>
          <w:p>
            <w:pPr>
              <w:jc w:val="center"/>
              <w:ind w:left="222"/>
              <w:spacing w:after="0" w:line="158" w:lineRule="exact"/>
              <w:rPr>
                <w:sz w:val="20"/>
                <w:szCs w:val="20"/>
                <w:color w:val="auto"/>
              </w:rPr>
            </w:pPr>
            <w:r>
              <w:rPr>
                <w:rFonts w:ascii="Arial" w:cs="Arial" w:eastAsia="Arial" w:hAnsi="Arial"/>
                <w:sz w:val="14"/>
                <w:szCs w:val="14"/>
                <w:b w:val="1"/>
                <w:bCs w:val="1"/>
                <w:color w:val="auto"/>
                <w:w w:val="92"/>
              </w:rPr>
              <w:t>5 Years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7"/>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center"/>
              <w:ind w:right="64"/>
              <w:spacing w:after="0"/>
              <w:rPr>
                <w:sz w:val="20"/>
                <w:szCs w:val="20"/>
                <w:color w:val="auto"/>
              </w:rPr>
            </w:pPr>
            <w:r>
              <w:rPr>
                <w:rFonts w:ascii="Arial" w:cs="Arial" w:eastAsia="Arial" w:hAnsi="Arial"/>
                <w:sz w:val="14"/>
                <w:szCs w:val="14"/>
                <w:b w:val="1"/>
                <w:bCs w:val="1"/>
                <w:color w:val="auto"/>
                <w:w w:val="96"/>
              </w:rPr>
              <w:t>(In millions)</w:t>
            </w: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has elected to disclose derivative assets and liabilities on a trade-by-trade basis and does not offset amounts at the counterparty master agreement level. NRG, on behalf of the </w:t>
      </w:r>
      <w:r>
        <w:rPr>
          <w:rFonts w:ascii="Arial" w:cs="Arial" w:eastAsia="Arial" w:hAnsi="Arial"/>
          <w:sz w:val="18"/>
          <w:szCs w:val="18"/>
          <w:color w:val="000000"/>
        </w:rPr>
        <w:t>Company, measures the sensitivity of the portfolio to potential changes in market prices using VaR, a statistical model</w:t>
      </w:r>
      <w:r>
        <w:rPr>
          <w:rFonts w:ascii="Arial" w:cs="Arial" w:eastAsia="Arial" w:hAnsi="Arial"/>
          <w:sz w:val="18"/>
          <w:szCs w:val="18"/>
          <w:color w:val="231F20"/>
        </w:rPr>
        <w:t xml:space="preserve"> </w:t>
      </w:r>
      <w:r>
        <w:rPr>
          <w:rFonts w:ascii="Arial" w:cs="Arial" w:eastAsia="Arial" w:hAnsi="Arial"/>
          <w:sz w:val="18"/>
          <w:szCs w:val="18"/>
          <w:color w:val="000000"/>
        </w:rPr>
        <w:t>which attempts to predict risk of loss based on market price and volatility. NRG's risk management policy places a limit on one-day holding period VaR, which limits the net open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 and acquisition accounting.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Item — 1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4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Item 3 has been omitted from this report pursuant to the reduced disclosure format permitted by General Instruction H(2) to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that occurred in the quarter ended June 30, 2018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42"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For a discussion of the material legal proceedings in which the Company was involved through June 30, 2018, see Note 11, </w:t>
      </w:r>
      <w:r>
        <w:rPr>
          <w:rFonts w:ascii="Arial" w:cs="Arial" w:eastAsia="Arial" w:hAnsi="Arial"/>
          <w:sz w:val="16"/>
          <w:szCs w:val="16"/>
          <w:i w:val="1"/>
          <w:iCs w:val="1"/>
          <w:color w:val="auto"/>
        </w:rPr>
        <w:t>Contingencies</w:t>
      </w:r>
      <w:r>
        <w:rPr>
          <w:rFonts w:ascii="Arial" w:cs="Arial" w:eastAsia="Arial" w:hAnsi="Arial"/>
          <w:sz w:val="16"/>
          <w:szCs w:val="16"/>
          <w:color w:val="auto"/>
        </w:rPr>
        <w:t>, to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2017 Form 10-K. There have been no material changes in the Company's risk factors since those reported in its 2017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2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3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42"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6 — EXHIBITS</w:t>
      </w:r>
    </w:p>
    <w:p>
      <w:pPr>
        <w:sectPr>
          <w:pgSz w:w="11900" w:h="16838" w:orient="portrait"/>
          <w:cols w:equalWidth="0" w:num="1">
            <w:col w:w="11380"/>
          </w:cols>
          <w:pgMar w:left="240" w:top="742" w:right="279" w:bottom="1440" w:gutter="0" w:footer="0" w:header="0"/>
        </w:sect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22"/>
        </w:trPr>
        <w:tc>
          <w:tcPr>
            <w:tcW w:w="1040" w:type="dxa"/>
            <w:vAlign w:val="bottom"/>
          </w:tcPr>
          <w:p>
            <w:pPr>
              <w:spacing w:after="0"/>
              <w:rPr>
                <w:sz w:val="20"/>
                <w:szCs w:val="20"/>
                <w:color w:val="auto"/>
              </w:rPr>
            </w:pPr>
            <w:r>
              <w:rPr>
                <w:rFonts w:ascii="Arial" w:cs="Arial" w:eastAsia="Arial" w:hAnsi="Arial"/>
                <w:sz w:val="16"/>
                <w:szCs w:val="16"/>
                <w:color w:val="auto"/>
              </w:rPr>
              <w:t>4.1</w:t>
            </w:r>
          </w:p>
        </w:tc>
        <w:tc>
          <w:tcPr>
            <w:tcW w:w="5860" w:type="dxa"/>
            <w:vAlign w:val="bottom"/>
            <w:tcBorders>
              <w:bottom w:val="single" w:sz="8" w:color="0000FF"/>
            </w:tcBorders>
            <w:gridSpan w:val="2"/>
          </w:tcPr>
          <w:p>
            <w:pPr>
              <w:spacing w:after="0"/>
              <w:rPr>
                <w:rFonts w:ascii="Arial" w:cs="Arial" w:eastAsia="Arial" w:hAnsi="Arial"/>
                <w:sz w:val="16"/>
                <w:szCs w:val="16"/>
                <w:color w:val="0000FF"/>
                <w:w w:val="94"/>
              </w:rPr>
            </w:pPr>
            <w:hyperlink r:id="rId40">
              <w:r>
                <w:rPr>
                  <w:rFonts w:ascii="Arial" w:cs="Arial" w:eastAsia="Arial" w:hAnsi="Arial"/>
                  <w:sz w:val="16"/>
                  <w:szCs w:val="16"/>
                  <w:color w:val="0000FF"/>
                  <w:w w:val="94"/>
                </w:rPr>
                <w:t>Sixth Supplemental Indenture, dated as of June 12, 2018, among NRG Yield Operating</w:t>
              </w:r>
            </w:hyperlink>
          </w:p>
        </w:tc>
      </w:tr>
      <w:tr>
        <w:trPr>
          <w:trHeight w:val="183"/>
        </w:trPr>
        <w:tc>
          <w:tcPr>
            <w:tcW w:w="1040" w:type="dxa"/>
            <w:vAlign w:val="bottom"/>
          </w:tcPr>
          <w:p>
            <w:pPr>
              <w:spacing w:after="0"/>
              <w:rPr>
                <w:sz w:val="15"/>
                <w:szCs w:val="15"/>
                <w:color w:val="auto"/>
              </w:rPr>
            </w:pPr>
          </w:p>
        </w:tc>
        <w:tc>
          <w:tcPr>
            <w:tcW w:w="5860" w:type="dxa"/>
            <w:vAlign w:val="bottom"/>
            <w:tcBorders>
              <w:bottom w:val="single" w:sz="8" w:color="0000FF"/>
            </w:tcBorders>
            <w:gridSpan w:val="2"/>
          </w:tcPr>
          <w:p>
            <w:pPr>
              <w:spacing w:after="0" w:line="183" w:lineRule="exact"/>
              <w:rPr>
                <w:rFonts w:ascii="Arial" w:cs="Arial" w:eastAsia="Arial" w:hAnsi="Arial"/>
                <w:sz w:val="16"/>
                <w:szCs w:val="16"/>
                <w:color w:val="0000FF"/>
                <w:w w:val="90"/>
              </w:rPr>
            </w:pPr>
            <w:hyperlink r:id="rId40">
              <w:r>
                <w:rPr>
                  <w:rFonts w:ascii="Arial" w:cs="Arial" w:eastAsia="Arial" w:hAnsi="Arial"/>
                  <w:sz w:val="16"/>
                  <w:szCs w:val="16"/>
                  <w:color w:val="0000FF"/>
                  <w:w w:val="90"/>
                </w:rPr>
                <w:t>LLC, the guarantors named therein and Delaware Trust Company (as successor in interest</w:t>
              </w:r>
            </w:hyperlink>
          </w:p>
        </w:tc>
      </w:tr>
      <w:tr>
        <w:trPr>
          <w:trHeight w:val="183"/>
        </w:trPr>
        <w:tc>
          <w:tcPr>
            <w:tcW w:w="1040" w:type="dxa"/>
            <w:vAlign w:val="bottom"/>
          </w:tcPr>
          <w:p>
            <w:pPr>
              <w:spacing w:after="0"/>
              <w:rPr>
                <w:sz w:val="15"/>
                <w:szCs w:val="15"/>
                <w:color w:val="auto"/>
              </w:rPr>
            </w:pPr>
          </w:p>
        </w:tc>
        <w:tc>
          <w:tcPr>
            <w:tcW w:w="5860" w:type="dxa"/>
            <w:vAlign w:val="bottom"/>
            <w:gridSpan w:val="2"/>
          </w:tcPr>
          <w:p>
            <w:pPr>
              <w:spacing w:after="0" w:line="183" w:lineRule="exact"/>
              <w:rPr>
                <w:rFonts w:ascii="Arial" w:cs="Arial" w:eastAsia="Arial" w:hAnsi="Arial"/>
                <w:sz w:val="16"/>
                <w:szCs w:val="16"/>
                <w:color w:val="0000FF"/>
              </w:rPr>
            </w:pPr>
            <w:hyperlink r:id="rId40">
              <w:r>
                <w:rPr>
                  <w:rFonts w:ascii="Arial" w:cs="Arial" w:eastAsia="Arial" w:hAnsi="Arial"/>
                  <w:sz w:val="16"/>
                  <w:szCs w:val="16"/>
                  <w:color w:val="0000FF"/>
                </w:rPr>
                <w:t>to Law Debenture Trust Company of New York).</w:t>
              </w:r>
            </w:hyperlink>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4.2</w:t>
            </w:r>
          </w:p>
        </w:tc>
        <w:tc>
          <w:tcPr>
            <w:tcW w:w="5860" w:type="dxa"/>
            <w:vAlign w:val="bottom"/>
            <w:tcBorders>
              <w:bottom w:val="single" w:sz="8" w:color="0000FF"/>
            </w:tcBorders>
            <w:gridSpan w:val="2"/>
          </w:tcPr>
          <w:p>
            <w:pPr>
              <w:spacing w:after="0"/>
              <w:rPr>
                <w:rFonts w:ascii="Arial" w:cs="Arial" w:eastAsia="Arial" w:hAnsi="Arial"/>
                <w:sz w:val="16"/>
                <w:szCs w:val="16"/>
                <w:color w:val="0000FF"/>
                <w:w w:val="91"/>
              </w:rPr>
            </w:pPr>
            <w:hyperlink r:id="rId41">
              <w:r>
                <w:rPr>
                  <w:rFonts w:ascii="Arial" w:cs="Arial" w:eastAsia="Arial" w:hAnsi="Arial"/>
                  <w:sz w:val="16"/>
                  <w:szCs w:val="16"/>
                  <w:color w:val="0000FF"/>
                  <w:w w:val="91"/>
                </w:rPr>
                <w:t>Second Supplemental Indenture, dated as of June 12, 2018, among NRG Yield Operating</w:t>
              </w:r>
            </w:hyperlink>
          </w:p>
        </w:tc>
      </w:tr>
      <w:tr>
        <w:trPr>
          <w:trHeight w:val="183"/>
        </w:trPr>
        <w:tc>
          <w:tcPr>
            <w:tcW w:w="1040" w:type="dxa"/>
            <w:vAlign w:val="bottom"/>
          </w:tcPr>
          <w:p>
            <w:pPr>
              <w:spacing w:after="0"/>
              <w:rPr>
                <w:sz w:val="15"/>
                <w:szCs w:val="15"/>
                <w:color w:val="auto"/>
              </w:rPr>
            </w:pPr>
          </w:p>
        </w:tc>
        <w:tc>
          <w:tcPr>
            <w:tcW w:w="5860" w:type="dxa"/>
            <w:vAlign w:val="bottom"/>
            <w:tcBorders>
              <w:bottom w:val="single" w:sz="8" w:color="0000FF"/>
            </w:tcBorders>
            <w:gridSpan w:val="2"/>
          </w:tcPr>
          <w:p>
            <w:pPr>
              <w:spacing w:after="0" w:line="183" w:lineRule="exact"/>
              <w:rPr>
                <w:rFonts w:ascii="Arial" w:cs="Arial" w:eastAsia="Arial" w:hAnsi="Arial"/>
                <w:sz w:val="16"/>
                <w:szCs w:val="16"/>
                <w:color w:val="0000FF"/>
                <w:w w:val="90"/>
              </w:rPr>
            </w:pPr>
            <w:hyperlink r:id="rId41">
              <w:r>
                <w:rPr>
                  <w:rFonts w:ascii="Arial" w:cs="Arial" w:eastAsia="Arial" w:hAnsi="Arial"/>
                  <w:sz w:val="16"/>
                  <w:szCs w:val="16"/>
                  <w:color w:val="0000FF"/>
                  <w:w w:val="90"/>
                </w:rPr>
                <w:t>LLC, the guarantors named therein and Delaware Trust Company (as successor in interest</w:t>
              </w:r>
            </w:hyperlink>
          </w:p>
        </w:tc>
      </w:tr>
      <w:tr>
        <w:trPr>
          <w:trHeight w:val="183"/>
        </w:trPr>
        <w:tc>
          <w:tcPr>
            <w:tcW w:w="1040" w:type="dxa"/>
            <w:vAlign w:val="bottom"/>
          </w:tcPr>
          <w:p>
            <w:pPr>
              <w:spacing w:after="0"/>
              <w:rPr>
                <w:sz w:val="15"/>
                <w:szCs w:val="15"/>
                <w:color w:val="auto"/>
              </w:rPr>
            </w:pPr>
          </w:p>
        </w:tc>
        <w:tc>
          <w:tcPr>
            <w:tcW w:w="5860" w:type="dxa"/>
            <w:vAlign w:val="bottom"/>
            <w:gridSpan w:val="2"/>
          </w:tcPr>
          <w:p>
            <w:pPr>
              <w:spacing w:after="0" w:line="183" w:lineRule="exact"/>
              <w:rPr>
                <w:rFonts w:ascii="Arial" w:cs="Arial" w:eastAsia="Arial" w:hAnsi="Arial"/>
                <w:sz w:val="16"/>
                <w:szCs w:val="16"/>
                <w:color w:val="0000FF"/>
              </w:rPr>
            </w:pPr>
            <w:hyperlink r:id="rId41">
              <w:r>
                <w:rPr>
                  <w:rFonts w:ascii="Arial" w:cs="Arial" w:eastAsia="Arial" w:hAnsi="Arial"/>
                  <w:sz w:val="16"/>
                  <w:szCs w:val="16"/>
                  <w:color w:val="0000FF"/>
                </w:rPr>
                <w:t>to Law Debenture Trust Company of New York).</w:t>
              </w:r>
            </w:hyperlink>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4.3</w:t>
            </w:r>
          </w:p>
        </w:tc>
        <w:tc>
          <w:tcPr>
            <w:tcW w:w="5860" w:type="dxa"/>
            <w:vAlign w:val="bottom"/>
            <w:tcBorders>
              <w:bottom w:val="single" w:sz="8" w:color="0000FF"/>
            </w:tcBorders>
            <w:gridSpan w:val="2"/>
          </w:tcPr>
          <w:p>
            <w:pPr>
              <w:spacing w:after="0"/>
              <w:rPr>
                <w:rFonts w:ascii="Arial" w:cs="Arial" w:eastAsia="Arial" w:hAnsi="Arial"/>
                <w:sz w:val="16"/>
                <w:szCs w:val="16"/>
                <w:color w:val="0000FF"/>
                <w:w w:val="92"/>
              </w:rPr>
            </w:pPr>
            <w:hyperlink w:anchor="page64">
              <w:r>
                <w:rPr>
                  <w:rFonts w:ascii="Arial" w:cs="Arial" w:eastAsia="Arial" w:hAnsi="Arial"/>
                  <w:sz w:val="16"/>
                  <w:szCs w:val="16"/>
                  <w:color w:val="0000FF"/>
                  <w:w w:val="92"/>
                </w:rPr>
                <w:t>Seventh Supplemental Indenture, dated as of July 17, 2018, among NRG Yield Operating</w:t>
              </w:r>
            </w:hyperlink>
          </w:p>
        </w:tc>
      </w:tr>
      <w:tr>
        <w:trPr>
          <w:trHeight w:val="183"/>
        </w:trPr>
        <w:tc>
          <w:tcPr>
            <w:tcW w:w="1040" w:type="dxa"/>
            <w:vAlign w:val="bottom"/>
          </w:tcPr>
          <w:p>
            <w:pPr>
              <w:spacing w:after="0"/>
              <w:rPr>
                <w:sz w:val="15"/>
                <w:szCs w:val="15"/>
                <w:color w:val="auto"/>
              </w:rPr>
            </w:pPr>
          </w:p>
        </w:tc>
        <w:tc>
          <w:tcPr>
            <w:tcW w:w="5860" w:type="dxa"/>
            <w:vAlign w:val="bottom"/>
            <w:tcBorders>
              <w:bottom w:val="single" w:sz="8" w:color="0000FF"/>
            </w:tcBorders>
            <w:gridSpan w:val="2"/>
          </w:tcPr>
          <w:p>
            <w:pPr>
              <w:spacing w:after="0" w:line="183" w:lineRule="exact"/>
              <w:rPr>
                <w:rFonts w:ascii="Arial" w:cs="Arial" w:eastAsia="Arial" w:hAnsi="Arial"/>
                <w:sz w:val="16"/>
                <w:szCs w:val="16"/>
                <w:color w:val="0000FF"/>
                <w:w w:val="90"/>
              </w:rPr>
            </w:pPr>
            <w:hyperlink w:anchor="page64">
              <w:r>
                <w:rPr>
                  <w:rFonts w:ascii="Arial" w:cs="Arial" w:eastAsia="Arial" w:hAnsi="Arial"/>
                  <w:sz w:val="16"/>
                  <w:szCs w:val="16"/>
                  <w:color w:val="0000FF"/>
                  <w:w w:val="90"/>
                </w:rPr>
                <w:t>LLC, the guarantors named therein and Delaware Trust Company (as successor in interest</w:t>
              </w:r>
            </w:hyperlink>
          </w:p>
        </w:tc>
      </w:tr>
      <w:tr>
        <w:trPr>
          <w:trHeight w:val="183"/>
        </w:trPr>
        <w:tc>
          <w:tcPr>
            <w:tcW w:w="1040" w:type="dxa"/>
            <w:vAlign w:val="bottom"/>
          </w:tcPr>
          <w:p>
            <w:pPr>
              <w:spacing w:after="0"/>
              <w:rPr>
                <w:sz w:val="15"/>
                <w:szCs w:val="15"/>
                <w:color w:val="auto"/>
              </w:rPr>
            </w:pPr>
          </w:p>
        </w:tc>
        <w:tc>
          <w:tcPr>
            <w:tcW w:w="5860" w:type="dxa"/>
            <w:vAlign w:val="bottom"/>
            <w:gridSpan w:val="2"/>
          </w:tcPr>
          <w:p>
            <w:pPr>
              <w:spacing w:after="0" w:line="183" w:lineRule="exact"/>
              <w:rPr>
                <w:rFonts w:ascii="Arial" w:cs="Arial" w:eastAsia="Arial" w:hAnsi="Arial"/>
                <w:sz w:val="16"/>
                <w:szCs w:val="16"/>
                <w:color w:val="0000FF"/>
              </w:rPr>
            </w:pPr>
            <w:hyperlink w:anchor="page64">
              <w:r>
                <w:rPr>
                  <w:rFonts w:ascii="Arial" w:cs="Arial" w:eastAsia="Arial" w:hAnsi="Arial"/>
                  <w:sz w:val="16"/>
                  <w:szCs w:val="16"/>
                  <w:color w:val="0000FF"/>
                </w:rPr>
                <w:t>to Law Debenture Trust Company of New York).</w:t>
              </w:r>
            </w:hyperlink>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4.4</w:t>
            </w:r>
          </w:p>
        </w:tc>
        <w:tc>
          <w:tcPr>
            <w:tcW w:w="5860" w:type="dxa"/>
            <w:vAlign w:val="bottom"/>
            <w:tcBorders>
              <w:bottom w:val="single" w:sz="8" w:color="0000FF"/>
            </w:tcBorders>
            <w:gridSpan w:val="2"/>
          </w:tcPr>
          <w:p>
            <w:pPr>
              <w:spacing w:after="0"/>
              <w:rPr>
                <w:rFonts w:ascii="Arial" w:cs="Arial" w:eastAsia="Arial" w:hAnsi="Arial"/>
                <w:sz w:val="16"/>
                <w:szCs w:val="16"/>
                <w:color w:val="0000FF"/>
                <w:w w:val="95"/>
              </w:rPr>
            </w:pPr>
            <w:hyperlink w:anchor="page68">
              <w:r>
                <w:rPr>
                  <w:rFonts w:ascii="Arial" w:cs="Arial" w:eastAsia="Arial" w:hAnsi="Arial"/>
                  <w:sz w:val="16"/>
                  <w:szCs w:val="16"/>
                  <w:color w:val="0000FF"/>
                  <w:w w:val="95"/>
                </w:rPr>
                <w:t>Third Supplemental Indenture, dated as of July 17, 2018, among NRG Yield Operating</w:t>
              </w:r>
            </w:hyperlink>
          </w:p>
        </w:tc>
      </w:tr>
      <w:tr>
        <w:trPr>
          <w:trHeight w:val="183"/>
        </w:trPr>
        <w:tc>
          <w:tcPr>
            <w:tcW w:w="1040" w:type="dxa"/>
            <w:vAlign w:val="bottom"/>
          </w:tcPr>
          <w:p>
            <w:pPr>
              <w:spacing w:after="0"/>
              <w:rPr>
                <w:sz w:val="15"/>
                <w:szCs w:val="15"/>
                <w:color w:val="auto"/>
              </w:rPr>
            </w:pPr>
          </w:p>
        </w:tc>
        <w:tc>
          <w:tcPr>
            <w:tcW w:w="5860" w:type="dxa"/>
            <w:vAlign w:val="bottom"/>
            <w:tcBorders>
              <w:bottom w:val="single" w:sz="8" w:color="0000FF"/>
            </w:tcBorders>
            <w:gridSpan w:val="2"/>
          </w:tcPr>
          <w:p>
            <w:pPr>
              <w:spacing w:after="0" w:line="183" w:lineRule="exact"/>
              <w:rPr>
                <w:rFonts w:ascii="Arial" w:cs="Arial" w:eastAsia="Arial" w:hAnsi="Arial"/>
                <w:sz w:val="16"/>
                <w:szCs w:val="16"/>
                <w:color w:val="0000FF"/>
                <w:w w:val="90"/>
              </w:rPr>
            </w:pPr>
            <w:hyperlink w:anchor="page68">
              <w:r>
                <w:rPr>
                  <w:rFonts w:ascii="Arial" w:cs="Arial" w:eastAsia="Arial" w:hAnsi="Arial"/>
                  <w:sz w:val="16"/>
                  <w:szCs w:val="16"/>
                  <w:color w:val="0000FF"/>
                  <w:w w:val="90"/>
                </w:rPr>
                <w:t>LLC, the guarantors named therein and Delaware Trust Company (as successor in interest</w:t>
              </w:r>
            </w:hyperlink>
          </w:p>
        </w:tc>
      </w:tr>
      <w:tr>
        <w:trPr>
          <w:trHeight w:val="183"/>
        </w:trPr>
        <w:tc>
          <w:tcPr>
            <w:tcW w:w="1040" w:type="dxa"/>
            <w:vAlign w:val="bottom"/>
          </w:tcPr>
          <w:p>
            <w:pPr>
              <w:spacing w:after="0"/>
              <w:rPr>
                <w:sz w:val="15"/>
                <w:szCs w:val="15"/>
                <w:color w:val="auto"/>
              </w:rPr>
            </w:pPr>
          </w:p>
        </w:tc>
        <w:tc>
          <w:tcPr>
            <w:tcW w:w="5860" w:type="dxa"/>
            <w:vAlign w:val="bottom"/>
            <w:gridSpan w:val="2"/>
          </w:tcPr>
          <w:p>
            <w:pPr>
              <w:spacing w:after="0" w:line="183" w:lineRule="exact"/>
              <w:rPr>
                <w:rFonts w:ascii="Arial" w:cs="Arial" w:eastAsia="Arial" w:hAnsi="Arial"/>
                <w:sz w:val="16"/>
                <w:szCs w:val="16"/>
                <w:color w:val="0000FF"/>
              </w:rPr>
            </w:pPr>
            <w:hyperlink w:anchor="page68">
              <w:r>
                <w:rPr>
                  <w:rFonts w:ascii="Arial" w:cs="Arial" w:eastAsia="Arial" w:hAnsi="Arial"/>
                  <w:sz w:val="16"/>
                  <w:szCs w:val="16"/>
                  <w:color w:val="0000FF"/>
                </w:rPr>
                <w:t>to Law Debenture Trust Company of New York).</w:t>
              </w:r>
            </w:hyperlink>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sz w:val="20"/>
          <w:szCs w:val="20"/>
          <w:color w:val="auto"/>
        </w:rPr>
      </w:pPr>
    </w:p>
    <w:p>
      <w:pPr>
        <w:spacing w:after="0" w:line="329" w:lineRule="auto"/>
        <w:rPr>
          <w:sz w:val="20"/>
          <w:szCs w:val="20"/>
          <w:color w:val="auto"/>
        </w:rPr>
      </w:pPr>
      <w:r>
        <w:rPr>
          <w:rFonts w:ascii="Arial" w:cs="Arial" w:eastAsia="Arial" w:hAnsi="Arial"/>
          <w:sz w:val="15"/>
          <w:szCs w:val="15"/>
          <w:color w:val="auto"/>
        </w:rPr>
        <w:t>Incorporated herein by reference to Exhibit 4.1 to the Registrant's Current Report on Form 8-K filed on June 12, 2018.</w:t>
      </w:r>
    </w:p>
    <w:p>
      <w:pPr>
        <w:spacing w:after="0" w:line="189" w:lineRule="exact"/>
        <w:rPr>
          <w:sz w:val="20"/>
          <w:szCs w:val="20"/>
          <w:color w:val="auto"/>
        </w:rPr>
      </w:pPr>
    </w:p>
    <w:p>
      <w:pPr>
        <w:spacing w:after="0" w:line="329" w:lineRule="auto"/>
        <w:rPr>
          <w:sz w:val="20"/>
          <w:szCs w:val="20"/>
          <w:color w:val="auto"/>
        </w:rPr>
      </w:pPr>
      <w:r>
        <w:rPr>
          <w:rFonts w:ascii="Arial" w:cs="Arial" w:eastAsia="Arial" w:hAnsi="Arial"/>
          <w:sz w:val="15"/>
          <w:szCs w:val="15"/>
          <w:color w:val="auto"/>
        </w:rPr>
        <w:t>Incorporated herein by reference to Exhibit 4.2 to the Registrant's Current Report on Form 8-K filed on June 12, 2018.</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479" w:lineRule="exact"/>
        <w:rPr>
          <w:sz w:val="20"/>
          <w:szCs w:val="20"/>
          <w:color w:val="auto"/>
        </w:rPr>
      </w:pPr>
    </w:p>
    <w:p>
      <w:pPr>
        <w:sectPr>
          <w:pgSz w:w="11900" w:h="16838" w:orient="portrait"/>
          <w:cols w:equalWidth="0" w:num="2">
            <w:col w:w="6940" w:space="180"/>
            <w:col w:w="4260"/>
          </w:cols>
          <w:pgMar w:left="240" w:top="742" w:right="27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760" w:type="dxa"/>
            <w:vAlign w:val="bottom"/>
          </w:tcPr>
          <w:p>
            <w:pPr>
              <w:spacing w:after="0"/>
              <w:rPr>
                <w:sz w:val="16"/>
                <w:szCs w:val="16"/>
                <w:color w:val="auto"/>
              </w:rPr>
            </w:pPr>
          </w:p>
        </w:tc>
        <w:tc>
          <w:tcPr>
            <w:tcW w:w="408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71">
              <w:r>
                <w:rPr>
                  <w:rFonts w:ascii="Arial" w:cs="Arial" w:eastAsia="Arial" w:hAnsi="Arial"/>
                  <w:sz w:val="16"/>
                  <w:szCs w:val="16"/>
                  <w:color w:val="0000FF"/>
                  <w:w w:val="92"/>
                </w:rPr>
                <w:t>Rule 13a-14(a)/15d-14(a) certification of Christopher S. Sotos.</w:t>
              </w:r>
            </w:hyperlink>
          </w:p>
        </w:tc>
        <w:tc>
          <w:tcPr>
            <w:tcW w:w="980" w:type="dxa"/>
            <w:vAlign w:val="bottom"/>
          </w:tcPr>
          <w:p>
            <w:pPr>
              <w:spacing w:after="0"/>
              <w:rPr>
                <w:sz w:val="16"/>
                <w:szCs w:val="16"/>
                <w:color w:val="auto"/>
              </w:rPr>
            </w:pP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760" w:type="dxa"/>
            <w:vAlign w:val="bottom"/>
          </w:tcPr>
          <w:p>
            <w:pPr>
              <w:spacing w:after="0"/>
              <w:rPr>
                <w:sz w:val="21"/>
                <w:szCs w:val="21"/>
                <w:color w:val="auto"/>
              </w:rPr>
            </w:pPr>
          </w:p>
        </w:tc>
        <w:tc>
          <w:tcPr>
            <w:tcW w:w="5060" w:type="dxa"/>
            <w:vAlign w:val="bottom"/>
            <w:gridSpan w:val="5"/>
          </w:tcPr>
          <w:p>
            <w:pPr>
              <w:spacing w:after="0"/>
              <w:rPr>
                <w:rFonts w:ascii="Arial" w:cs="Arial" w:eastAsia="Arial" w:hAnsi="Arial"/>
                <w:sz w:val="16"/>
                <w:szCs w:val="16"/>
                <w:color w:val="0000FF"/>
              </w:rPr>
            </w:pPr>
            <w:hyperlink w:anchor="page72">
              <w:r>
                <w:rPr>
                  <w:rFonts w:ascii="Arial" w:cs="Arial" w:eastAsia="Arial" w:hAnsi="Arial"/>
                  <w:sz w:val="16"/>
                  <w:szCs w:val="16"/>
                  <w:color w:val="0000FF"/>
                </w:rPr>
                <w:t>Rule 13a-14(a)/15d-14(a) certification of Chad Plotkin.</w:t>
              </w:r>
            </w:hyperlink>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31.3</w:t>
            </w:r>
          </w:p>
        </w:tc>
        <w:tc>
          <w:tcPr>
            <w:tcW w:w="760" w:type="dxa"/>
            <w:vAlign w:val="bottom"/>
          </w:tcPr>
          <w:p>
            <w:pPr>
              <w:spacing w:after="0"/>
              <w:rPr>
                <w:sz w:val="21"/>
                <w:szCs w:val="21"/>
                <w:color w:val="auto"/>
              </w:rPr>
            </w:pPr>
          </w:p>
        </w:tc>
        <w:tc>
          <w:tcPr>
            <w:tcW w:w="3600" w:type="dxa"/>
            <w:vAlign w:val="bottom"/>
            <w:tcBorders>
              <w:bottom w:val="single" w:sz="8" w:color="0000FF"/>
            </w:tcBorders>
            <w:gridSpan w:val="3"/>
          </w:tcPr>
          <w:p>
            <w:pPr>
              <w:spacing w:after="0"/>
              <w:rPr>
                <w:rFonts w:ascii="Arial" w:cs="Arial" w:eastAsia="Arial" w:hAnsi="Arial"/>
                <w:sz w:val="16"/>
                <w:szCs w:val="16"/>
                <w:color w:val="0000FF"/>
                <w:w w:val="93"/>
              </w:rPr>
            </w:pPr>
            <w:hyperlink w:anchor="page73">
              <w:r>
                <w:rPr>
                  <w:rFonts w:ascii="Arial" w:cs="Arial" w:eastAsia="Arial" w:hAnsi="Arial"/>
                  <w:sz w:val="16"/>
                  <w:szCs w:val="16"/>
                  <w:color w:val="0000FF"/>
                  <w:w w:val="93"/>
                </w:rPr>
                <w:t>Rule 13a-14(a)/15d-14(a) certification of David Callen.</w:t>
              </w:r>
            </w:hyperlink>
          </w:p>
        </w:tc>
        <w:tc>
          <w:tcPr>
            <w:tcW w:w="1460" w:type="dxa"/>
            <w:vAlign w:val="bottom"/>
            <w:gridSpan w:val="2"/>
          </w:tcPr>
          <w:p>
            <w:pPr>
              <w:spacing w:after="0"/>
              <w:rPr>
                <w:sz w:val="21"/>
                <w:szCs w:val="21"/>
                <w:color w:val="auto"/>
              </w:rPr>
            </w:pP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760" w:type="dxa"/>
            <w:vAlign w:val="bottom"/>
          </w:tcPr>
          <w:p>
            <w:pPr>
              <w:spacing w:after="0"/>
              <w:rPr>
                <w:sz w:val="21"/>
                <w:szCs w:val="21"/>
                <w:color w:val="auto"/>
              </w:rPr>
            </w:pPr>
          </w:p>
        </w:tc>
        <w:tc>
          <w:tcPr>
            <w:tcW w:w="5060" w:type="dxa"/>
            <w:vAlign w:val="bottom"/>
            <w:gridSpan w:val="5"/>
          </w:tcPr>
          <w:p>
            <w:pPr>
              <w:spacing w:after="0"/>
              <w:rPr>
                <w:rFonts w:ascii="Arial" w:cs="Arial" w:eastAsia="Arial" w:hAnsi="Arial"/>
                <w:sz w:val="16"/>
                <w:szCs w:val="16"/>
                <w:color w:val="0000FF"/>
              </w:rPr>
            </w:pPr>
            <w:hyperlink w:anchor="page74">
              <w:r>
                <w:rPr>
                  <w:rFonts w:ascii="Arial" w:cs="Arial" w:eastAsia="Arial" w:hAnsi="Arial"/>
                  <w:sz w:val="16"/>
                  <w:szCs w:val="16"/>
                  <w:color w:val="0000FF"/>
                </w:rPr>
                <w:t>Section 1350 Certification.</w:t>
              </w:r>
            </w:hyperlink>
          </w:p>
        </w:tc>
        <w:tc>
          <w:tcPr>
            <w:tcW w:w="2260" w:type="dxa"/>
            <w:vAlign w:val="bottom"/>
          </w:tcPr>
          <w:p>
            <w:pPr>
              <w:ind w:left="980"/>
              <w:spacing w:after="0"/>
              <w:rPr>
                <w:sz w:val="20"/>
                <w:szCs w:val="20"/>
                <w:color w:val="auto"/>
              </w:rPr>
            </w:pPr>
            <w:r>
              <w:rPr>
                <w:rFonts w:ascii="Arial" w:cs="Arial" w:eastAsia="Arial" w:hAnsi="Arial"/>
                <w:sz w:val="16"/>
                <w:szCs w:val="16"/>
                <w:color w:val="auto"/>
                <w:w w:val="89"/>
              </w:rPr>
              <w:t>Furnished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85"/>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INS</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Instance Document.</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SCH</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Taxonomy Extension Schema.</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CAL</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Taxonomy Extension Calculation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DEF</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Taxonomy Extension Definition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LAB</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Taxonomy Extension Label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PRE</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Taxonomy Extension Presentation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742" w:right="27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NRG YIELD LLC</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CHRISTOPHER S. SOTOS</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Christopher S. Sotos</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CHAD PLOTKIN</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Chad Plotkin</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DAVID CALLEN</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David Callen</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August 2, 2018</w:t>
            </w: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560" w:type="dxa"/>
            <w:vAlign w:val="bottom"/>
          </w:tcPr>
          <w:p>
            <w:pPr>
              <w:spacing w:after="0"/>
              <w:rPr>
                <w:sz w:val="24"/>
                <w:szCs w:val="24"/>
                <w:color w:val="auto"/>
              </w:rPr>
            </w:pPr>
          </w:p>
        </w:tc>
        <w:tc>
          <w:tcPr>
            <w:tcW w:w="3120" w:type="dxa"/>
            <w:vAlign w:val="bottom"/>
          </w:tcPr>
          <w:p>
            <w:pPr>
              <w:jc w:val="right"/>
              <w:ind w:right="850"/>
              <w:spacing w:after="0"/>
              <w:rPr>
                <w:sz w:val="20"/>
                <w:szCs w:val="20"/>
                <w:color w:val="auto"/>
              </w:rPr>
            </w:pPr>
            <w:r>
              <w:rPr>
                <w:rFonts w:ascii="Arial" w:cs="Arial" w:eastAsia="Arial" w:hAnsi="Arial"/>
                <w:sz w:val="18"/>
                <w:szCs w:val="18"/>
                <w:color w:val="auto"/>
              </w:rPr>
              <w:t>63</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4.3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SEVENTH SUPPLEMENTAL INDENTURE</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SEVENTH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July 17, 2018, among Thermal Canada Infrastructure Holdings 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NRG Yield Operating LLC (or its permitted successor), a Delaware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5, 2014 providing for the issuance of 5.375% Senior Notes due 2024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208" w:lineRule="exact"/>
        <w:rPr>
          <w:sz w:val="20"/>
          <w:szCs w:val="20"/>
          <w:color w:val="auto"/>
        </w:rPr>
      </w:pPr>
    </w:p>
    <w:p>
      <w:pPr>
        <w:ind w:left="1440" w:hanging="784"/>
        <w:spacing w:after="0"/>
        <w:tabs>
          <w:tab w:leader="none" w:pos="1440" w:val="left"/>
        </w:tabs>
        <w:numPr>
          <w:ilvl w:val="0"/>
          <w:numId w:val="34"/>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50" w:lineRule="exact"/>
        <w:rPr>
          <w:rFonts w:ascii="Arial" w:cs="Arial" w:eastAsia="Arial" w:hAnsi="Arial"/>
          <w:sz w:val="17"/>
          <w:szCs w:val="17"/>
          <w:color w:val="010000"/>
        </w:rPr>
      </w:pPr>
    </w:p>
    <w:p>
      <w:pPr>
        <w:jc w:val="both"/>
        <w:ind w:firstLine="656"/>
        <w:spacing w:after="0" w:line="259" w:lineRule="auto"/>
        <w:tabs>
          <w:tab w:leader="none" w:pos="953"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995"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010000"/>
        </w:rPr>
      </w:pPr>
    </w:p>
    <w:p>
      <w:pPr>
        <w:jc w:val="both"/>
        <w:ind w:firstLine="656"/>
        <w:spacing w:after="0" w:line="264" w:lineRule="auto"/>
        <w:tabs>
          <w:tab w:leader="none" w:pos="1083"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010000"/>
        </w:rPr>
      </w:pPr>
    </w:p>
    <w:p>
      <w:pPr>
        <w:ind w:firstLine="656"/>
        <w:spacing w:after="0" w:line="277" w:lineRule="auto"/>
        <w:tabs>
          <w:tab w:leader="none" w:pos="976"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980" w:hanging="324"/>
        <w:spacing w:after="0"/>
        <w:tabs>
          <w:tab w:leader="none" w:pos="980"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38282982</w:t>
      </w:r>
    </w:p>
    <w:p>
      <w:pPr>
        <w:sectPr>
          <w:pgSz w:w="11900" w:h="16838" w:orient="portrait"/>
          <w:cols w:equalWidth="0" w:num="1">
            <w:col w:w="11420"/>
          </w:cols>
          <w:pgMar w:left="240" w:top="121" w:right="239" w:bottom="1440" w:gutter="0" w:footer="0" w:header="0"/>
        </w:sectPr>
      </w:pPr>
    </w:p>
    <w:bookmarkStart w:id="64" w:name="page65"/>
    <w:bookmarkEnd w:id="64"/>
    <w:p>
      <w:pPr>
        <w:jc w:val="both"/>
        <w:ind w:left="-656" w:firstLine="656"/>
        <w:spacing w:after="0" w:line="264" w:lineRule="auto"/>
        <w:tabs>
          <w:tab w:leader="none" w:pos="435"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010000"/>
        </w:rPr>
      </w:pPr>
    </w:p>
    <w:p>
      <w:pPr>
        <w:jc w:val="both"/>
        <w:ind w:left="-656" w:firstLine="656"/>
        <w:spacing w:after="0" w:line="259" w:lineRule="auto"/>
        <w:tabs>
          <w:tab w:leader="none" w:pos="332"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625" w:right="239" w:bottom="1440" w:gutter="0" w:footer="0" w:header="0"/>
        </w:sectPr>
      </w:pPr>
    </w:p>
    <w:bookmarkStart w:id="65" w:name="page66"/>
    <w:bookmarkEnd w:id="65"/>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34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THERMAL CANADA INFRASTRUCTURE HOLDINGS LLC</w:t>
      </w:r>
    </w:p>
    <w:p>
      <w:pPr>
        <w:spacing w:after="0" w:line="27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Chad Plotkin</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Title: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Seventh Supplemental Indenture</w:t>
      </w:r>
      <w:r>
        <w:rPr>
          <w:rFonts w:ascii="Arial" w:cs="Arial" w:eastAsia="Arial" w:hAnsi="Arial"/>
          <w:sz w:val="18"/>
          <w:szCs w:val="18"/>
          <w:color w:val="auto"/>
        </w:rPr>
        <w:t>]</w:t>
      </w:r>
    </w:p>
    <w:p>
      <w:pPr>
        <w:sectPr>
          <w:pgSz w:w="11900" w:h="16838" w:orient="portrait"/>
          <w:cols w:equalWidth="0" w:num="1">
            <w:col w:w="11420"/>
          </w:cols>
          <w:pgMar w:left="240" w:top="625" w:right="239" w:bottom="1440" w:gutter="0" w:footer="0" w:header="0"/>
        </w:sectPr>
      </w:pPr>
    </w:p>
    <w:bookmarkStart w:id="66" w:name="page67"/>
    <w:bookmarkEnd w:id="66"/>
    <w:p>
      <w:pPr>
        <w:ind w:left="2320"/>
        <w:spacing w:after="0"/>
        <w:rPr>
          <w:sz w:val="20"/>
          <w:szCs w:val="20"/>
          <w:color w:val="auto"/>
        </w:rPr>
      </w:pPr>
      <w:r>
        <w:rPr>
          <w:rFonts w:ascii="Arial" w:cs="Arial" w:eastAsia="Arial" w:hAnsi="Arial"/>
          <w:sz w:val="18"/>
          <w:szCs w:val="18"/>
          <w:color w:val="auto"/>
        </w:rPr>
        <w:t>NRG YIELD OPERATING LLC</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NRG YIELD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NRG YIELD DGPV HOLDING LLC</w:t>
      </w:r>
    </w:p>
    <w:p>
      <w:pPr>
        <w:spacing w:after="0" w:line="211"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Chad Plotkin</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Title: Senior Vice President, Chief Financial Officer &amp; Treasurer</w:t>
      </w:r>
    </w:p>
    <w:p>
      <w:pPr>
        <w:spacing w:after="0" w:line="234"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NRG SOLAR IGUANA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NRG SOLAR LAS VEGAS MB 1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NRG SOLAR STAR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NRG SOLAR TABERNACLE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2620" w:right="1959" w:hanging="310"/>
        <w:spacing w:after="0" w:line="250" w:lineRule="auto"/>
        <w:rPr>
          <w:sz w:val="20"/>
          <w:szCs w:val="20"/>
          <w:color w:val="auto"/>
        </w:rPr>
      </w:pPr>
      <w:r>
        <w:rPr>
          <w:rFonts w:ascii="Arial" w:cs="Arial" w:eastAsia="Arial" w:hAnsi="Arial"/>
          <w:sz w:val="18"/>
          <w:szCs w:val="18"/>
          <w:color w:val="auto"/>
        </w:rPr>
        <w:t>THERMAL</w:t>
      </w:r>
      <w:r>
        <w:rPr>
          <w:sz w:val="20"/>
          <w:szCs w:val="20"/>
          <w:color w:val="auto"/>
        </w:rPr>
        <w:t xml:space="preserve"> </w:t>
      </w:r>
      <w:r>
        <w:rPr>
          <w:rFonts w:ascii="Arial" w:cs="Arial" w:eastAsia="Arial" w:hAnsi="Arial"/>
          <w:sz w:val="18"/>
          <w:szCs w:val="18"/>
          <w:color w:val="auto"/>
        </w:rPr>
        <w:t>INFRASTRUCTURE DEVELOPMENT HOLDINGS LLC</w:t>
      </w:r>
    </w:p>
    <w:p>
      <w:pPr>
        <w:spacing w:after="0" w:line="21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Chad Plotkin</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Title: Vice President &amp; Treasurer</w:t>
      </w:r>
    </w:p>
    <w:p>
      <w:pPr>
        <w:spacing w:after="0" w:line="200" w:lineRule="exact"/>
        <w:rPr>
          <w:sz w:val="20"/>
          <w:szCs w:val="20"/>
          <w:color w:val="auto"/>
        </w:rPr>
      </w:pPr>
    </w:p>
    <w:p>
      <w:pPr>
        <w:spacing w:after="0" w:line="227"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Thomas Musarra</w:t>
      </w:r>
    </w:p>
    <w:p>
      <w:pPr>
        <w:spacing w:after="0" w:line="200" w:lineRule="exact"/>
        <w:rPr>
          <w:sz w:val="20"/>
          <w:szCs w:val="20"/>
          <w:color w:val="auto"/>
        </w:rPr>
      </w:pPr>
    </w:p>
    <w:p>
      <w:pPr>
        <w:spacing w:after="0" w:line="241"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Seventh Supplemental Indenture</w:t>
      </w:r>
      <w:r>
        <w:rPr>
          <w:rFonts w:ascii="Arial" w:cs="Arial" w:eastAsia="Arial" w:hAnsi="Arial"/>
          <w:sz w:val="17"/>
          <w:szCs w:val="17"/>
          <w:color w:val="auto"/>
        </w:rPr>
        <w:t>]</w:t>
      </w:r>
    </w:p>
    <w:p>
      <w:pPr>
        <w:sectPr>
          <w:pgSz w:w="11900" w:h="16838" w:orient="portrait"/>
          <w:cols w:equalWidth="0" w:num="1">
            <w:col w:w="9019"/>
          </w:cols>
          <w:pgMar w:left="1440" w:top="787"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4.4</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SUPPLEMENTAL INDENTURE</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THIRD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July 17, 2018, among Thermal Canada Infrastructure Holdings 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NRG Yield Operating LLC (or its permitted successor), a Delaware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208" w:lineRule="exact"/>
        <w:rPr>
          <w:sz w:val="20"/>
          <w:szCs w:val="20"/>
          <w:color w:val="auto"/>
        </w:rPr>
      </w:pPr>
    </w:p>
    <w:p>
      <w:pPr>
        <w:ind w:left="1440" w:hanging="784"/>
        <w:spacing w:after="0"/>
        <w:tabs>
          <w:tab w:leader="none" w:pos="1440" w:val="left"/>
        </w:tabs>
        <w:numPr>
          <w:ilvl w:val="0"/>
          <w:numId w:val="36"/>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50" w:lineRule="exact"/>
        <w:rPr>
          <w:rFonts w:ascii="Arial" w:cs="Arial" w:eastAsia="Arial" w:hAnsi="Arial"/>
          <w:sz w:val="17"/>
          <w:szCs w:val="17"/>
          <w:color w:val="010000"/>
        </w:rPr>
      </w:pPr>
    </w:p>
    <w:p>
      <w:pPr>
        <w:jc w:val="both"/>
        <w:ind w:firstLine="656"/>
        <w:spacing w:after="0" w:line="259" w:lineRule="auto"/>
        <w:tabs>
          <w:tab w:leader="none" w:pos="953"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995"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010000"/>
        </w:rPr>
      </w:pPr>
    </w:p>
    <w:p>
      <w:pPr>
        <w:jc w:val="both"/>
        <w:ind w:firstLine="656"/>
        <w:spacing w:after="0" w:line="264" w:lineRule="auto"/>
        <w:tabs>
          <w:tab w:leader="none" w:pos="1083"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010000"/>
        </w:rPr>
      </w:pPr>
    </w:p>
    <w:p>
      <w:pPr>
        <w:ind w:firstLine="656"/>
        <w:spacing w:after="0" w:line="277" w:lineRule="auto"/>
        <w:tabs>
          <w:tab w:leader="none" w:pos="976"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980" w:hanging="324"/>
        <w:spacing w:after="0"/>
        <w:tabs>
          <w:tab w:leader="none" w:pos="980"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38282987</w:t>
      </w:r>
    </w:p>
    <w:p>
      <w:pPr>
        <w:sectPr>
          <w:pgSz w:w="11900" w:h="16838" w:orient="portrait"/>
          <w:cols w:equalWidth="0" w:num="1">
            <w:col w:w="11420"/>
          </w:cols>
          <w:pgMar w:left="240" w:top="121" w:right="239" w:bottom="1440" w:gutter="0" w:footer="0" w:header="0"/>
        </w:sectPr>
      </w:pPr>
    </w:p>
    <w:bookmarkStart w:id="68" w:name="page69"/>
    <w:bookmarkEnd w:id="68"/>
    <w:p>
      <w:pPr>
        <w:jc w:val="both"/>
        <w:ind w:left="-656" w:firstLine="656"/>
        <w:spacing w:after="0" w:line="264" w:lineRule="auto"/>
        <w:tabs>
          <w:tab w:leader="none" w:pos="435"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010000"/>
        </w:rPr>
      </w:pPr>
    </w:p>
    <w:p>
      <w:pPr>
        <w:jc w:val="both"/>
        <w:ind w:left="-656" w:firstLine="656"/>
        <w:spacing w:after="0" w:line="259" w:lineRule="auto"/>
        <w:tabs>
          <w:tab w:leader="none" w:pos="332"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625" w:right="239" w:bottom="1440" w:gutter="0" w:footer="0" w:header="0"/>
        </w:sectPr>
      </w:pPr>
    </w:p>
    <w:bookmarkStart w:id="69" w:name="page70"/>
    <w:bookmarkEnd w:id="69"/>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34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THERMAL CANADA INFRASTRUCTURE HOLDINGS</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LLC</w:t>
      </w:r>
    </w:p>
    <w:p>
      <w:pPr>
        <w:spacing w:after="0" w:line="200" w:lineRule="exact"/>
        <w:rPr>
          <w:sz w:val="20"/>
          <w:szCs w:val="20"/>
          <w:color w:val="auto"/>
        </w:rPr>
      </w:pPr>
    </w:p>
    <w:p>
      <w:pPr>
        <w:spacing w:after="0" w:line="28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Chad Plotkin</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Title: Vice President &amp; Treasurer</w:t>
      </w:r>
    </w:p>
    <w:p>
      <w:pPr>
        <w:spacing w:after="0" w:line="26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NRG YIELD OPERATING LLC</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NRG YIELD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NRG YIELD DGPV HOLDING LLC</w:t>
      </w:r>
    </w:p>
    <w:p>
      <w:pPr>
        <w:spacing w:after="0" w:line="200" w:lineRule="exact"/>
        <w:rPr>
          <w:sz w:val="20"/>
          <w:szCs w:val="20"/>
          <w:color w:val="auto"/>
        </w:rPr>
      </w:pPr>
    </w:p>
    <w:p>
      <w:pPr>
        <w:spacing w:after="0" w:line="22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Chad Plotkin</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Title: Senior Vice President, Chief Financial Officer &amp;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NRG SOLAR IGUANA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NRG SOLAR LAS VEGAS MB 1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NRG SOLAR STAR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NRG SOLAR TABERNACLE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3540"/>
        <w:spacing w:after="0"/>
        <w:tabs>
          <w:tab w:leader="none" w:pos="4760" w:val="left"/>
          <w:tab w:leader="none" w:pos="6740" w:val="left"/>
        </w:tabs>
        <w:rPr>
          <w:sz w:val="20"/>
          <w:szCs w:val="20"/>
          <w:color w:val="auto"/>
        </w:rPr>
      </w:pPr>
      <w:r>
        <w:rPr>
          <w:rFonts w:ascii="Arial" w:cs="Arial" w:eastAsia="Arial" w:hAnsi="Arial"/>
          <w:sz w:val="18"/>
          <w:szCs w:val="18"/>
          <w:color w:val="auto"/>
        </w:rPr>
        <w:t>THERMAL</w:t>
      </w:r>
      <w:r>
        <w:rPr>
          <w:sz w:val="20"/>
          <w:szCs w:val="20"/>
          <w:color w:val="auto"/>
        </w:rPr>
        <w:tab/>
      </w:r>
      <w:r>
        <w:rPr>
          <w:rFonts w:ascii="Arial" w:cs="Arial" w:eastAsia="Arial" w:hAnsi="Arial"/>
          <w:sz w:val="18"/>
          <w:szCs w:val="18"/>
          <w:color w:val="auto"/>
        </w:rPr>
        <w:t>INFRASTRUCTURE</w:t>
      </w:r>
      <w:r>
        <w:rPr>
          <w:sz w:val="20"/>
          <w:szCs w:val="20"/>
          <w:color w:val="auto"/>
        </w:rPr>
        <w:tab/>
      </w:r>
      <w:r>
        <w:rPr>
          <w:rFonts w:ascii="Arial" w:cs="Arial" w:eastAsia="Arial" w:hAnsi="Arial"/>
          <w:sz w:val="17"/>
          <w:szCs w:val="17"/>
          <w:color w:val="auto"/>
        </w:rPr>
        <w:t>DEVELOPMENT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HOLDINGS LLC</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Chad Plotkin</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Title: Vice President &amp; Treasurer</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Thomas Musarra</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1420"/>
          </w:cols>
          <w:pgMar w:left="240" w:top="6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Third Supplemental Indenture</w:t>
      </w:r>
      <w:r>
        <w:rPr>
          <w:rFonts w:ascii="Arial" w:cs="Arial" w:eastAsia="Arial" w:hAnsi="Arial"/>
          <w:sz w:val="16"/>
          <w:szCs w:val="16"/>
          <w:color w:val="auto"/>
        </w:rPr>
        <w:t>]</w:t>
      </w:r>
    </w:p>
    <w:p>
      <w:pPr>
        <w:sectPr>
          <w:pgSz w:w="11900" w:h="16838" w:orient="portrait"/>
          <w:cols w:equalWidth="0" w:num="1">
            <w:col w:w="11420"/>
          </w:cols>
          <w:pgMar w:left="240" w:top="625" w:right="239" w:bottom="1440" w:gutter="0" w:footer="0" w:header="0"/>
          <w:type w:val="continuous"/>
        </w:sectPr>
      </w:pPr>
    </w:p>
    <w:bookmarkStart w:id="70" w:name="page71"/>
    <w:bookmarkEnd w:id="70"/>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1929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ectPr>
          <w:pgSz w:w="11900" w:h="16838" w:orient="portrait"/>
          <w:cols w:equalWidth="0" w:num="1">
            <w:col w:w="11420"/>
          </w:cols>
          <w:pgMar w:left="240" w:top="661" w:right="239" w:bottom="1440" w:gutter="0" w:footer="0" w:header="0"/>
        </w:sectPr>
      </w:pPr>
    </w:p>
    <w:bookmarkStart w:id="71" w:name="page72"/>
    <w:bookmarkEnd w:id="71"/>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ectPr>
          <w:pgSz w:w="11900" w:h="16838" w:orient="portrait"/>
          <w:cols w:equalWidth="0" w:num="1">
            <w:col w:w="11420"/>
          </w:cols>
          <w:pgMar w:left="240" w:top="661" w:right="239" w:bottom="1440" w:gutter="0" w:footer="0" w:header="0"/>
        </w:sectPr>
      </w:pPr>
    </w:p>
    <w:bookmarkStart w:id="72" w:name="page73"/>
    <w:bookmarkEnd w:id="72"/>
    <w:p>
      <w:pPr>
        <w:ind w:left="10280"/>
        <w:spacing w:after="0"/>
        <w:rPr>
          <w:sz w:val="20"/>
          <w:szCs w:val="20"/>
          <w:color w:val="auto"/>
        </w:rPr>
      </w:pPr>
      <w:r>
        <w:rPr>
          <w:rFonts w:ascii="Arial" w:cs="Arial" w:eastAsia="Arial" w:hAnsi="Arial"/>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Callen, certify that:</w:t>
      </w:r>
    </w:p>
    <w:p>
      <w:pPr>
        <w:spacing w:after="0" w:line="306"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David Callen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NRG Yield LLC on Form 10-Q for the quarter ended June 30, 2018,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Callen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LLC and will be retained by NRG Yield LLC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lowerLetter"/>
      <w:start w:val="2"/>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Roman"/>
      <w:start w:val="3"/>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1"/>
    </w:lvl>
    <w:lvl w:ilvl="1">
      <w:lvlJc w:val="left"/>
      <w:lvlText w:val="(%2)"/>
      <w:numFmt w:val="lowerLetter"/>
      <w:start w:val="1"/>
    </w:lvl>
  </w:abstractNum>
  <w:abstractNum w:abstractNumId="17">
    <w:nsid w:val="3A95F874"/>
    <w:multiLevelType w:val="hybridMultilevel"/>
    <w:lvl w:ilvl="0">
      <w:lvlJc w:val="left"/>
      <w:lvlText w:val="(%1)"/>
      <w:numFmt w:val="lowerLetter"/>
      <w:start w:val="2"/>
    </w:lvl>
    <w:lvl w:ilvl="1">
      <w:lvlJc w:val="left"/>
      <w:lvlText w:val="%2"/>
      <w:numFmt w:val="lowerLetter"/>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7"/>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7"/>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0" Type="http://schemas.openxmlformats.org/officeDocument/2006/relationships/hyperlink" Target="http://www.sec.gov/Archives/edgar/data/1637757/000110465918039603/a18-15263_1ex4d1.htm" TargetMode="External"/><Relationship Id="rId41" Type="http://schemas.openxmlformats.org/officeDocument/2006/relationships/hyperlink" Target="http://www.sec.gov/Archives/edgar/data/1637757/000110465918039603/a18-15263_1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2019-12-28T20:35:04Z</dcterms:created>
  <dcterms:modified xsi:type="dcterms:W3CDTF">2019-12-28T20:35:04Z</dcterms:modified>
</cp:coreProperties>
</file>