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45"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8"/>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Times New Roman" w:cs="Times New Roman" w:eastAsia="Times New Roman" w:hAnsi="Times New Roman"/>
                <w:sz w:val="22"/>
                <w:szCs w:val="22"/>
                <w:color w:val="0000EE"/>
              </w:rPr>
            </w:pPr>
            <w:hyperlink r:id="rId12">
              <w:r>
                <w:rPr>
                  <w:rFonts w:ascii="Times New Roman" w:cs="Times New Roman" w:eastAsia="Times New Roman" w:hAnsi="Times New Roman"/>
                  <w:sz w:val="22"/>
                  <w:szCs w:val="22"/>
                  <w:color w:val="0000EE"/>
                </w:rPr>
                <w:t>MCCLEAN FERRELL P</w:t>
              </w:r>
            </w:hyperlink>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8"/>
          </w:tcPr>
          <w:p>
            <w:pPr>
              <w:spacing w:after="0" w:line="108"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Clearway Energy,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CWEN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5"/>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60" w:type="dxa"/>
            <w:vAlign w:val="bottom"/>
            <w:tcBorders>
              <w:top w:val="single" w:sz="8" w:color="0000EE"/>
            </w:tcBorders>
          </w:tcPr>
          <w:p>
            <w:pPr>
              <w:spacing w:after="0"/>
              <w:rPr>
                <w:sz w:val="8"/>
                <w:szCs w:val="8"/>
                <w:color w:val="auto"/>
              </w:rPr>
            </w:pPr>
          </w:p>
        </w:tc>
        <w:tc>
          <w:tcPr>
            <w:tcW w:w="740" w:type="dxa"/>
            <w:vAlign w:val="bottom"/>
            <w:tcBorders>
              <w:top w:val="single" w:sz="8" w:color="0000EE"/>
            </w:tcBorders>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74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980" w:type="dxa"/>
            <w:vAlign w:val="bottom"/>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7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5"/>
                <w:szCs w:val="15"/>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560" w:type="dxa"/>
            <w:vAlign w:val="bottom"/>
          </w:tcPr>
          <w:p>
            <w:pPr>
              <w:spacing w:after="0"/>
              <w:rPr>
                <w:sz w:val="20"/>
                <w:szCs w:val="20"/>
                <w:color w:val="auto"/>
              </w:rPr>
            </w:pPr>
            <w:r>
              <w:rPr>
                <w:rFonts w:ascii="Arial" w:cs="Arial" w:eastAsia="Arial" w:hAnsi="Arial"/>
                <w:sz w:val="14"/>
                <w:szCs w:val="14"/>
                <w:color w:val="auto"/>
              </w:rPr>
              <w:t>(Middle)</w:t>
            </w: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80" w:type="dxa"/>
            <w:vAlign w:val="bottom"/>
            <w:gridSpan w:val="8"/>
            <w:vMerge w:val="continue"/>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0000FF"/>
              </w:rPr>
              <w:t>CLEARWAY ENERGY, INC.</w:t>
            </w: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0000FF"/>
              </w:rPr>
              <w:t>12/02/2019</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0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0000FF"/>
              </w:rPr>
              <w:t>300 CARNEGIE CENTER, SUITE 300</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00" w:type="dxa"/>
            <w:vAlign w:val="bottom"/>
            <w:gridSpan w:val="6"/>
            <w:vMerge w:val="continue"/>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8"/>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740" w:type="dxa"/>
            <w:vAlign w:val="bottom"/>
            <w:gridSpan w:val="9"/>
            <w:vMerge w:val="continue"/>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36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gridSpan w:val="3"/>
            <w:vMerge w:val="restart"/>
          </w:tcPr>
          <w:p>
            <w:pPr>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9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gridSpan w:val="3"/>
            <w:vMerge w:val="continue"/>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20" w:type="dxa"/>
            <w:vAlign w:val="bottom"/>
            <w:gridSpan w:val="6"/>
          </w:tcPr>
          <w:p>
            <w:pPr>
              <w:ind w:left="60"/>
              <w:spacing w:after="0" w:line="201" w:lineRule="exact"/>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PRINCETON</w:t>
            </w: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0000FF"/>
                <w:w w:val="99"/>
              </w:rPr>
              <w:t>NJ</w:t>
            </w: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0000FF"/>
              </w:rPr>
              <w:t>08540</w:t>
            </w: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ind w:left="180"/>
              <w:spacing w:after="0" w:line="152"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560" w:type="dxa"/>
            <w:vAlign w:val="bottom"/>
          </w:tcPr>
          <w:p>
            <w:pPr>
              <w:spacing w:after="0"/>
              <w:rPr>
                <w:sz w:val="20"/>
                <w:szCs w:val="20"/>
                <w:color w:val="auto"/>
              </w:rPr>
            </w:pPr>
            <w:r>
              <w:rPr>
                <w:rFonts w:ascii="Arial" w:cs="Arial" w:eastAsia="Arial" w:hAnsi="Arial"/>
                <w:sz w:val="14"/>
                <w:szCs w:val="14"/>
                <w:color w:val="auto"/>
              </w:rPr>
              <w:t>(Zip)</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3"/>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98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spacing w:after="0"/>
              <w:rPr>
                <w:sz w:val="23"/>
                <w:szCs w:val="23"/>
                <w:color w:val="auto"/>
              </w:rPr>
            </w:pPr>
          </w:p>
        </w:tc>
        <w:tc>
          <w:tcPr>
            <w:tcW w:w="260" w:type="dxa"/>
            <w:vAlign w:val="bottom"/>
            <w:tcBorders>
              <w:top w:val="single" w:sz="8" w:color="2C2C2C"/>
            </w:tcBorders>
          </w:tcPr>
          <w:p>
            <w:pPr>
              <w:spacing w:after="0"/>
              <w:rPr>
                <w:sz w:val="23"/>
                <w:szCs w:val="23"/>
                <w:color w:val="auto"/>
              </w:rPr>
            </w:pPr>
          </w:p>
        </w:tc>
        <w:tc>
          <w:tcPr>
            <w:tcW w:w="740" w:type="dxa"/>
            <w:vAlign w:val="bottom"/>
            <w:tcBorders>
              <w:top w:val="single" w:sz="8" w:color="2C2C2C"/>
            </w:tcBorders>
          </w:tcPr>
          <w:p>
            <w:pPr>
              <w:spacing w:after="0"/>
              <w:rPr>
                <w:sz w:val="23"/>
                <w:szCs w:val="23"/>
                <w:color w:val="auto"/>
              </w:rPr>
            </w:pPr>
          </w:p>
        </w:tc>
        <w:tc>
          <w:tcPr>
            <w:tcW w:w="7340" w:type="dxa"/>
            <w:vAlign w:val="bottom"/>
            <w:tcBorders>
              <w:top w:val="single" w:sz="8" w:color="2C2C2C"/>
            </w:tcBorders>
            <w:gridSpan w:val="22"/>
          </w:tcPr>
          <w:p>
            <w:pPr>
              <w:jc w:val="center"/>
              <w:ind w:right="57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3"/>
                <w:szCs w:val="23"/>
                <w:color w:val="auto"/>
              </w:rPr>
            </w:pPr>
          </w:p>
        </w:tc>
        <w:tc>
          <w:tcPr>
            <w:tcW w:w="74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40" w:type="dxa"/>
            <w:vAlign w:val="bottom"/>
            <w:tcBorders>
              <w:bottom w:val="single" w:sz="8" w:color="2C2C2C"/>
            </w:tcBorders>
            <w:gridSpan w:val="4"/>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5"/>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60" w:type="dxa"/>
            <w:vAlign w:val="bottom"/>
          </w:tcPr>
          <w:p>
            <w:pPr>
              <w:spacing w:after="0"/>
              <w:rPr>
                <w:sz w:val="15"/>
                <w:szCs w:val="15"/>
                <w:color w:val="auto"/>
              </w:rPr>
            </w:pPr>
          </w:p>
        </w:tc>
        <w:tc>
          <w:tcPr>
            <w:tcW w:w="1300" w:type="dxa"/>
            <w:vAlign w:val="bottom"/>
            <w:gridSpan w:val="5"/>
          </w:tcPr>
          <w:p>
            <w:pPr>
              <w:ind w:left="2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4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24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7"/>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5"/>
          </w:tcPr>
          <w:p>
            <w:pPr>
              <w:ind w:left="2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vMerge w:val="continue"/>
          </w:tcPr>
          <w:p>
            <w:pPr>
              <w:spacing w:after="0"/>
              <w:rPr>
                <w:sz w:val="11"/>
                <w:szCs w:val="11"/>
                <w:color w:val="auto"/>
              </w:rPr>
            </w:pPr>
          </w:p>
        </w:tc>
        <w:tc>
          <w:tcPr>
            <w:tcW w:w="3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4"/>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40" w:type="dxa"/>
            <w:vAlign w:val="bottom"/>
            <w:tcBorders>
              <w:bottom w:val="single" w:sz="8" w:color="2C2C2C"/>
            </w:tcBorders>
            <w:gridSpan w:val="4"/>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0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0000FF"/>
                <w:w w:val="99"/>
              </w:rPr>
              <w:t>Class A Common Stock, par value $.01 per</w:t>
            </w:r>
          </w:p>
        </w:tc>
        <w:tc>
          <w:tcPr>
            <w:tcW w:w="1300" w:type="dxa"/>
            <w:vAlign w:val="bottom"/>
            <w:gridSpan w:val="5"/>
            <w:vMerge w:val="restart"/>
          </w:tcPr>
          <w:p>
            <w:pPr>
              <w:jc w:val="right"/>
              <w:ind w:right="95"/>
              <w:spacing w:after="0"/>
              <w:rPr>
                <w:sz w:val="20"/>
                <w:szCs w:val="20"/>
                <w:color w:val="auto"/>
              </w:rPr>
            </w:pPr>
            <w:r>
              <w:rPr>
                <w:rFonts w:ascii="Times New Roman" w:cs="Times New Roman" w:eastAsia="Times New Roman" w:hAnsi="Times New Roman"/>
                <w:sz w:val="18"/>
                <w:szCs w:val="18"/>
                <w:color w:val="0000FF"/>
              </w:rPr>
              <w:t>12/02/2019</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0000FF"/>
              </w:rPr>
              <w:t>A</w:t>
            </w:r>
          </w:p>
        </w:tc>
        <w:tc>
          <w:tcPr>
            <w:tcW w:w="180" w:type="dxa"/>
            <w:vAlign w:val="bottom"/>
          </w:tcPr>
          <w:p>
            <w:pPr>
              <w:spacing w:after="0"/>
              <w:rPr>
                <w:sz w:val="22"/>
                <w:szCs w:val="22"/>
                <w:color w:val="auto"/>
              </w:rPr>
            </w:pPr>
          </w:p>
        </w:tc>
        <w:tc>
          <w:tcPr>
            <w:tcW w:w="56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0000FF"/>
              </w:rPr>
              <w:t>134</w:t>
            </w:r>
          </w:p>
        </w:tc>
        <w:tc>
          <w:tcPr>
            <w:tcW w:w="76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0000FF"/>
              </w:rPr>
              <w:t>A</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008000"/>
                <w:w w:val="93"/>
              </w:rPr>
              <w:t>(1)</w:t>
            </w:r>
          </w:p>
        </w:tc>
        <w:tc>
          <w:tcPr>
            <w:tcW w:w="240" w:type="dxa"/>
            <w:vAlign w:val="bottom"/>
          </w:tcPr>
          <w:p>
            <w:pPr>
              <w:spacing w:after="0"/>
              <w:rPr>
                <w:sz w:val="22"/>
                <w:szCs w:val="22"/>
                <w:color w:val="auto"/>
              </w:rPr>
            </w:pPr>
          </w:p>
        </w:tc>
        <w:tc>
          <w:tcPr>
            <w:tcW w:w="12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color w:val="0000FF"/>
              </w:rPr>
              <w:t>15,553</w:t>
            </w:r>
            <w:r>
              <w:rPr>
                <w:rFonts w:ascii="Times New Roman" w:cs="Times New Roman" w:eastAsia="Times New Roman" w:hAnsi="Times New Roman"/>
                <w:sz w:val="22"/>
                <w:szCs w:val="22"/>
                <w:color w:val="008000"/>
                <w:vertAlign w:val="superscript"/>
              </w:rPr>
              <w:t>(2)</w:t>
            </w:r>
          </w:p>
        </w:tc>
        <w:tc>
          <w:tcPr>
            <w:tcW w:w="9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share</w:t>
            </w: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00" w:type="dxa"/>
            <w:vAlign w:val="bottom"/>
            <w:gridSpan w:val="5"/>
            <w:vMerge w:val="continue"/>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40" w:type="dxa"/>
            <w:vAlign w:val="bottom"/>
            <w:tcBorders>
              <w:bottom w:val="single" w:sz="8" w:color="2C2C2C"/>
            </w:tcBorders>
            <w:gridSpan w:val="4"/>
          </w:tcPr>
          <w:p>
            <w:pPr>
              <w:spacing w:after="0"/>
              <w:rPr>
                <w:sz w:val="5"/>
                <w:szCs w:val="5"/>
                <w:color w:val="auto"/>
              </w:rPr>
            </w:pPr>
          </w:p>
        </w:tc>
        <w:tc>
          <w:tcPr>
            <w:tcW w:w="860" w:type="dxa"/>
            <w:vAlign w:val="bottom"/>
            <w:tcBorders>
              <w:bottom w:val="single" w:sz="8" w:color="2C2C2C"/>
            </w:tcBorders>
            <w:gridSpan w:val="2"/>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0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0000FF"/>
              </w:rPr>
              <w:t>Class C Common Stock, par value $.01 per</w:t>
            </w:r>
          </w:p>
        </w:tc>
        <w:tc>
          <w:tcPr>
            <w:tcW w:w="1300" w:type="dxa"/>
            <w:vAlign w:val="bottom"/>
            <w:gridSpan w:val="5"/>
            <w:vMerge w:val="restart"/>
          </w:tcPr>
          <w:p>
            <w:pPr>
              <w:jc w:val="right"/>
              <w:ind w:right="95"/>
              <w:spacing w:after="0"/>
              <w:rPr>
                <w:sz w:val="20"/>
                <w:szCs w:val="20"/>
                <w:color w:val="auto"/>
              </w:rPr>
            </w:pPr>
            <w:r>
              <w:rPr>
                <w:rFonts w:ascii="Times New Roman" w:cs="Times New Roman" w:eastAsia="Times New Roman" w:hAnsi="Times New Roman"/>
                <w:sz w:val="18"/>
                <w:szCs w:val="18"/>
                <w:color w:val="0000FF"/>
              </w:rPr>
              <w:t>12/02/2019</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0000FF"/>
              </w:rPr>
              <w:t>A</w:t>
            </w:r>
          </w:p>
        </w:tc>
        <w:tc>
          <w:tcPr>
            <w:tcW w:w="180" w:type="dxa"/>
            <w:vAlign w:val="bottom"/>
          </w:tcPr>
          <w:p>
            <w:pPr>
              <w:spacing w:after="0"/>
              <w:rPr>
                <w:sz w:val="22"/>
                <w:szCs w:val="22"/>
                <w:color w:val="auto"/>
              </w:rPr>
            </w:pPr>
          </w:p>
        </w:tc>
        <w:tc>
          <w:tcPr>
            <w:tcW w:w="56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0000FF"/>
              </w:rPr>
              <w:t>456</w:t>
            </w:r>
          </w:p>
        </w:tc>
        <w:tc>
          <w:tcPr>
            <w:tcW w:w="76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0000FF"/>
              </w:rPr>
              <w:t>A</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008000"/>
                <w:w w:val="93"/>
              </w:rPr>
              <w:t>(1)</w:t>
            </w:r>
          </w:p>
        </w:tc>
        <w:tc>
          <w:tcPr>
            <w:tcW w:w="240" w:type="dxa"/>
            <w:vAlign w:val="bottom"/>
          </w:tcPr>
          <w:p>
            <w:pPr>
              <w:spacing w:after="0"/>
              <w:rPr>
                <w:sz w:val="22"/>
                <w:szCs w:val="22"/>
                <w:color w:val="auto"/>
              </w:rPr>
            </w:pPr>
          </w:p>
        </w:tc>
        <w:tc>
          <w:tcPr>
            <w:tcW w:w="12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color w:val="0000FF"/>
              </w:rPr>
              <w:t>73,469</w:t>
            </w:r>
            <w:r>
              <w:rPr>
                <w:rFonts w:ascii="Times New Roman" w:cs="Times New Roman" w:eastAsia="Times New Roman" w:hAnsi="Times New Roman"/>
                <w:sz w:val="22"/>
                <w:szCs w:val="22"/>
                <w:color w:val="008000"/>
                <w:vertAlign w:val="superscript"/>
              </w:rPr>
              <w:t>(3)</w:t>
            </w:r>
          </w:p>
        </w:tc>
        <w:tc>
          <w:tcPr>
            <w:tcW w:w="9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share</w:t>
            </w: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00" w:type="dxa"/>
            <w:vAlign w:val="bottom"/>
            <w:gridSpan w:val="5"/>
            <w:vMerge w:val="continue"/>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gridSpan w:val="3"/>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580" w:type="dxa"/>
            <w:vAlign w:val="bottom"/>
            <w:tcBorders>
              <w:bottom w:val="single" w:sz="8" w:color="2C2C2C"/>
            </w:tcBorders>
            <w:gridSpan w:val="4"/>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160" w:type="dxa"/>
            <w:vAlign w:val="bottom"/>
            <w:tcBorders>
              <w:bottom w:val="single" w:sz="8" w:color="2C2C2C"/>
            </w:tcBorders>
            <w:gridSpan w:val="7"/>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6560" w:type="dxa"/>
            <w:vAlign w:val="bottom"/>
            <w:tcBorders>
              <w:top w:val="single" w:sz="8" w:color="2C2C2C"/>
            </w:tcBorders>
            <w:gridSpan w:val="21"/>
          </w:tcPr>
          <w:p>
            <w:pPr>
              <w:jc w:val="center"/>
              <w:ind w:left="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980" w:type="dxa"/>
            <w:vAlign w:val="bottom"/>
            <w:gridSpan w:val="17"/>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3"/>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4"/>
                <w:szCs w:val="14"/>
                <w:color w:val="auto"/>
              </w:rPr>
            </w:pP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3"/>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9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7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10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00" w:firstLine="9"/>
        <w:spacing w:after="0" w:line="241"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Represents dividend equivalent rights accrued on the Reporting Person's Deferred Stock Units, which become exercisable proportionately with the Deferred Stock Units to which they relate and may only be settled in Class A or Class C Common Stock of Clearway Energy, Inc. as determined by the Deferred Stock Units to which they relate.</w:t>
      </w:r>
    </w:p>
    <w:p>
      <w:pPr>
        <w:spacing w:after="0" w:line="27" w:lineRule="exact"/>
        <w:rPr>
          <w:rFonts w:ascii="Times New Roman" w:cs="Times New Roman" w:eastAsia="Times New Roman" w:hAnsi="Times New Roman"/>
          <w:sz w:val="14"/>
          <w:szCs w:val="14"/>
          <w:color w:val="008000"/>
        </w:rPr>
      </w:pPr>
    </w:p>
    <w:p>
      <w:pPr>
        <w:ind w:left="40" w:right="220" w:firstLine="9"/>
        <w:spacing w:after="0" w:line="241"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Includes 3,460 dividend equivalent rights that may only be settled in Class A Common Stock. There has been a de minimus adjustment of 2 shares to the number of dividend equivalent rights as a result of rounding fractional shares.</w:t>
      </w:r>
    </w:p>
    <w:p>
      <w:pPr>
        <w:spacing w:after="0" w:line="27" w:lineRule="exact"/>
        <w:rPr>
          <w:rFonts w:ascii="Times New Roman" w:cs="Times New Roman" w:eastAsia="Times New Roman" w:hAnsi="Times New Roman"/>
          <w:sz w:val="14"/>
          <w:szCs w:val="14"/>
          <w:color w:val="008000"/>
        </w:rPr>
      </w:pPr>
    </w:p>
    <w:p>
      <w:pPr>
        <w:ind w:left="40" w:right="220" w:firstLine="9"/>
        <w:spacing w:after="0" w:line="241"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Includes 5,849 dividend equivalent rights that may only be settled in Class C Common Stock. There has been a de minimus adjustment of 3 shares to the number of dividend equivalent rights as a result of rounding fractional shares.</w:t>
      </w:r>
    </w:p>
    <w:p>
      <w:pPr>
        <w:spacing w:after="0" w:line="36"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w w:val="97"/>
              </w:rPr>
              <w:t>/s/ Michael A. Brown, by</w:t>
            </w:r>
          </w:p>
        </w:tc>
        <w:tc>
          <w:tcPr>
            <w:tcW w:w="320" w:type="dxa"/>
            <w:vAlign w:val="bottom"/>
          </w:tcPr>
          <w:p>
            <w:pPr>
              <w:spacing w:after="0"/>
              <w:rPr>
                <w:sz w:val="17"/>
                <w:szCs w:val="17"/>
                <w:color w:val="auto"/>
              </w:rPr>
            </w:pPr>
          </w:p>
        </w:tc>
        <w:tc>
          <w:tcPr>
            <w:tcW w:w="9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0000FF"/>
                <w:w w:val="95"/>
              </w:rPr>
              <w:t>12/04/2019</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6"/>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8551"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2019-12-04T16:11:49Z</dcterms:created>
  <dcterms:modified xsi:type="dcterms:W3CDTF">2019-12-04T16:11:49Z</dcterms:modified>
</cp:coreProperties>
</file>