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49"/>
        <w:spacing w:after="0"/>
        <w:rPr>
          <w:sz w:val="20"/>
          <w:szCs w:val="20"/>
          <w:color w:val="auto"/>
        </w:rPr>
      </w:pPr>
      <w:r>
        <w:rPr>
          <w:rFonts w:ascii="Arial" w:cs="Arial" w:eastAsia="Arial" w:hAnsi="Arial"/>
          <w:sz w:val="23"/>
          <w:szCs w:val="23"/>
          <w:b w:val="1"/>
          <w:bCs w:val="1"/>
          <w:color w:val="auto"/>
        </w:rPr>
        <w:t>UNITED STATES</w:t>
      </w:r>
    </w:p>
    <w:p>
      <w:pPr>
        <w:spacing w:after="0" w:line="33" w:lineRule="exact"/>
        <w:rPr>
          <w:sz w:val="24"/>
          <w:szCs w:val="24"/>
          <w:color w:val="auto"/>
        </w:rPr>
      </w:pPr>
    </w:p>
    <w:p>
      <w:pPr>
        <w:jc w:val="center"/>
        <w:ind w:right="-449"/>
        <w:spacing w:after="0"/>
        <w:rPr>
          <w:sz w:val="20"/>
          <w:szCs w:val="20"/>
          <w:color w:val="auto"/>
        </w:rPr>
      </w:pPr>
      <w:r>
        <w:rPr>
          <w:rFonts w:ascii="Arial" w:cs="Arial" w:eastAsia="Arial" w:hAnsi="Arial"/>
          <w:sz w:val="23"/>
          <w:szCs w:val="23"/>
          <w:b w:val="1"/>
          <w:bCs w:val="1"/>
          <w:color w:val="auto"/>
        </w:rPr>
        <w:t>SECURITIES AND EXCHANGE COMMISSION</w:t>
      </w:r>
    </w:p>
    <w:p>
      <w:pPr>
        <w:spacing w:after="0" w:line="4" w:lineRule="exact"/>
        <w:rPr>
          <w:sz w:val="24"/>
          <w:szCs w:val="24"/>
          <w:color w:val="auto"/>
        </w:rPr>
      </w:pPr>
    </w:p>
    <w:p>
      <w:pPr>
        <w:jc w:val="center"/>
        <w:ind w:right="-449"/>
        <w:spacing w:after="0"/>
        <w:rPr>
          <w:sz w:val="20"/>
          <w:szCs w:val="20"/>
          <w:color w:val="auto"/>
        </w:rPr>
      </w:pPr>
      <w:r>
        <w:rPr>
          <w:rFonts w:ascii="Arial" w:cs="Arial" w:eastAsia="Arial" w:hAnsi="Arial"/>
          <w:sz w:val="16"/>
          <w:szCs w:val="16"/>
          <w:b w:val="1"/>
          <w:bCs w:val="1"/>
          <w:color w:val="auto"/>
        </w:rPr>
        <w:t>Washington, D.C. 20549</w:t>
      </w:r>
    </w:p>
    <w:p>
      <w:pPr>
        <w:spacing w:after="0" w:line="188" w:lineRule="exact"/>
        <w:rPr>
          <w:sz w:val="24"/>
          <w:szCs w:val="24"/>
          <w:color w:val="auto"/>
        </w:rPr>
      </w:pPr>
    </w:p>
    <w:p>
      <w:pPr>
        <w:jc w:val="center"/>
        <w:ind w:right="-449"/>
        <w:spacing w:after="0"/>
        <w:rPr>
          <w:sz w:val="20"/>
          <w:szCs w:val="20"/>
          <w:color w:val="auto"/>
        </w:rPr>
      </w:pPr>
      <w:r>
        <w:rPr>
          <w:rFonts w:ascii="Arial" w:cs="Arial" w:eastAsia="Arial" w:hAnsi="Arial"/>
          <w:sz w:val="23"/>
          <w:szCs w:val="23"/>
          <w:b w:val="1"/>
          <w:bCs w:val="1"/>
          <w:color w:val="auto"/>
        </w:rPr>
        <w:t>SCHEDULE 14A</w:t>
      </w:r>
    </w:p>
    <w:p>
      <w:pPr>
        <w:spacing w:after="0" w:line="209" w:lineRule="exact"/>
        <w:rPr>
          <w:sz w:val="24"/>
          <w:szCs w:val="24"/>
          <w:color w:val="auto"/>
        </w:rPr>
      </w:pPr>
    </w:p>
    <w:p>
      <w:pPr>
        <w:jc w:val="center"/>
        <w:ind w:right="-449"/>
        <w:spacing w:after="0"/>
        <w:rPr>
          <w:sz w:val="20"/>
          <w:szCs w:val="20"/>
          <w:color w:val="auto"/>
        </w:rPr>
      </w:pPr>
      <w:r>
        <w:rPr>
          <w:rFonts w:ascii="Arial" w:cs="Arial" w:eastAsia="Arial" w:hAnsi="Arial"/>
          <w:sz w:val="16"/>
          <w:szCs w:val="16"/>
          <w:b w:val="1"/>
          <w:bCs w:val="1"/>
          <w:color w:val="auto"/>
        </w:rPr>
        <w:t>Proxy Statement Pursuant to Section 14(a) of</w:t>
      </w:r>
    </w:p>
    <w:p>
      <w:pPr>
        <w:spacing w:after="0" w:line="28" w:lineRule="exact"/>
        <w:rPr>
          <w:sz w:val="24"/>
          <w:szCs w:val="24"/>
          <w:color w:val="auto"/>
        </w:rPr>
      </w:pPr>
    </w:p>
    <w:p>
      <w:pPr>
        <w:jc w:val="center"/>
        <w:ind w:right="-449"/>
        <w:spacing w:after="0"/>
        <w:tabs>
          <w:tab w:leader="none" w:pos="180" w:val="left"/>
        </w:tabs>
        <w:rPr>
          <w:sz w:val="20"/>
          <w:szCs w:val="20"/>
          <w:color w:val="auto"/>
        </w:rPr>
      </w:pPr>
      <w:r>
        <w:rPr>
          <w:rFonts w:ascii="Arial" w:cs="Arial" w:eastAsia="Arial" w:hAnsi="Arial"/>
          <w:sz w:val="15"/>
          <w:szCs w:val="15"/>
          <w:b w:val="1"/>
          <w:bCs w:val="1"/>
          <w:color w:val="auto"/>
        </w:rPr>
        <w:t>the Securities Exchange Act of 1934 (Amendment No.</w:t>
      </w:r>
      <w:r>
        <w:rPr>
          <w:sz w:val="20"/>
          <w:szCs w:val="20"/>
          <w:color w:val="auto"/>
        </w:rPr>
        <w:tab/>
      </w:r>
      <w:r>
        <w:rPr>
          <w:rFonts w:ascii="Arial" w:cs="Arial" w:eastAsia="Arial" w:hAnsi="Arial"/>
          <w:sz w:val="16"/>
          <w:szCs w:val="16"/>
          <w:b w:val="1"/>
          <w:bCs w:val="1"/>
          <w:color w:val="auto"/>
        </w:rPr>
        <w:t>)</w:t>
      </w:r>
    </w:p>
    <w:p>
      <w:pPr>
        <w:spacing w:after="0" w:line="199" w:lineRule="exact"/>
        <w:rPr>
          <w:sz w:val="24"/>
          <w:szCs w:val="24"/>
          <w:color w:val="auto"/>
        </w:rPr>
      </w:pPr>
    </w:p>
    <w:p>
      <w:pPr>
        <w:ind w:left="10"/>
        <w:spacing w:after="0"/>
        <w:rPr>
          <w:sz w:val="20"/>
          <w:szCs w:val="20"/>
          <w:color w:val="auto"/>
        </w:rPr>
      </w:pPr>
      <w:r>
        <w:rPr>
          <w:rFonts w:ascii="Arial" w:cs="Arial" w:eastAsia="Arial" w:hAnsi="Arial"/>
          <w:sz w:val="16"/>
          <w:szCs w:val="16"/>
          <w:color w:val="auto"/>
        </w:rPr>
        <w:t>Filed by the Registrant x</w:t>
      </w:r>
    </w:p>
    <w:p>
      <w:pPr>
        <w:spacing w:after="0" w:line="211" w:lineRule="exact"/>
        <w:rPr>
          <w:sz w:val="24"/>
          <w:szCs w:val="24"/>
          <w:color w:val="auto"/>
        </w:rPr>
      </w:pPr>
    </w:p>
    <w:p>
      <w:pPr>
        <w:ind w:left="10"/>
        <w:spacing w:after="0"/>
        <w:rPr>
          <w:sz w:val="20"/>
          <w:szCs w:val="20"/>
          <w:color w:val="auto"/>
        </w:rPr>
      </w:pPr>
      <w:r>
        <w:rPr>
          <w:rFonts w:ascii="Arial" w:cs="Arial" w:eastAsia="Arial" w:hAnsi="Arial"/>
          <w:sz w:val="16"/>
          <w:szCs w:val="16"/>
          <w:color w:val="auto"/>
        </w:rPr>
        <w:t>Filed by a Party other than the Registrant o</w:t>
      </w:r>
    </w:p>
    <w:p>
      <w:pPr>
        <w:spacing w:after="0" w:line="211" w:lineRule="exact"/>
        <w:rPr>
          <w:sz w:val="24"/>
          <w:szCs w:val="24"/>
          <w:color w:val="auto"/>
        </w:rPr>
      </w:pPr>
    </w:p>
    <w:p>
      <w:pPr>
        <w:ind w:left="10"/>
        <w:spacing w:after="0"/>
        <w:rPr>
          <w:sz w:val="20"/>
          <w:szCs w:val="20"/>
          <w:color w:val="auto"/>
        </w:rPr>
      </w:pPr>
      <w:r>
        <w:rPr>
          <w:rFonts w:ascii="Arial" w:cs="Arial" w:eastAsia="Arial" w:hAnsi="Arial"/>
          <w:sz w:val="16"/>
          <w:szCs w:val="16"/>
          <w:color w:val="auto"/>
        </w:rPr>
        <w:t>Check the appropriate box:</w:t>
      </w:r>
    </w:p>
    <w:p>
      <w:pPr>
        <w:spacing w:after="0" w:line="24" w:lineRule="exact"/>
        <w:rPr>
          <w:sz w:val="24"/>
          <w:szCs w:val="24"/>
          <w:color w:val="auto"/>
        </w:rPr>
      </w:pPr>
    </w:p>
    <w:p>
      <w:pPr>
        <w:ind w:left="570" w:hanging="570"/>
        <w:spacing w:after="0"/>
        <w:tabs>
          <w:tab w:leader="none" w:pos="57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Preliminary Proxy Statement</w:t>
      </w:r>
    </w:p>
    <w:p>
      <w:pPr>
        <w:spacing w:after="0" w:line="13" w:lineRule="exact"/>
        <w:rPr>
          <w:rFonts w:ascii="Arial" w:cs="Arial" w:eastAsia="Arial" w:hAnsi="Arial"/>
          <w:sz w:val="16"/>
          <w:szCs w:val="16"/>
          <w:color w:val="auto"/>
        </w:rPr>
      </w:pPr>
    </w:p>
    <w:p>
      <w:pPr>
        <w:ind w:left="570" w:hanging="570"/>
        <w:spacing w:after="0"/>
        <w:tabs>
          <w:tab w:leader="none" w:pos="570"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Confidential, for Use of the Commission Only (as permitted by Rule 14a-6(e)(2))</w:t>
      </w:r>
    </w:p>
    <w:p>
      <w:pPr>
        <w:spacing w:after="0" w:line="13" w:lineRule="exact"/>
        <w:rPr>
          <w:rFonts w:ascii="Arial" w:cs="Arial" w:eastAsia="Arial" w:hAnsi="Arial"/>
          <w:sz w:val="16"/>
          <w:szCs w:val="16"/>
          <w:color w:val="auto"/>
        </w:rPr>
      </w:pPr>
    </w:p>
    <w:p>
      <w:pPr>
        <w:ind w:left="570" w:hanging="570"/>
        <w:spacing w:after="0"/>
        <w:tabs>
          <w:tab w:leader="none" w:pos="570" w:val="left"/>
        </w:tabs>
        <w:numPr>
          <w:ilvl w:val="0"/>
          <w:numId w:val="1"/>
        </w:numPr>
        <w:rPr>
          <w:rFonts w:ascii="Arial" w:cs="Arial" w:eastAsia="Arial" w:hAnsi="Arial"/>
          <w:sz w:val="16"/>
          <w:szCs w:val="16"/>
          <w:color w:val="auto"/>
        </w:rPr>
      </w:pPr>
      <w:r>
        <w:rPr>
          <w:rFonts w:ascii="Arial" w:cs="Arial" w:eastAsia="Arial" w:hAnsi="Arial"/>
          <w:sz w:val="16"/>
          <w:szCs w:val="16"/>
          <w:color w:val="auto"/>
        </w:rPr>
        <w:t>Definitive Proxy Statement</w:t>
      </w:r>
    </w:p>
    <w:p>
      <w:pPr>
        <w:spacing w:after="0" w:line="13" w:lineRule="exact"/>
        <w:rPr>
          <w:sz w:val="24"/>
          <w:szCs w:val="24"/>
          <w:color w:val="auto"/>
        </w:rPr>
      </w:pPr>
    </w:p>
    <w:p>
      <w:pPr>
        <w:ind w:left="570" w:hanging="570"/>
        <w:spacing w:after="0"/>
        <w:tabs>
          <w:tab w:leader="none" w:pos="570" w:val="left"/>
        </w:tabs>
        <w:numPr>
          <w:ilvl w:val="0"/>
          <w:numId w:val="2"/>
        </w:numPr>
        <w:rPr>
          <w:rFonts w:ascii="Arial" w:cs="Arial" w:eastAsia="Arial" w:hAnsi="Arial"/>
          <w:sz w:val="16"/>
          <w:szCs w:val="16"/>
          <w:color w:val="auto"/>
        </w:rPr>
      </w:pPr>
      <w:r>
        <w:rPr>
          <w:rFonts w:ascii="Arial" w:cs="Arial" w:eastAsia="Arial" w:hAnsi="Arial"/>
          <w:sz w:val="16"/>
          <w:szCs w:val="16"/>
          <w:color w:val="auto"/>
        </w:rPr>
        <w:t>Definitive Additional Materials</w:t>
      </w:r>
    </w:p>
    <w:p>
      <w:pPr>
        <w:spacing w:after="0" w:line="13" w:lineRule="exact"/>
        <w:rPr>
          <w:sz w:val="24"/>
          <w:szCs w:val="24"/>
          <w:color w:val="auto"/>
        </w:rPr>
      </w:pPr>
    </w:p>
    <w:p>
      <w:pPr>
        <w:ind w:left="570" w:hanging="570"/>
        <w:spacing w:after="0"/>
        <w:tabs>
          <w:tab w:leader="none" w:pos="570" w:val="left"/>
        </w:tabs>
        <w:numPr>
          <w:ilvl w:val="0"/>
          <w:numId w:val="3"/>
        </w:numPr>
        <w:rPr>
          <w:rFonts w:ascii="Arial" w:cs="Arial" w:eastAsia="Arial" w:hAnsi="Arial"/>
          <w:sz w:val="16"/>
          <w:szCs w:val="16"/>
          <w:color w:val="auto"/>
        </w:rPr>
      </w:pPr>
      <w:r>
        <w:rPr>
          <w:rFonts w:ascii="Arial" w:cs="Arial" w:eastAsia="Arial" w:hAnsi="Arial"/>
          <w:sz w:val="16"/>
          <w:szCs w:val="16"/>
          <w:color w:val="auto"/>
        </w:rPr>
        <w:t>Soliciting Material under §240.14a-12</w:t>
      </w:r>
    </w:p>
    <w:p>
      <w:pPr>
        <w:spacing w:after="0" w:line="191" w:lineRule="exact"/>
        <w:rPr>
          <w:sz w:val="24"/>
          <w:szCs w:val="24"/>
          <w:color w:val="auto"/>
        </w:rPr>
      </w:pPr>
    </w:p>
    <w:p>
      <w:pPr>
        <w:jc w:val="center"/>
        <w:ind w:right="-449"/>
        <w:spacing w:after="0"/>
        <w:rPr>
          <w:sz w:val="20"/>
          <w:szCs w:val="20"/>
          <w:color w:val="auto"/>
        </w:rPr>
      </w:pPr>
      <w:r>
        <w:rPr>
          <w:rFonts w:ascii="Arial" w:cs="Arial" w:eastAsia="Arial" w:hAnsi="Arial"/>
          <w:sz w:val="23"/>
          <w:szCs w:val="23"/>
          <w:b w:val="1"/>
          <w:bCs w:val="1"/>
          <w:color w:val="auto"/>
        </w:rPr>
        <w:t>Clearway Energy,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17780</wp:posOffset>
            </wp:positionV>
            <wp:extent cx="725868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pacing w:after="0" w:line="15" w:lineRule="exact"/>
        <w:rPr>
          <w:sz w:val="24"/>
          <w:szCs w:val="24"/>
          <w:color w:val="auto"/>
        </w:rPr>
      </w:pPr>
    </w:p>
    <w:p>
      <w:pPr>
        <w:ind w:left="4130"/>
        <w:spacing w:after="0"/>
        <w:rPr>
          <w:sz w:val="20"/>
          <w:szCs w:val="20"/>
          <w:color w:val="auto"/>
        </w:rPr>
      </w:pPr>
      <w:r>
        <w:rPr>
          <w:rFonts w:ascii="Arial" w:cs="Arial" w:eastAsia="Arial" w:hAnsi="Arial"/>
          <w:sz w:val="16"/>
          <w:szCs w:val="16"/>
          <w:color w:val="auto"/>
        </w:rPr>
        <w:t>(Name of Registrant as Specified In Its Charter)</w:t>
      </w:r>
    </w:p>
    <w:p>
      <w:pPr>
        <w:spacing w:after="0" w:line="200" w:lineRule="exact"/>
        <w:rPr>
          <w:sz w:val="24"/>
          <w:szCs w:val="24"/>
          <w:color w:val="auto"/>
        </w:rPr>
      </w:pPr>
    </w:p>
    <w:p>
      <w:pPr>
        <w:spacing w:after="0" w:line="214" w:lineRule="exact"/>
        <w:rPr>
          <w:sz w:val="24"/>
          <w:szCs w:val="24"/>
          <w:color w:val="auto"/>
        </w:rPr>
      </w:pPr>
    </w:p>
    <w:p>
      <w:pPr>
        <w:ind w:left="3330"/>
        <w:spacing w:after="0"/>
        <w:rPr>
          <w:sz w:val="20"/>
          <w:szCs w:val="20"/>
          <w:color w:val="auto"/>
        </w:rPr>
      </w:pPr>
      <w:r>
        <w:rPr>
          <w:rFonts w:ascii="Arial" w:cs="Arial" w:eastAsia="Arial" w:hAnsi="Arial"/>
          <w:sz w:val="16"/>
          <w:szCs w:val="16"/>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-116205</wp:posOffset>
            </wp:positionV>
            <wp:extent cx="725868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pacing w:after="0" w:line="191" w:lineRule="exact"/>
        <w:rPr>
          <w:sz w:val="24"/>
          <w:szCs w:val="24"/>
          <w:color w:val="auto"/>
        </w:rPr>
      </w:pPr>
    </w:p>
    <w:p>
      <w:pPr>
        <w:ind w:left="10"/>
        <w:spacing w:after="0"/>
        <w:rPr>
          <w:sz w:val="20"/>
          <w:szCs w:val="20"/>
          <w:color w:val="auto"/>
        </w:rPr>
      </w:pPr>
      <w:r>
        <w:rPr>
          <w:rFonts w:ascii="Arial" w:cs="Arial" w:eastAsia="Arial" w:hAnsi="Arial"/>
          <w:sz w:val="16"/>
          <w:szCs w:val="16"/>
          <w:color w:val="auto"/>
        </w:rPr>
        <w:t>Payment of Filing Fee (Check the appropriate box):</w:t>
      </w:r>
    </w:p>
    <w:p>
      <w:pPr>
        <w:spacing w:after="0" w:line="24" w:lineRule="exact"/>
        <w:rPr>
          <w:sz w:val="24"/>
          <w:szCs w:val="24"/>
          <w:color w:val="auto"/>
        </w:rPr>
      </w:pPr>
    </w:p>
    <w:p>
      <w:pPr>
        <w:ind w:left="570" w:hanging="570"/>
        <w:spacing w:after="0"/>
        <w:tabs>
          <w:tab w:leader="none" w:pos="570" w:val="left"/>
        </w:tabs>
        <w:numPr>
          <w:ilvl w:val="0"/>
          <w:numId w:val="4"/>
        </w:numPr>
        <w:rPr>
          <w:rFonts w:ascii="Arial" w:cs="Arial" w:eastAsia="Arial" w:hAnsi="Arial"/>
          <w:sz w:val="16"/>
          <w:szCs w:val="16"/>
          <w:color w:val="auto"/>
        </w:rPr>
      </w:pPr>
      <w:r>
        <w:rPr>
          <w:rFonts w:ascii="Arial" w:cs="Arial" w:eastAsia="Arial" w:hAnsi="Arial"/>
          <w:sz w:val="16"/>
          <w:szCs w:val="16"/>
          <w:color w:val="auto"/>
        </w:rPr>
        <w:t>No fee required.</w:t>
      </w:r>
    </w:p>
    <w:p>
      <w:pPr>
        <w:spacing w:after="0" w:line="13" w:lineRule="exact"/>
        <w:rPr>
          <w:sz w:val="24"/>
          <w:szCs w:val="24"/>
          <w:color w:val="auto"/>
        </w:rPr>
      </w:pPr>
    </w:p>
    <w:p>
      <w:pPr>
        <w:ind w:left="570" w:hanging="570"/>
        <w:spacing w:after="0"/>
        <w:tabs>
          <w:tab w:leader="none" w:pos="570" w:val="left"/>
        </w:tabs>
        <w:numPr>
          <w:ilvl w:val="0"/>
          <w:numId w:val="5"/>
        </w:numPr>
        <w:rPr>
          <w:rFonts w:ascii="Arial" w:cs="Arial" w:eastAsia="Arial" w:hAnsi="Arial"/>
          <w:sz w:val="16"/>
          <w:szCs w:val="16"/>
          <w:color w:val="auto"/>
        </w:rPr>
      </w:pPr>
      <w:r>
        <w:rPr>
          <w:rFonts w:ascii="Arial" w:cs="Arial" w:eastAsia="Arial" w:hAnsi="Arial"/>
          <w:sz w:val="16"/>
          <w:szCs w:val="16"/>
          <w:color w:val="auto"/>
        </w:rPr>
        <w:t>Fee computed on table below per Exchange Act Rules 14a-6(i)(1) and 0-11.</w:t>
      </w:r>
    </w:p>
    <w:p>
      <w:pPr>
        <w:spacing w:after="0" w:line="13" w:lineRule="exact"/>
        <w:rPr>
          <w:rFonts w:ascii="Arial" w:cs="Arial" w:eastAsia="Arial" w:hAnsi="Arial"/>
          <w:sz w:val="16"/>
          <w:szCs w:val="16"/>
          <w:color w:val="auto"/>
        </w:rPr>
      </w:pPr>
    </w:p>
    <w:p>
      <w:pPr>
        <w:ind w:left="1110" w:hanging="530"/>
        <w:spacing w:after="0"/>
        <w:tabs>
          <w:tab w:leader="none" w:pos="1110" w:val="left"/>
        </w:tabs>
        <w:numPr>
          <w:ilvl w:val="1"/>
          <w:numId w:val="5"/>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211" w:lineRule="exact"/>
        <w:rPr>
          <w:rFonts w:ascii="Arial" w:cs="Arial" w:eastAsia="Arial" w:hAnsi="Arial"/>
          <w:sz w:val="16"/>
          <w:szCs w:val="16"/>
          <w:color w:val="auto"/>
        </w:rPr>
      </w:pPr>
    </w:p>
    <w:p>
      <w:pPr>
        <w:ind w:left="1110" w:hanging="530"/>
        <w:spacing w:after="0"/>
        <w:tabs>
          <w:tab w:leader="none" w:pos="1110" w:val="left"/>
        </w:tabs>
        <w:numPr>
          <w:ilvl w:val="1"/>
          <w:numId w:val="5"/>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222" w:lineRule="exact"/>
        <w:rPr>
          <w:rFonts w:ascii="Arial" w:cs="Arial" w:eastAsia="Arial" w:hAnsi="Arial"/>
          <w:sz w:val="16"/>
          <w:szCs w:val="16"/>
          <w:color w:val="auto"/>
        </w:rPr>
      </w:pPr>
    </w:p>
    <w:p>
      <w:pPr>
        <w:ind w:left="1110" w:right="100" w:hanging="530"/>
        <w:spacing w:after="0" w:line="289" w:lineRule="auto"/>
        <w:tabs>
          <w:tab w:leader="none" w:pos="1110" w:val="left"/>
        </w:tabs>
        <w:numPr>
          <w:ilvl w:val="1"/>
          <w:numId w:val="5"/>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spacing w:after="0" w:line="161" w:lineRule="exact"/>
        <w:rPr>
          <w:rFonts w:ascii="Arial" w:cs="Arial" w:eastAsia="Arial" w:hAnsi="Arial"/>
          <w:sz w:val="16"/>
          <w:szCs w:val="16"/>
          <w:color w:val="auto"/>
        </w:rPr>
      </w:pPr>
    </w:p>
    <w:p>
      <w:pPr>
        <w:ind w:left="1110" w:hanging="530"/>
        <w:spacing w:after="0"/>
        <w:tabs>
          <w:tab w:leader="none" w:pos="1110" w:val="left"/>
        </w:tabs>
        <w:numPr>
          <w:ilvl w:val="1"/>
          <w:numId w:val="5"/>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222" w:lineRule="exact"/>
        <w:rPr>
          <w:rFonts w:ascii="Arial" w:cs="Arial" w:eastAsia="Arial" w:hAnsi="Arial"/>
          <w:sz w:val="16"/>
          <w:szCs w:val="16"/>
          <w:color w:val="auto"/>
        </w:rPr>
      </w:pPr>
    </w:p>
    <w:p>
      <w:pPr>
        <w:ind w:left="1110" w:hanging="530"/>
        <w:spacing w:after="0"/>
        <w:tabs>
          <w:tab w:leader="none" w:pos="1110" w:val="left"/>
        </w:tabs>
        <w:numPr>
          <w:ilvl w:val="1"/>
          <w:numId w:val="5"/>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210" w:lineRule="exact"/>
        <w:rPr>
          <w:rFonts w:ascii="Arial" w:cs="Arial" w:eastAsia="Arial" w:hAnsi="Arial"/>
          <w:sz w:val="16"/>
          <w:szCs w:val="16"/>
          <w:color w:val="auto"/>
        </w:rPr>
      </w:pPr>
    </w:p>
    <w:p>
      <w:pPr>
        <w:ind w:left="570" w:hanging="570"/>
        <w:spacing w:after="0"/>
        <w:tabs>
          <w:tab w:leader="none" w:pos="570" w:val="left"/>
        </w:tabs>
        <w:numPr>
          <w:ilvl w:val="0"/>
          <w:numId w:val="5"/>
        </w:numPr>
        <w:rPr>
          <w:rFonts w:ascii="Arial" w:cs="Arial" w:eastAsia="Arial" w:hAnsi="Arial"/>
          <w:sz w:val="16"/>
          <w:szCs w:val="16"/>
          <w:color w:val="auto"/>
        </w:rPr>
      </w:pPr>
      <w:r>
        <w:rPr>
          <w:rFonts w:ascii="Arial" w:cs="Arial" w:eastAsia="Arial" w:hAnsi="Arial"/>
          <w:sz w:val="16"/>
          <w:szCs w:val="16"/>
          <w:color w:val="auto"/>
        </w:rPr>
        <w:t>Fee paid previously with preliminary materials.</w:t>
      </w:r>
    </w:p>
    <w:p>
      <w:pPr>
        <w:spacing w:after="0" w:line="24" w:lineRule="exact"/>
        <w:rPr>
          <w:rFonts w:ascii="Arial" w:cs="Arial" w:eastAsia="Arial" w:hAnsi="Arial"/>
          <w:sz w:val="16"/>
          <w:szCs w:val="16"/>
          <w:color w:val="auto"/>
        </w:rPr>
      </w:pPr>
    </w:p>
    <w:p>
      <w:pPr>
        <w:ind w:left="570" w:hanging="570"/>
        <w:spacing w:after="0" w:line="257" w:lineRule="auto"/>
        <w:tabs>
          <w:tab w:leader="none" w:pos="570" w:val="left"/>
        </w:tabs>
        <w:numPr>
          <w:ilvl w:val="0"/>
          <w:numId w:val="5"/>
        </w:numPr>
        <w:rPr>
          <w:rFonts w:ascii="Arial" w:cs="Arial" w:eastAsia="Arial" w:hAnsi="Arial"/>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090" w:hanging="510"/>
        <w:spacing w:after="0"/>
        <w:tabs>
          <w:tab w:leader="none" w:pos="1090" w:val="left"/>
        </w:tabs>
        <w:numPr>
          <w:ilvl w:val="1"/>
          <w:numId w:val="5"/>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211" w:lineRule="exact"/>
        <w:rPr>
          <w:rFonts w:ascii="Arial" w:cs="Arial" w:eastAsia="Arial" w:hAnsi="Arial"/>
          <w:sz w:val="16"/>
          <w:szCs w:val="16"/>
          <w:color w:val="auto"/>
        </w:rPr>
      </w:pPr>
    </w:p>
    <w:p>
      <w:pPr>
        <w:ind w:left="1090" w:hanging="510"/>
        <w:spacing w:after="0"/>
        <w:tabs>
          <w:tab w:leader="none" w:pos="1090" w:val="left"/>
        </w:tabs>
        <w:numPr>
          <w:ilvl w:val="1"/>
          <w:numId w:val="5"/>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222" w:lineRule="exact"/>
        <w:rPr>
          <w:rFonts w:ascii="Arial" w:cs="Arial" w:eastAsia="Arial" w:hAnsi="Arial"/>
          <w:sz w:val="16"/>
          <w:szCs w:val="16"/>
          <w:color w:val="auto"/>
        </w:rPr>
      </w:pPr>
    </w:p>
    <w:p>
      <w:pPr>
        <w:ind w:left="1090" w:hanging="510"/>
        <w:spacing w:after="0"/>
        <w:tabs>
          <w:tab w:leader="none" w:pos="1090" w:val="left"/>
        </w:tabs>
        <w:numPr>
          <w:ilvl w:val="1"/>
          <w:numId w:val="5"/>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222" w:lineRule="exact"/>
        <w:rPr>
          <w:rFonts w:ascii="Arial" w:cs="Arial" w:eastAsia="Arial" w:hAnsi="Arial"/>
          <w:sz w:val="16"/>
          <w:szCs w:val="16"/>
          <w:color w:val="auto"/>
        </w:rPr>
      </w:pPr>
    </w:p>
    <w:p>
      <w:pPr>
        <w:ind w:left="1090" w:hanging="510"/>
        <w:spacing w:after="0"/>
        <w:tabs>
          <w:tab w:leader="none" w:pos="1090" w:val="left"/>
        </w:tabs>
        <w:numPr>
          <w:ilvl w:val="1"/>
          <w:numId w:val="5"/>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681990</wp:posOffset>
            </wp:positionH>
            <wp:positionV relativeFrom="paragraph">
              <wp:posOffset>141605</wp:posOffset>
            </wp:positionV>
            <wp:extent cx="656971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69710" cy="7620"/>
                    </a:xfrm>
                    <a:prstGeom prst="rect">
                      <a:avLst/>
                    </a:prstGeom>
                    <a:noFill/>
                  </pic:spPr>
                </pic:pic>
              </a:graphicData>
            </a:graphic>
          </wp:anchor>
        </w:drawing>
        <w:drawing>
          <wp:anchor simplePos="0" relativeHeight="251657728" behindDoc="1" locked="0" layoutInCell="0" allowOverlap="1">
            <wp:simplePos x="0" y="0"/>
            <wp:positionH relativeFrom="column">
              <wp:posOffset>681990</wp:posOffset>
            </wp:positionH>
            <wp:positionV relativeFrom="paragraph">
              <wp:posOffset>-116205</wp:posOffset>
            </wp:positionV>
            <wp:extent cx="656971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69710" cy="7620"/>
                    </a:xfrm>
                    <a:prstGeom prst="rect">
                      <a:avLst/>
                    </a:prstGeom>
                    <a:noFill/>
                  </pic:spPr>
                </pic:pic>
              </a:graphicData>
            </a:graphic>
          </wp:anchor>
        </w:drawing>
        <w:drawing>
          <wp:anchor simplePos="0" relativeHeight="251657728" behindDoc="1" locked="0" layoutInCell="0" allowOverlap="1">
            <wp:simplePos x="0" y="0"/>
            <wp:positionH relativeFrom="column">
              <wp:posOffset>681990</wp:posOffset>
            </wp:positionH>
            <wp:positionV relativeFrom="paragraph">
              <wp:posOffset>-374650</wp:posOffset>
            </wp:positionV>
            <wp:extent cx="656971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69710" cy="7620"/>
                    </a:xfrm>
                    <a:prstGeom prst="rect">
                      <a:avLst/>
                    </a:prstGeom>
                    <a:noFill/>
                  </pic:spPr>
                </pic:pic>
              </a:graphicData>
            </a:graphic>
          </wp:anchor>
        </w:drawing>
        <w:drawing>
          <wp:anchor simplePos="0" relativeHeight="251657728" behindDoc="1" locked="0" layoutInCell="0" allowOverlap="1">
            <wp:simplePos x="0" y="0"/>
            <wp:positionH relativeFrom="column">
              <wp:posOffset>681990</wp:posOffset>
            </wp:positionH>
            <wp:positionV relativeFrom="paragraph">
              <wp:posOffset>-633095</wp:posOffset>
            </wp:positionV>
            <wp:extent cx="656971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69710" cy="7620"/>
                    </a:xfrm>
                    <a:prstGeom prst="rect">
                      <a:avLst/>
                    </a:prstGeom>
                    <a:noFill/>
                  </pic:spPr>
                </pic:pic>
              </a:graphicData>
            </a:graphic>
          </wp:anchor>
        </w:drawing>
        <w:drawing>
          <wp:anchor simplePos="0" relativeHeight="251657728" behindDoc="1" locked="0" layoutInCell="0" allowOverlap="1">
            <wp:simplePos x="0" y="0"/>
            <wp:positionH relativeFrom="column">
              <wp:posOffset>697230</wp:posOffset>
            </wp:positionH>
            <wp:positionV relativeFrom="paragraph">
              <wp:posOffset>-1259205</wp:posOffset>
            </wp:positionV>
            <wp:extent cx="655383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53835" cy="7620"/>
                    </a:xfrm>
                    <a:prstGeom prst="rect">
                      <a:avLst/>
                    </a:prstGeom>
                    <a:noFill/>
                  </pic:spPr>
                </pic:pic>
              </a:graphicData>
            </a:graphic>
          </wp:anchor>
        </w:drawing>
        <w:drawing>
          <wp:anchor simplePos="0" relativeHeight="251657728" behindDoc="1" locked="0" layoutInCell="0" allowOverlap="1">
            <wp:simplePos x="0" y="0"/>
            <wp:positionH relativeFrom="column">
              <wp:posOffset>697230</wp:posOffset>
            </wp:positionH>
            <wp:positionV relativeFrom="paragraph">
              <wp:posOffset>-1517650</wp:posOffset>
            </wp:positionV>
            <wp:extent cx="655383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53835" cy="7620"/>
                    </a:xfrm>
                    <a:prstGeom prst="rect">
                      <a:avLst/>
                    </a:prstGeom>
                    <a:noFill/>
                  </pic:spPr>
                </pic:pic>
              </a:graphicData>
            </a:graphic>
          </wp:anchor>
        </w:drawing>
        <w:drawing>
          <wp:anchor simplePos="0" relativeHeight="251657728" behindDoc="1" locked="0" layoutInCell="0" allowOverlap="1">
            <wp:simplePos x="0" y="0"/>
            <wp:positionH relativeFrom="column">
              <wp:posOffset>697230</wp:posOffset>
            </wp:positionH>
            <wp:positionV relativeFrom="paragraph">
              <wp:posOffset>-1776095</wp:posOffset>
            </wp:positionV>
            <wp:extent cx="655383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53835" cy="7620"/>
                    </a:xfrm>
                    <a:prstGeom prst="rect">
                      <a:avLst/>
                    </a:prstGeom>
                    <a:noFill/>
                  </pic:spPr>
                </pic:pic>
              </a:graphicData>
            </a:graphic>
          </wp:anchor>
        </w:drawing>
        <w:drawing>
          <wp:anchor simplePos="0" relativeHeight="251657728" behindDoc="1" locked="0" layoutInCell="0" allowOverlap="1">
            <wp:simplePos x="0" y="0"/>
            <wp:positionH relativeFrom="column">
              <wp:posOffset>697230</wp:posOffset>
            </wp:positionH>
            <wp:positionV relativeFrom="paragraph">
              <wp:posOffset>-2159635</wp:posOffset>
            </wp:positionV>
            <wp:extent cx="655383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53835" cy="7620"/>
                    </a:xfrm>
                    <a:prstGeom prst="rect">
                      <a:avLst/>
                    </a:prstGeom>
                    <a:noFill/>
                  </pic:spPr>
                </pic:pic>
              </a:graphicData>
            </a:graphic>
          </wp:anchor>
        </w:drawing>
        <w:drawing>
          <wp:anchor simplePos="0" relativeHeight="251657728" behindDoc="1" locked="0" layoutInCell="0" allowOverlap="1">
            <wp:simplePos x="0" y="0"/>
            <wp:positionH relativeFrom="column">
              <wp:posOffset>697230</wp:posOffset>
            </wp:positionH>
            <wp:positionV relativeFrom="paragraph">
              <wp:posOffset>-2418080</wp:posOffset>
            </wp:positionV>
            <wp:extent cx="655383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53835" cy="762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335280</wp:posOffset>
            </wp:positionV>
            <wp:extent cx="7279005" cy="285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9005" cy="28575"/>
                    </a:xfrm>
                    <a:prstGeom prst="rect">
                      <a:avLst/>
                    </a:prstGeom>
                    <a:noFill/>
                  </pic:spPr>
                </pic:pic>
              </a:graphicData>
            </a:graphic>
          </wp:anchor>
        </w:drawing>
      </w:r>
    </w:p>
    <w:p>
      <w:pPr>
        <w:sectPr>
          <w:pgSz w:w="11900" w:h="16838" w:orient="portrait"/>
          <w:cols w:equalWidth="0" w:num="1">
            <w:col w:w="10950"/>
          </w:cols>
          <w:pgMar w:left="250" w:top="414" w:right="69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222250</wp:posOffset>
            </wp:positionV>
            <wp:extent cx="7315835" cy="94589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7315835" cy="94589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96520</wp:posOffset>
            </wp:positionV>
            <wp:extent cx="7315835" cy="94507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7315835" cy="94507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96520</wp:posOffset>
            </wp:positionV>
            <wp:extent cx="7315835" cy="94507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7315835" cy="94507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96520</wp:posOffset>
            </wp:positionV>
            <wp:extent cx="7315835" cy="94507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7315835" cy="945070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x"/>
      <w:numFmt w:val="bullet"/>
      <w:start w:val="1"/>
    </w:lvl>
  </w:abstractNum>
  <w:abstractNum w:abstractNumId="2">
    <w:nsid w:val="625558EC"/>
    <w:multiLevelType w:val="hybridMultilevel"/>
    <w:lvl w:ilvl="0">
      <w:lvlJc w:val="left"/>
      <w:lvlText w:val="o"/>
      <w:numFmt w:val="bullet"/>
      <w:start w:val="1"/>
    </w:lvl>
  </w:abstractNum>
  <w:abstractNum w:abstractNumId="3">
    <w:nsid w:val="238E1F29"/>
    <w:multiLevelType w:val="hybridMultilevel"/>
    <w:lvl w:ilvl="0">
      <w:lvlJc w:val="left"/>
      <w:lvlText w:val="x"/>
      <w:numFmt w:val="bullet"/>
      <w:start w:val="1"/>
    </w:lvl>
  </w:abstractNum>
  <w:abstractNum w:abstractNumId="4">
    <w:nsid w:val="46E87CCD"/>
    <w:multiLevelType w:val="hybridMultilevel"/>
    <w:lvl w:ilvl="0">
      <w:lvlJc w:val="left"/>
      <w:lvlText w:val="o"/>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2019-12-03T22:18:02Z</dcterms:created>
  <dcterms:modified xsi:type="dcterms:W3CDTF">2019-12-03T22:18:02Z</dcterms:modified>
</cp:coreProperties>
</file>