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382270</wp:posOffset>
            </wp:positionH>
            <wp:positionV relativeFrom="page">
              <wp:posOffset>666750</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382270</wp:posOffset>
            </wp:positionH>
            <wp:positionV relativeFrom="page">
              <wp:posOffset>624840</wp:posOffset>
            </wp:positionV>
            <wp:extent cx="69342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16510"/>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jc w:val="center"/>
        <w:ind w:right="-239"/>
        <w:spacing w:after="0"/>
        <w:rPr>
          <w:sz w:val="20"/>
          <w:szCs w:val="20"/>
          <w:color w:val="auto"/>
        </w:rPr>
      </w:pPr>
      <w:r>
        <w:rPr>
          <w:rFonts w:ascii="Arial" w:cs="Arial" w:eastAsia="Arial" w:hAnsi="Arial"/>
          <w:sz w:val="28"/>
          <w:szCs w:val="28"/>
          <w:b w:val="1"/>
          <w:bCs w:val="1"/>
          <w:color w:val="auto"/>
        </w:rPr>
        <w:t>Form 10-K</w:t>
      </w:r>
    </w:p>
    <w:p>
      <w:pPr>
        <w:spacing w:after="0" w:line="56" w:lineRule="exact"/>
        <w:rPr>
          <w:sz w:val="24"/>
          <w:szCs w:val="24"/>
          <w:color w:val="auto"/>
        </w:rPr>
      </w:pPr>
    </w:p>
    <w:p>
      <w:pPr>
        <w:ind w:left="1020" w:hanging="52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27" w:lineRule="exact"/>
        <w:rPr>
          <w:sz w:val="24"/>
          <w:szCs w:val="24"/>
          <w:color w:val="auto"/>
        </w:rPr>
      </w:pPr>
    </w:p>
    <w:p>
      <w:pPr>
        <w:ind w:left="1020"/>
        <w:spacing w:after="0"/>
        <w:tabs>
          <w:tab w:leader="none" w:pos="352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3"/>
          <w:szCs w:val="13"/>
          <w:b w:val="1"/>
          <w:bCs w:val="1"/>
          <w:color w:val="auto"/>
        </w:rPr>
        <w:t>December 31, 2021</w:t>
      </w:r>
    </w:p>
    <w:p>
      <w:pPr>
        <w:spacing w:after="0" w:line="62" w:lineRule="exact"/>
        <w:rPr>
          <w:sz w:val="24"/>
          <w:szCs w:val="24"/>
          <w:color w:val="auto"/>
        </w:rPr>
      </w:pPr>
    </w:p>
    <w:p>
      <w:pPr>
        <w:ind w:left="1020" w:hanging="520"/>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1246" w:right="339" w:bottom="1440" w:gutter="0" w:footer="0" w:header="0"/>
        </w:sectPr>
      </w:pPr>
    </w:p>
    <w:p>
      <w:pPr>
        <w:ind w:left="1020"/>
        <w:spacing w:after="0" w:line="215" w:lineRule="auto"/>
        <w:tabs>
          <w:tab w:leader="none" w:pos="3800" w:val="left"/>
          <w:tab w:leader="none" w:pos="48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240"/>
          </w:cols>
          <w:pgMar w:left="320" w:top="1246" w:right="339" w:bottom="1440" w:gutter="0" w:footer="0" w:header="0"/>
          <w:type w:val="continuous"/>
        </w:sectPr>
      </w:pPr>
    </w:p>
    <w:p>
      <w:pPr>
        <w:spacing w:after="0" w:line="8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333-203369</w:t>
      </w:r>
    </w:p>
    <w:p>
      <w:pPr>
        <w:spacing w:after="0" w:line="43"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Clearway Energy LLC</w:t>
      </w:r>
    </w:p>
    <w:p>
      <w:pPr>
        <w:spacing w:after="0" w:line="123"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1246" w:right="339" w:bottom="1440" w:gutter="0" w:footer="0" w:header="0"/>
          <w:type w:val="continuous"/>
        </w:sectPr>
      </w:pPr>
    </w:p>
    <w:p>
      <w:pPr>
        <w:spacing w:after="0" w:line="36"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Delaware</w:t>
      </w:r>
    </w:p>
    <w:p>
      <w:pPr>
        <w:spacing w:after="0" w:line="19" w:lineRule="exact"/>
        <w:rPr>
          <w:sz w:val="24"/>
          <w:szCs w:val="24"/>
          <w:color w:val="auto"/>
        </w:rPr>
      </w:pPr>
    </w:p>
    <w:p>
      <w:pPr>
        <w:ind w:left="760"/>
        <w:spacing w:after="0"/>
        <w:rPr>
          <w:sz w:val="20"/>
          <w:szCs w:val="20"/>
          <w:color w:val="auto"/>
        </w:rPr>
      </w:pPr>
      <w:r>
        <w:rPr>
          <w:rFonts w:ascii="Arial" w:cs="Arial" w:eastAsia="Arial" w:hAnsi="Arial"/>
          <w:sz w:val="16"/>
          <w:szCs w:val="16"/>
          <w:i w:val="1"/>
          <w:iCs w:val="1"/>
          <w:color w:val="auto"/>
        </w:rPr>
        <w:t>(State or other jurisdiction of incorporation</w:t>
      </w:r>
    </w:p>
    <w:p>
      <w:pPr>
        <w:ind w:left="1520"/>
        <w:spacing w:after="0"/>
        <w:rPr>
          <w:sz w:val="20"/>
          <w:szCs w:val="20"/>
          <w:color w:val="auto"/>
        </w:rPr>
      </w:pPr>
      <w:r>
        <w:rPr>
          <w:rFonts w:ascii="Arial" w:cs="Arial" w:eastAsia="Arial" w:hAnsi="Arial"/>
          <w:sz w:val="16"/>
          <w:szCs w:val="16"/>
          <w:i w:val="1"/>
          <w:iCs w:val="1"/>
          <w:color w:val="auto"/>
        </w:rPr>
        <w:t>or organization)</w:t>
      </w:r>
    </w:p>
    <w:p>
      <w:pPr>
        <w:spacing w:after="0" w:line="9" w:lineRule="exact"/>
        <w:rPr>
          <w:sz w:val="24"/>
          <w:szCs w:val="24"/>
          <w:color w:val="auto"/>
        </w:rPr>
      </w:pPr>
    </w:p>
    <w:p>
      <w:pPr>
        <w:ind w:left="1100"/>
        <w:spacing w:after="0"/>
        <w:tabs>
          <w:tab w:leader="none" w:pos="4480" w:val="left"/>
        </w:tabs>
        <w:rPr>
          <w:sz w:val="20"/>
          <w:szCs w:val="20"/>
          <w:color w:val="auto"/>
        </w:rPr>
      </w:pPr>
      <w:r>
        <w:rPr>
          <w:rFonts w:ascii="Arial" w:cs="Arial" w:eastAsia="Arial" w:hAnsi="Arial"/>
          <w:sz w:val="16"/>
          <w:szCs w:val="16"/>
          <w:b w:val="1"/>
          <w:bCs w:val="1"/>
          <w:color w:val="auto"/>
        </w:rPr>
        <w:t>300 Carnegie Center, Suite 300</w:t>
      </w:r>
      <w:r>
        <w:rPr>
          <w:sz w:val="20"/>
          <w:szCs w:val="20"/>
          <w:color w:val="auto"/>
        </w:rPr>
        <w:tab/>
      </w:r>
      <w:r>
        <w:rPr>
          <w:rFonts w:ascii="Arial" w:cs="Arial" w:eastAsia="Arial" w:hAnsi="Arial"/>
          <w:sz w:val="14"/>
          <w:szCs w:val="14"/>
          <w:b w:val="1"/>
          <w:bCs w:val="1"/>
          <w:color w:val="auto"/>
        </w:rPr>
        <w:t>Princeton</w:t>
      </w:r>
    </w:p>
    <w:p>
      <w:pPr>
        <w:spacing w:after="0" w:line="31" w:lineRule="exact"/>
        <w:rPr>
          <w:sz w:val="24"/>
          <w:szCs w:val="24"/>
          <w:color w:val="auto"/>
        </w:rPr>
      </w:pPr>
    </w:p>
    <w:p>
      <w:pPr>
        <w:ind w:left="308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New Jersey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32-0407370</w:t>
      </w:r>
    </w:p>
    <w:p>
      <w:pPr>
        <w:spacing w:after="0" w:line="19"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(I.R.S. Employer</w:t>
      </w:r>
    </w:p>
    <w:p>
      <w:pPr>
        <w:jc w:val="center"/>
        <w:ind w:right="1160"/>
        <w:spacing w:after="0"/>
        <w:rPr>
          <w:sz w:val="20"/>
          <w:szCs w:val="20"/>
          <w:color w:val="auto"/>
        </w:rPr>
      </w:pPr>
      <w:r>
        <w:rPr>
          <w:rFonts w:ascii="Arial" w:cs="Arial" w:eastAsia="Arial" w:hAnsi="Arial"/>
          <w:sz w:val="15"/>
          <w:szCs w:val="15"/>
          <w:i w:val="1"/>
          <w:iCs w:val="1"/>
          <w:color w:val="auto"/>
        </w:rPr>
        <w:t>Identification No.)</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08540</w:t>
      </w:r>
    </w:p>
    <w:p>
      <w:pPr>
        <w:spacing w:after="0" w:line="31"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(Zip Code)</w:t>
      </w:r>
    </w:p>
    <w:p>
      <w:pPr>
        <w:spacing w:after="0" w:line="89" w:lineRule="exact"/>
        <w:rPr>
          <w:sz w:val="24"/>
          <w:szCs w:val="24"/>
          <w:color w:val="auto"/>
        </w:rPr>
      </w:pPr>
    </w:p>
    <w:p>
      <w:pPr>
        <w:sectPr>
          <w:pgSz w:w="11900" w:h="16838" w:orient="portrait"/>
          <w:cols w:equalWidth="0" w:num="3">
            <w:col w:w="5880" w:space="720"/>
            <w:col w:w="1580" w:space="720"/>
            <w:col w:w="2340"/>
          </w:cols>
          <w:pgMar w:left="320" w:top="1246" w:right="339" w:bottom="1440" w:gutter="0" w:footer="0" w:header="0"/>
          <w:type w:val="continuous"/>
        </w:sectPr>
      </w:pPr>
    </w:p>
    <w:p>
      <w:pPr>
        <w:ind w:left="5240"/>
        <w:spacing w:after="0"/>
        <w:rPr>
          <w:sz w:val="20"/>
          <w:szCs w:val="20"/>
          <w:color w:val="auto"/>
        </w:rPr>
      </w:pPr>
      <w:r>
        <w:rPr>
          <w:rFonts w:ascii="Arial" w:cs="Arial" w:eastAsia="Arial" w:hAnsi="Arial"/>
          <w:sz w:val="16"/>
          <w:szCs w:val="16"/>
          <w:b w:val="1"/>
          <w:bCs w:val="1"/>
          <w:color w:val="auto"/>
        </w:rPr>
        <w:t>(609) 608-1525</w:t>
      </w:r>
    </w:p>
    <w:p>
      <w:pPr>
        <w:spacing w:after="0" w:line="19" w:lineRule="exact"/>
        <w:rPr>
          <w:sz w:val="24"/>
          <w:szCs w:val="24"/>
          <w:color w:val="auto"/>
        </w:rPr>
      </w:pPr>
    </w:p>
    <w:p>
      <w:pPr>
        <w:ind w:left="406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1" w:lineRule="exact"/>
        <w:rPr>
          <w:sz w:val="24"/>
          <w:szCs w:val="24"/>
          <w:color w:val="auto"/>
        </w:rPr>
      </w:pPr>
    </w:p>
    <w:p>
      <w:pPr>
        <w:ind w:left="240"/>
        <w:spacing w:after="0"/>
        <w:tabs>
          <w:tab w:leader="none" w:pos="6960" w:val="left"/>
          <w:tab w:leader="none" w:pos="742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6" w:lineRule="exact"/>
        <w:rPr>
          <w:sz w:val="24"/>
          <w:szCs w:val="24"/>
          <w:color w:val="auto"/>
        </w:rPr>
      </w:pPr>
    </w:p>
    <w:p>
      <w:pPr>
        <w:ind w:left="240"/>
        <w:spacing w:after="0"/>
        <w:tabs>
          <w:tab w:leader="none" w:pos="810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x</w:t>
        <w:tab/>
        <w:t>No o</w:t>
      </w:r>
    </w:p>
    <w:p>
      <w:pPr>
        <w:spacing w:after="0" w:line="114" w:lineRule="exact"/>
        <w:rPr>
          <w:sz w:val="24"/>
          <w:szCs w:val="24"/>
          <w:color w:val="auto"/>
        </w:rPr>
      </w:pPr>
    </w:p>
    <w:p>
      <w:pPr>
        <w:ind w:firstLine="237"/>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9" w:lineRule="exact"/>
        <w:rPr>
          <w:sz w:val="24"/>
          <w:szCs w:val="24"/>
          <w:color w:val="auto"/>
        </w:rPr>
      </w:pPr>
    </w:p>
    <w:p>
      <w:pPr>
        <w:ind w:firstLine="237"/>
        <w:spacing w:after="0" w:line="28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9" w:lineRule="exact"/>
        <w:rPr>
          <w:sz w:val="24"/>
          <w:szCs w:val="24"/>
          <w:color w:val="auto"/>
        </w:rPr>
      </w:pPr>
    </w:p>
    <w:p>
      <w:pPr>
        <w:ind w:firstLine="237"/>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200" w:type="dxa"/>
            <w:vAlign w:val="bottom"/>
          </w:tcPr>
          <w:p>
            <w:pPr>
              <w:jc w:val="center"/>
              <w:ind w:right="701"/>
              <w:spacing w:after="0"/>
              <w:rPr>
                <w:sz w:val="20"/>
                <w:szCs w:val="20"/>
                <w:color w:val="auto"/>
              </w:rPr>
            </w:pPr>
            <w:r>
              <w:rPr>
                <w:rFonts w:ascii="Arial" w:cs="Arial" w:eastAsia="Arial" w:hAnsi="Arial"/>
                <w:sz w:val="16"/>
                <w:szCs w:val="16"/>
                <w:color w:val="auto"/>
                <w:w w:val="89"/>
              </w:rPr>
              <w:t>Large accelerated filer</w:t>
            </w:r>
          </w:p>
        </w:tc>
        <w:tc>
          <w:tcPr>
            <w:tcW w:w="15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4"/>
        </w:trPr>
        <w:tc>
          <w:tcPr>
            <w:tcW w:w="2200" w:type="dxa"/>
            <w:vAlign w:val="bottom"/>
          </w:tcPr>
          <w:p>
            <w:pPr>
              <w:jc w:val="center"/>
              <w:ind w:right="721"/>
              <w:spacing w:after="0"/>
              <w:rPr>
                <w:sz w:val="20"/>
                <w:szCs w:val="20"/>
                <w:color w:val="auto"/>
              </w:rPr>
            </w:pPr>
            <w:r>
              <w:rPr>
                <w:rFonts w:ascii="Arial" w:cs="Arial" w:eastAsia="Arial" w:hAnsi="Arial"/>
                <w:sz w:val="16"/>
                <w:szCs w:val="16"/>
                <w:color w:val="auto"/>
                <w:w w:val="92"/>
              </w:rPr>
              <w:t>Non-accelerated filer</w:t>
            </w:r>
          </w:p>
        </w:tc>
        <w:tc>
          <w:tcPr>
            <w:tcW w:w="15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7"/>
        </w:trPr>
        <w:tc>
          <w:tcPr>
            <w:tcW w:w="2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0" w:type="dxa"/>
            <w:vAlign w:val="bottom"/>
          </w:tcPr>
          <w:p>
            <w:pPr>
              <w:ind w:left="60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6" w:lineRule="exact"/>
        <w:rPr>
          <w:sz w:val="24"/>
          <w:szCs w:val="24"/>
          <w:color w:val="auto"/>
        </w:rPr>
      </w:pPr>
    </w:p>
    <w:p>
      <w:pPr>
        <w:ind w:firstLine="237"/>
        <w:spacing w:after="0" w:line="27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240"/>
        <w:spacing w:after="0" w:line="161" w:lineRule="exact"/>
        <w:tabs>
          <w:tab w:leader="none" w:pos="6160" w:val="left"/>
          <w:tab w:leader="none" w:pos="66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75" w:lineRule="exact"/>
        <w:rPr>
          <w:sz w:val="24"/>
          <w:szCs w:val="24"/>
          <w:color w:val="auto"/>
        </w:rPr>
      </w:pPr>
    </w:p>
    <w:p>
      <w:pPr>
        <w:ind w:firstLine="237"/>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ind w:left="240"/>
        <w:spacing w:after="0"/>
        <w:rPr>
          <w:sz w:val="20"/>
          <w:szCs w:val="20"/>
          <w:color w:val="auto"/>
        </w:rPr>
      </w:pPr>
      <w:r>
        <w:rPr>
          <w:rFonts w:ascii="Arial" w:cs="Arial" w:eastAsia="Arial" w:hAnsi="Arial"/>
          <w:sz w:val="14"/>
          <w:szCs w:val="14"/>
          <w:color w:val="auto"/>
        </w:rPr>
        <w:t>Clearway Energy LLC's outstanding equity interests are held by Clearway Energy, Inc. and Clearway Energy Group LLC and there are no equity interests held by non-affiliates.</w:t>
      </w:r>
    </w:p>
    <w:p>
      <w:pPr>
        <w:spacing w:after="0" w:line="50" w:lineRule="exact"/>
        <w:rPr>
          <w:sz w:val="24"/>
          <w:szCs w:val="24"/>
          <w:color w:val="auto"/>
        </w:rPr>
      </w:pPr>
    </w:p>
    <w:p>
      <w:pPr>
        <w:ind w:left="24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There is no public market for the registrant's outstanding units.</w:t>
      </w:r>
    </w:p>
    <w:p>
      <w:pPr>
        <w:spacing w:after="0" w:line="102" w:lineRule="exact"/>
        <w:rPr>
          <w:sz w:val="24"/>
          <w:szCs w:val="24"/>
          <w:color w:val="auto"/>
        </w:rPr>
      </w:pPr>
    </w:p>
    <w:tbl>
      <w:tblPr>
        <w:tblLayout w:type="fixed"/>
        <w:tblInd w:w="3360" w:type="dxa"/>
        <w:tblCellMar>
          <w:top w:w="0" w:type="dxa"/>
          <w:left w:w="0" w:type="dxa"/>
          <w:bottom w:w="0" w:type="dxa"/>
          <w:right w:w="0" w:type="dxa"/>
        </w:tblCellMar>
      </w:tblPr>
      <w:tr>
        <w:trPr>
          <w:trHeight w:val="160"/>
        </w:trPr>
        <w:tc>
          <w:tcPr>
            <w:tcW w:w="2120" w:type="dxa"/>
            <w:vAlign w:val="bottom"/>
          </w:tcPr>
          <w:p>
            <w:pPr>
              <w:jc w:val="center"/>
              <w:ind w:right="1378"/>
              <w:spacing w:after="0"/>
              <w:rPr>
                <w:sz w:val="20"/>
                <w:szCs w:val="20"/>
                <w:color w:val="auto"/>
              </w:rPr>
            </w:pPr>
            <w:r>
              <w:rPr>
                <w:rFonts w:ascii="Arial" w:cs="Arial" w:eastAsia="Arial" w:hAnsi="Arial"/>
                <w:sz w:val="12"/>
                <w:szCs w:val="12"/>
                <w:b w:val="1"/>
                <w:bCs w:val="1"/>
                <w:color w:val="auto"/>
                <w:w w:val="87"/>
              </w:rPr>
              <w:t>Class</w:t>
            </w:r>
          </w:p>
        </w:tc>
        <w:tc>
          <w:tcPr>
            <w:tcW w:w="3160" w:type="dxa"/>
            <w:vAlign w:val="bottom"/>
          </w:tcPr>
          <w:p>
            <w:pPr>
              <w:jc w:val="center"/>
              <w:ind w:left="1378"/>
              <w:spacing w:after="0"/>
              <w:rPr>
                <w:sz w:val="20"/>
                <w:szCs w:val="20"/>
                <w:color w:val="auto"/>
              </w:rPr>
            </w:pPr>
            <w:r>
              <w:rPr>
                <w:rFonts w:ascii="Arial" w:cs="Arial" w:eastAsia="Arial" w:hAnsi="Arial"/>
                <w:sz w:val="12"/>
                <w:szCs w:val="12"/>
                <w:b w:val="1"/>
                <w:bCs w:val="1"/>
                <w:color w:val="auto"/>
                <w:w w:val="93"/>
              </w:rPr>
              <w:t>Outstanding at January 31, 2022</w:t>
            </w:r>
          </w:p>
        </w:tc>
      </w:tr>
      <w:tr>
        <w:trPr>
          <w:trHeight w:val="171"/>
        </w:trPr>
        <w:tc>
          <w:tcPr>
            <w:tcW w:w="2120" w:type="dxa"/>
            <w:vAlign w:val="bottom"/>
          </w:tcPr>
          <w:p>
            <w:pPr>
              <w:jc w:val="center"/>
              <w:ind w:right="1378"/>
              <w:spacing w:after="0"/>
              <w:rPr>
                <w:sz w:val="20"/>
                <w:szCs w:val="20"/>
                <w:color w:val="auto"/>
              </w:rPr>
            </w:pPr>
            <w:r>
              <w:rPr>
                <w:rFonts w:ascii="Arial" w:cs="Arial" w:eastAsia="Arial" w:hAnsi="Arial"/>
                <w:sz w:val="12"/>
                <w:szCs w:val="12"/>
                <w:color w:val="auto"/>
                <w:w w:val="94"/>
              </w:rPr>
              <w:t>Class A Units</w:t>
            </w:r>
          </w:p>
        </w:tc>
        <w:tc>
          <w:tcPr>
            <w:tcW w:w="3160" w:type="dxa"/>
            <w:vAlign w:val="bottom"/>
          </w:tcPr>
          <w:p>
            <w:pPr>
              <w:jc w:val="center"/>
              <w:ind w:left="1378"/>
              <w:spacing w:after="0"/>
              <w:rPr>
                <w:sz w:val="20"/>
                <w:szCs w:val="20"/>
                <w:color w:val="auto"/>
              </w:rPr>
            </w:pPr>
            <w:r>
              <w:rPr>
                <w:rFonts w:ascii="Arial" w:cs="Arial" w:eastAsia="Arial" w:hAnsi="Arial"/>
                <w:sz w:val="12"/>
                <w:szCs w:val="12"/>
                <w:color w:val="auto"/>
                <w:w w:val="93"/>
              </w:rPr>
              <w:t>34,599,645</w:t>
            </w:r>
          </w:p>
        </w:tc>
      </w:tr>
      <w:tr>
        <w:trPr>
          <w:trHeight w:val="171"/>
        </w:trPr>
        <w:tc>
          <w:tcPr>
            <w:tcW w:w="2120" w:type="dxa"/>
            <w:vAlign w:val="bottom"/>
          </w:tcPr>
          <w:p>
            <w:pPr>
              <w:jc w:val="center"/>
              <w:ind w:right="1378"/>
              <w:spacing w:after="0"/>
              <w:rPr>
                <w:sz w:val="20"/>
                <w:szCs w:val="20"/>
                <w:color w:val="auto"/>
              </w:rPr>
            </w:pPr>
            <w:r>
              <w:rPr>
                <w:rFonts w:ascii="Arial" w:cs="Arial" w:eastAsia="Arial" w:hAnsi="Arial"/>
                <w:sz w:val="12"/>
                <w:szCs w:val="12"/>
                <w:color w:val="auto"/>
                <w:w w:val="94"/>
              </w:rPr>
              <w:t>Class B Units</w:t>
            </w:r>
          </w:p>
        </w:tc>
        <w:tc>
          <w:tcPr>
            <w:tcW w:w="3160" w:type="dxa"/>
            <w:vAlign w:val="bottom"/>
          </w:tcPr>
          <w:p>
            <w:pPr>
              <w:jc w:val="center"/>
              <w:ind w:left="1378"/>
              <w:spacing w:after="0"/>
              <w:rPr>
                <w:sz w:val="20"/>
                <w:szCs w:val="20"/>
                <w:color w:val="auto"/>
              </w:rPr>
            </w:pPr>
            <w:r>
              <w:rPr>
                <w:rFonts w:ascii="Arial" w:cs="Arial" w:eastAsia="Arial" w:hAnsi="Arial"/>
                <w:sz w:val="12"/>
                <w:szCs w:val="12"/>
                <w:color w:val="auto"/>
                <w:w w:val="93"/>
              </w:rPr>
              <w:t>42,738,750</w:t>
            </w:r>
          </w:p>
        </w:tc>
      </w:tr>
      <w:tr>
        <w:trPr>
          <w:trHeight w:val="171"/>
        </w:trPr>
        <w:tc>
          <w:tcPr>
            <w:tcW w:w="2120" w:type="dxa"/>
            <w:vAlign w:val="bottom"/>
          </w:tcPr>
          <w:p>
            <w:pPr>
              <w:jc w:val="center"/>
              <w:ind w:right="1378"/>
              <w:spacing w:after="0"/>
              <w:rPr>
                <w:sz w:val="20"/>
                <w:szCs w:val="20"/>
                <w:color w:val="auto"/>
              </w:rPr>
            </w:pPr>
            <w:r>
              <w:rPr>
                <w:rFonts w:ascii="Arial" w:cs="Arial" w:eastAsia="Arial" w:hAnsi="Arial"/>
                <w:sz w:val="12"/>
                <w:szCs w:val="12"/>
                <w:color w:val="auto"/>
                <w:w w:val="93"/>
              </w:rPr>
              <w:t>Class C Units</w:t>
            </w:r>
          </w:p>
        </w:tc>
        <w:tc>
          <w:tcPr>
            <w:tcW w:w="3160" w:type="dxa"/>
            <w:vAlign w:val="bottom"/>
          </w:tcPr>
          <w:p>
            <w:pPr>
              <w:jc w:val="center"/>
              <w:ind w:left="1378"/>
              <w:spacing w:after="0"/>
              <w:rPr>
                <w:sz w:val="20"/>
                <w:szCs w:val="20"/>
                <w:color w:val="auto"/>
              </w:rPr>
            </w:pPr>
            <w:r>
              <w:rPr>
                <w:rFonts w:ascii="Arial" w:cs="Arial" w:eastAsia="Arial" w:hAnsi="Arial"/>
                <w:sz w:val="12"/>
                <w:szCs w:val="12"/>
                <w:color w:val="auto"/>
                <w:w w:val="93"/>
              </w:rPr>
              <w:t>81,764,907</w:t>
            </w:r>
          </w:p>
        </w:tc>
      </w:tr>
      <w:tr>
        <w:trPr>
          <w:trHeight w:val="171"/>
        </w:trPr>
        <w:tc>
          <w:tcPr>
            <w:tcW w:w="2120" w:type="dxa"/>
            <w:vAlign w:val="bottom"/>
          </w:tcPr>
          <w:p>
            <w:pPr>
              <w:jc w:val="center"/>
              <w:ind w:right="1378"/>
              <w:spacing w:after="0"/>
              <w:rPr>
                <w:sz w:val="20"/>
                <w:szCs w:val="20"/>
                <w:color w:val="auto"/>
              </w:rPr>
            </w:pPr>
            <w:r>
              <w:rPr>
                <w:rFonts w:ascii="Arial" w:cs="Arial" w:eastAsia="Arial" w:hAnsi="Arial"/>
                <w:sz w:val="12"/>
                <w:szCs w:val="12"/>
                <w:color w:val="auto"/>
                <w:w w:val="93"/>
              </w:rPr>
              <w:t>Class D Units</w:t>
            </w:r>
          </w:p>
        </w:tc>
        <w:tc>
          <w:tcPr>
            <w:tcW w:w="3160" w:type="dxa"/>
            <w:vAlign w:val="bottom"/>
          </w:tcPr>
          <w:p>
            <w:pPr>
              <w:jc w:val="center"/>
              <w:ind w:left="1378"/>
              <w:spacing w:after="0"/>
              <w:rPr>
                <w:sz w:val="20"/>
                <w:szCs w:val="20"/>
                <w:color w:val="auto"/>
              </w:rPr>
            </w:pPr>
            <w:r>
              <w:rPr>
                <w:rFonts w:ascii="Arial" w:cs="Arial" w:eastAsia="Arial" w:hAnsi="Arial"/>
                <w:sz w:val="12"/>
                <w:szCs w:val="12"/>
                <w:color w:val="auto"/>
                <w:w w:val="93"/>
              </w:rPr>
              <w:t>42,633,750</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666115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41910</wp:posOffset>
            </wp:positionV>
            <wp:extent cx="69342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4200" cy="1651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17145</wp:posOffset>
            </wp:positionV>
            <wp:extent cx="6934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1090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900" w:type="dxa"/>
            <w:vAlign w:val="bottom"/>
          </w:tcPr>
          <w:p>
            <w:pPr>
              <w:ind w:left="536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10900" w:type="dxa"/>
            <w:vAlign w:val="bottom"/>
          </w:tcPr>
          <w:p>
            <w:pPr>
              <w:spacing w:after="0"/>
              <w:rPr>
                <w:sz w:val="20"/>
                <w:szCs w:val="20"/>
                <w:color w:val="auto"/>
              </w:rPr>
            </w:pPr>
            <w:r>
              <w:rPr>
                <w:rFonts w:ascii="Arial" w:cs="Arial" w:eastAsia="Arial" w:hAnsi="Arial"/>
                <w:sz w:val="18"/>
                <w:szCs w:val="18"/>
                <w:color w:val="auto"/>
              </w:rPr>
              <w:t>GLOSSARY OF TERMS</w:t>
            </w:r>
          </w:p>
        </w:tc>
        <w:tc>
          <w:tcPr>
            <w:tcW w:w="1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2">
              <w:r>
                <w:rPr>
                  <w:rFonts w:ascii="Arial" w:cs="Arial" w:eastAsia="Arial" w:hAnsi="Arial"/>
                  <w:sz w:val="18"/>
                  <w:szCs w:val="18"/>
                  <w:b w:val="1"/>
                  <w:bCs w:val="1"/>
                  <w:color w:val="0000FF"/>
                  <w:w w:val="79"/>
                </w:rPr>
                <w:t>3</w:t>
              </w:r>
            </w:hyperlink>
          </w:p>
        </w:tc>
      </w:tr>
      <w:tr>
        <w:trPr>
          <w:trHeight w:val="204"/>
        </w:trPr>
        <w:tc>
          <w:tcPr>
            <w:tcW w:w="10900" w:type="dxa"/>
            <w:vAlign w:val="bottom"/>
          </w:tcPr>
          <w:p>
            <w:pPr>
              <w:spacing w:after="0" w:line="204" w:lineRule="exact"/>
              <w:rPr>
                <w:sz w:val="20"/>
                <w:szCs w:val="20"/>
                <w:color w:val="auto"/>
              </w:rPr>
            </w:pPr>
            <w:r>
              <w:rPr>
                <w:rFonts w:ascii="Arial" w:cs="Arial" w:eastAsia="Arial" w:hAnsi="Arial"/>
                <w:sz w:val="18"/>
                <w:szCs w:val="18"/>
                <w:b w:val="1"/>
                <w:bCs w:val="1"/>
                <w:color w:val="auto"/>
              </w:rPr>
              <w:t>PART I</w:t>
            </w:r>
          </w:p>
        </w:tc>
        <w:tc>
          <w:tcPr>
            <w:tcW w:w="1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4" w:lineRule="exact"/>
              <w:rPr>
                <w:rFonts w:ascii="Arial" w:cs="Arial" w:eastAsia="Arial" w:hAnsi="Arial"/>
                <w:sz w:val="18"/>
                <w:szCs w:val="18"/>
                <w:b w:val="1"/>
                <w:bCs w:val="1"/>
                <w:color w:val="0000FF"/>
                <w:w w:val="79"/>
              </w:rPr>
            </w:pPr>
            <w:hyperlink w:anchor="page5">
              <w:r>
                <w:rPr>
                  <w:rFonts w:ascii="Arial" w:cs="Arial" w:eastAsia="Arial" w:hAnsi="Arial"/>
                  <w:sz w:val="18"/>
                  <w:szCs w:val="18"/>
                  <w:b w:val="1"/>
                  <w:bCs w:val="1"/>
                  <w:color w:val="0000FF"/>
                  <w:w w:val="79"/>
                </w:rPr>
                <w:t>6</w:t>
              </w:r>
            </w:hyperlink>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 — Business</w:t>
            </w:r>
          </w:p>
        </w:tc>
        <w:tc>
          <w:tcPr>
            <w:tcW w:w="1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4" w:lineRule="exact"/>
              <w:rPr>
                <w:rFonts w:ascii="Arial" w:cs="Arial" w:eastAsia="Arial" w:hAnsi="Arial"/>
                <w:sz w:val="18"/>
                <w:szCs w:val="18"/>
                <w:b w:val="1"/>
                <w:bCs w:val="1"/>
                <w:color w:val="0000FF"/>
                <w:w w:val="79"/>
              </w:rPr>
            </w:pPr>
            <w:hyperlink w:anchor="page6">
              <w:r>
                <w:rPr>
                  <w:rFonts w:ascii="Arial" w:cs="Arial" w:eastAsia="Arial" w:hAnsi="Arial"/>
                  <w:sz w:val="18"/>
                  <w:szCs w:val="18"/>
                  <w:b w:val="1"/>
                  <w:bCs w:val="1"/>
                  <w:color w:val="0000FF"/>
                  <w:w w:val="79"/>
                </w:rPr>
                <w:t>6</w:t>
              </w:r>
            </w:hyperlink>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1A — Risk Factors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14">
              <w:r>
                <w:rPr>
                  <w:rFonts w:ascii="Arial" w:cs="Arial" w:eastAsia="Arial" w:hAnsi="Arial"/>
                  <w:sz w:val="18"/>
                  <w:szCs w:val="18"/>
                  <w:b w:val="1"/>
                  <w:bCs w:val="1"/>
                  <w:color w:val="0000FF"/>
                </w:rPr>
                <w:t>15</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1B — Unresolved Staff Comments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33</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2 — Properties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34</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3 — Legal Proceedings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37</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4 — Mine Safety Disclosures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37</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spacing w:after="0" w:line="204" w:lineRule="exact"/>
              <w:rPr>
                <w:sz w:val="20"/>
                <w:szCs w:val="20"/>
                <w:color w:val="auto"/>
              </w:rPr>
            </w:pPr>
            <w:r>
              <w:rPr>
                <w:rFonts w:ascii="Arial" w:cs="Arial" w:eastAsia="Arial" w:hAnsi="Arial"/>
                <w:sz w:val="18"/>
                <w:szCs w:val="18"/>
                <w:b w:val="1"/>
                <w:bCs w:val="1"/>
                <w:color w:val="auto"/>
              </w:rPr>
              <w:t>PART II</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38</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38</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6 — Reserved</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38</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39</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7A — Quantitative and Qualitative Disclosures About Market Risk</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58</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8 — Financial Statements and Supplementary Data</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59</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60</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9A — Controls and Procedures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60</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9B — Other Information</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61</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spacing w:after="0" w:line="204" w:lineRule="exact"/>
              <w:rPr>
                <w:sz w:val="20"/>
                <w:szCs w:val="20"/>
                <w:color w:val="auto"/>
              </w:rPr>
            </w:pPr>
            <w:r>
              <w:rPr>
                <w:rFonts w:ascii="Arial" w:cs="Arial" w:eastAsia="Arial" w:hAnsi="Arial"/>
                <w:sz w:val="18"/>
                <w:szCs w:val="18"/>
                <w:b w:val="1"/>
                <w:bCs w:val="1"/>
                <w:color w:val="auto"/>
              </w:rPr>
              <w:t>PART III</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62</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10 — Directors, Executive Officers and Corporate Governance</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62</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11 — Executive Compensation</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63</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78">
              <w:r>
                <w:rPr>
                  <w:rFonts w:ascii="Arial" w:cs="Arial" w:eastAsia="Arial" w:hAnsi="Arial"/>
                  <w:sz w:val="18"/>
                  <w:szCs w:val="18"/>
                  <w:b w:val="1"/>
                  <w:bCs w:val="1"/>
                  <w:color w:val="0000FF"/>
                </w:rPr>
                <w:t>79</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13 — Certain Relationships and Related Transactions, and Director Independence</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79">
              <w:r>
                <w:rPr>
                  <w:rFonts w:ascii="Arial" w:cs="Arial" w:eastAsia="Arial" w:hAnsi="Arial"/>
                  <w:sz w:val="18"/>
                  <w:szCs w:val="18"/>
                  <w:b w:val="1"/>
                  <w:bCs w:val="1"/>
                  <w:color w:val="0000FF"/>
                </w:rPr>
                <w:t>80</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14 — Principal Accounting Fees and Services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88</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spacing w:after="0" w:line="204" w:lineRule="exact"/>
              <w:rPr>
                <w:sz w:val="20"/>
                <w:szCs w:val="20"/>
                <w:color w:val="auto"/>
              </w:rPr>
            </w:pPr>
            <w:r>
              <w:rPr>
                <w:rFonts w:ascii="Arial" w:cs="Arial" w:eastAsia="Arial" w:hAnsi="Arial"/>
                <w:sz w:val="18"/>
                <w:szCs w:val="18"/>
                <w:b w:val="1"/>
                <w:bCs w:val="1"/>
                <w:color w:val="auto"/>
              </w:rPr>
              <w:t>PART IV</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89</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15 — Exhibits, Financial Statement Schedules</w:t>
            </w:r>
          </w:p>
        </w:tc>
        <w:tc>
          <w:tcPr>
            <w:tcW w:w="280" w:type="dxa"/>
            <w:vAlign w:val="bottom"/>
            <w:gridSpan w:val="3"/>
          </w:tcPr>
          <w:p>
            <w:pPr>
              <w:jc w:val="right"/>
              <w:spacing w:after="0" w:line="204" w:lineRule="exact"/>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89</w:t>
              </w:r>
            </w:hyperlink>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10900" w:type="dxa"/>
            <w:vAlign w:val="bottom"/>
          </w:tcPr>
          <w:p>
            <w:pPr>
              <w:spacing w:after="0" w:line="204" w:lineRule="exact"/>
              <w:rPr>
                <w:sz w:val="20"/>
                <w:szCs w:val="20"/>
                <w:color w:val="auto"/>
              </w:rPr>
            </w:pPr>
            <w:r>
              <w:rPr>
                <w:rFonts w:ascii="Arial" w:cs="Arial" w:eastAsia="Arial" w:hAnsi="Arial"/>
                <w:sz w:val="18"/>
                <w:szCs w:val="18"/>
                <w:b w:val="1"/>
                <w:bCs w:val="1"/>
                <w:color w:val="auto"/>
              </w:rPr>
              <w:t>EXHIBIT INDEX</w:t>
            </w:r>
          </w:p>
        </w:tc>
        <w:tc>
          <w:tcPr>
            <w:tcW w:w="280" w:type="dxa"/>
            <w:vAlign w:val="bottom"/>
            <w:tcBorders>
              <w:bottom w:val="single" w:sz="8" w:color="0000FF"/>
            </w:tcBorders>
            <w:gridSpan w:val="3"/>
          </w:tcPr>
          <w:p>
            <w:pPr>
              <w:jc w:val="right"/>
              <w:spacing w:after="0" w:line="204" w:lineRule="exact"/>
              <w:rPr>
                <w:rFonts w:ascii="Arial" w:cs="Arial" w:eastAsia="Arial" w:hAnsi="Arial"/>
                <w:sz w:val="18"/>
                <w:szCs w:val="18"/>
                <w:b w:val="1"/>
                <w:bCs w:val="1"/>
                <w:color w:val="0000FF"/>
                <w:w w:val="86"/>
              </w:rPr>
            </w:pPr>
            <w:hyperlink w:anchor="page148">
              <w:r>
                <w:rPr>
                  <w:rFonts w:ascii="Arial" w:cs="Arial" w:eastAsia="Arial" w:hAnsi="Arial"/>
                  <w:sz w:val="18"/>
                  <w:szCs w:val="18"/>
                  <w:b w:val="1"/>
                  <w:bCs w:val="1"/>
                  <w:color w:val="0000FF"/>
                  <w:w w:val="86"/>
                </w:rPr>
                <w:t>149</w:t>
              </w:r>
            </w:hyperlink>
          </w:p>
        </w:tc>
      </w:tr>
      <w:tr>
        <w:trPr>
          <w:trHeight w:val="204"/>
        </w:trPr>
        <w:tc>
          <w:tcPr>
            <w:tcW w:w="10900" w:type="dxa"/>
            <w:vAlign w:val="bottom"/>
          </w:tcPr>
          <w:p>
            <w:pPr>
              <w:ind w:left="200"/>
              <w:spacing w:after="0" w:line="204" w:lineRule="exact"/>
              <w:rPr>
                <w:sz w:val="20"/>
                <w:szCs w:val="20"/>
                <w:color w:val="auto"/>
              </w:rPr>
            </w:pPr>
            <w:r>
              <w:rPr>
                <w:rFonts w:ascii="Arial" w:cs="Arial" w:eastAsia="Arial" w:hAnsi="Arial"/>
                <w:sz w:val="18"/>
                <w:szCs w:val="18"/>
                <w:color w:val="auto"/>
              </w:rPr>
              <w:t>Item 16 — Form 10-K Summary</w:t>
            </w:r>
          </w:p>
        </w:tc>
        <w:tc>
          <w:tcPr>
            <w:tcW w:w="280" w:type="dxa"/>
            <w:vAlign w:val="bottom"/>
            <w:tcBorders>
              <w:bottom w:val="single" w:sz="8" w:color="0000FF"/>
            </w:tcBorders>
            <w:gridSpan w:val="3"/>
          </w:tcPr>
          <w:p>
            <w:pPr>
              <w:jc w:val="right"/>
              <w:spacing w:after="0" w:line="204" w:lineRule="exact"/>
              <w:rPr>
                <w:rFonts w:ascii="Arial" w:cs="Arial" w:eastAsia="Arial" w:hAnsi="Arial"/>
                <w:sz w:val="18"/>
                <w:szCs w:val="18"/>
                <w:b w:val="1"/>
                <w:bCs w:val="1"/>
                <w:color w:val="0000FF"/>
                <w:w w:val="86"/>
              </w:rPr>
            </w:pPr>
            <w:hyperlink w:anchor="page152">
              <w:r>
                <w:rPr>
                  <w:rFonts w:ascii="Arial" w:cs="Arial" w:eastAsia="Arial" w:hAnsi="Arial"/>
                  <w:sz w:val="18"/>
                  <w:szCs w:val="18"/>
                  <w:b w:val="1"/>
                  <w:bCs w:val="1"/>
                  <w:color w:val="0000FF"/>
                  <w:w w:val="86"/>
                </w:rPr>
                <w:t>153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18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8420" w:type="dxa"/>
            <w:vAlign w:val="bottom"/>
          </w:tcPr>
          <w:p>
            <w:pPr>
              <w:ind w:left="1840"/>
              <w:spacing w:after="0"/>
              <w:rPr>
                <w:sz w:val="20"/>
                <w:szCs w:val="20"/>
                <w:color w:val="auto"/>
              </w:rPr>
            </w:pPr>
            <w:r>
              <w:rPr>
                <w:rFonts w:ascii="Arial" w:cs="Arial" w:eastAsia="Arial" w:hAnsi="Arial"/>
                <w:sz w:val="18"/>
                <w:szCs w:val="18"/>
                <w:b w:val="1"/>
                <w:bCs w:val="1"/>
                <w:color w:val="auto"/>
              </w:rPr>
              <w:t>GLOSSARY OF TERMS</w:t>
            </w:r>
          </w:p>
        </w:tc>
      </w:tr>
      <w:tr>
        <w:trPr>
          <w:trHeight w:val="369"/>
        </w:trPr>
        <w:tc>
          <w:tcPr>
            <w:tcW w:w="11240" w:type="dxa"/>
            <w:vAlign w:val="bottom"/>
            <w:gridSpan w:val="2"/>
          </w:tcPr>
          <w:p>
            <w:pPr>
              <w:ind w:left="28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r>
      <w:tr>
        <w:trPr>
          <w:trHeight w:val="199"/>
        </w:trPr>
        <w:tc>
          <w:tcPr>
            <w:tcW w:w="2820" w:type="dxa"/>
            <w:vAlign w:val="bottom"/>
          </w:tcPr>
          <w:p>
            <w:pPr>
              <w:ind w:left="300"/>
              <w:spacing w:after="0" w:line="200" w:lineRule="exact"/>
              <w:rPr>
                <w:sz w:val="20"/>
                <w:szCs w:val="20"/>
                <w:color w:val="auto"/>
              </w:rPr>
            </w:pPr>
            <w:r>
              <w:rPr>
                <w:rFonts w:ascii="Arial" w:cs="Arial" w:eastAsia="Arial" w:hAnsi="Arial"/>
                <w:sz w:val="18"/>
                <w:szCs w:val="18"/>
                <w:color w:val="auto"/>
              </w:rPr>
              <w:t>2020 Convertible Notes</w:t>
            </w:r>
          </w:p>
        </w:tc>
        <w:tc>
          <w:tcPr>
            <w:tcW w:w="8420" w:type="dxa"/>
            <w:vAlign w:val="bottom"/>
          </w:tcPr>
          <w:p>
            <w:pPr>
              <w:ind w:left="440"/>
              <w:spacing w:after="0" w:line="200" w:lineRule="exact"/>
              <w:rPr>
                <w:sz w:val="20"/>
                <w:szCs w:val="20"/>
                <w:color w:val="auto"/>
              </w:rPr>
            </w:pPr>
            <w:r>
              <w:rPr>
                <w:rFonts w:ascii="Arial" w:cs="Arial" w:eastAsia="Arial" w:hAnsi="Arial"/>
                <w:sz w:val="18"/>
                <w:szCs w:val="18"/>
                <w:color w:val="auto"/>
                <w:w w:val="90"/>
              </w:rPr>
              <w:t>$45 million aggregate principal amount of 3.25% convertible notes due 2020, issued by Clearway Energy, Inc.,</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which were repaid on June 1, 2020</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2024 Senior Notes</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4"/>
              </w:rPr>
              <w:t>$500 million aggregate principal amount of 5.375% unsecured senior notes due 2024, issued by Clearway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Energy Operating LLC, which were repaid on January 3,2020</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2025 Senior Notes</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4"/>
              </w:rPr>
              <w:t>$600 million aggregate principal amount of 5.750% unsecured senior notes due 2025, issued by Clearway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Energy Operating LLC, which were repaid in March 2021</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2026 Senior Notes</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88"/>
              </w:rPr>
              <w:t>$350 million aggregate principal amount of 5.00% unsecured senior notes due 2026, issued by Clearway Energy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Operating LLC, which were repaid in October 2021</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2028 Senior Notes</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88"/>
              </w:rPr>
              <w:t>$850 million aggregate principal amount of 4.75% unsecured senior notes due 2028, issued by Clearway Energy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Operating LLC</w:t>
            </w:r>
          </w:p>
        </w:tc>
      </w:tr>
      <w:tr>
        <w:trPr>
          <w:trHeight w:val="344"/>
        </w:trPr>
        <w:tc>
          <w:tcPr>
            <w:tcW w:w="2820" w:type="dxa"/>
            <w:vAlign w:val="bottom"/>
          </w:tcPr>
          <w:p>
            <w:pPr>
              <w:ind w:left="300"/>
              <w:spacing w:after="0"/>
              <w:rPr>
                <w:sz w:val="20"/>
                <w:szCs w:val="20"/>
                <w:color w:val="auto"/>
              </w:rPr>
            </w:pPr>
            <w:r>
              <w:rPr>
                <w:rFonts w:ascii="Arial" w:cs="Arial" w:eastAsia="Arial" w:hAnsi="Arial"/>
                <w:sz w:val="18"/>
                <w:szCs w:val="18"/>
                <w:color w:val="auto"/>
              </w:rPr>
              <w:t>2031 Senior Notes</w:t>
            </w:r>
          </w:p>
        </w:tc>
        <w:tc>
          <w:tcPr>
            <w:tcW w:w="8420" w:type="dxa"/>
            <w:vAlign w:val="bottom"/>
          </w:tcPr>
          <w:p>
            <w:pPr>
              <w:ind w:left="440"/>
              <w:spacing w:after="0"/>
              <w:rPr>
                <w:sz w:val="20"/>
                <w:szCs w:val="20"/>
                <w:color w:val="auto"/>
              </w:rPr>
            </w:pPr>
            <w:r>
              <w:rPr>
                <w:rFonts w:ascii="Arial" w:cs="Arial" w:eastAsia="Arial" w:hAnsi="Arial"/>
                <w:sz w:val="18"/>
                <w:szCs w:val="18"/>
                <w:color w:val="auto"/>
                <w:w w:val="94"/>
              </w:rPr>
              <w:t>$925 million aggregate principal amount of 3.750% unsecured senior notes due 2031, issued by Clearway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Energy Operating LLC</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2032 Senior Notes</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4"/>
              </w:rPr>
              <w:t>$350 million aggregate principal amount of 3.750% unsecured senior notes due 2032, issued by Clearway</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Energy Operating LLC</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Adjusted EBITDA</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6"/>
              </w:rPr>
              <w:t>A non-GAAP measure, represents earnings before interest (including loss on debt extinguishment), tax,</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1"/>
              </w:rPr>
              <w:t>depreciation and amortization adjusted for mark-to-market gains or losses, asset write offs and impairments; and</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ARO</w:t>
            </w:r>
          </w:p>
        </w:tc>
        <w:tc>
          <w:tcPr>
            <w:tcW w:w="8420" w:type="dxa"/>
            <w:vAlign w:val="bottom"/>
          </w:tcPr>
          <w:p>
            <w:pPr>
              <w:ind w:left="440"/>
              <w:spacing w:after="0"/>
              <w:rPr>
                <w:sz w:val="20"/>
                <w:szCs w:val="20"/>
                <w:color w:val="auto"/>
              </w:rPr>
            </w:pPr>
            <w:r>
              <w:rPr>
                <w:rFonts w:ascii="Arial" w:cs="Arial" w:eastAsia="Arial" w:hAnsi="Arial"/>
                <w:sz w:val="18"/>
                <w:szCs w:val="18"/>
                <w:color w:val="auto"/>
              </w:rPr>
              <w:t>Asset Retirement Obligation</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ASC</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authoritative GAAP</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ASU</w:t>
            </w:r>
          </w:p>
        </w:tc>
        <w:tc>
          <w:tcPr>
            <w:tcW w:w="8420" w:type="dxa"/>
            <w:vAlign w:val="bottom"/>
          </w:tcPr>
          <w:p>
            <w:pPr>
              <w:ind w:left="440"/>
              <w:spacing w:after="0"/>
              <w:rPr>
                <w:sz w:val="20"/>
                <w:szCs w:val="20"/>
                <w:color w:val="auto"/>
              </w:rPr>
            </w:pPr>
            <w:r>
              <w:rPr>
                <w:rFonts w:ascii="Arial" w:cs="Arial" w:eastAsia="Arial" w:hAnsi="Arial"/>
                <w:sz w:val="18"/>
                <w:szCs w:val="18"/>
                <w:color w:val="auto"/>
              </w:rPr>
              <w:t>Accounting Standards Updates – updates to the ASC</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ATM Programs</w:t>
            </w:r>
          </w:p>
        </w:tc>
        <w:tc>
          <w:tcPr>
            <w:tcW w:w="8420" w:type="dxa"/>
            <w:vAlign w:val="bottom"/>
          </w:tcPr>
          <w:p>
            <w:pPr>
              <w:ind w:left="440"/>
              <w:spacing w:after="0"/>
              <w:rPr>
                <w:sz w:val="20"/>
                <w:szCs w:val="20"/>
                <w:color w:val="auto"/>
              </w:rPr>
            </w:pPr>
            <w:r>
              <w:rPr>
                <w:rFonts w:ascii="Arial" w:cs="Arial" w:eastAsia="Arial" w:hAnsi="Arial"/>
                <w:sz w:val="18"/>
                <w:szCs w:val="18"/>
                <w:color w:val="auto"/>
              </w:rPr>
              <w:t>At-The-Market Equity Offering Programs</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Bankruptcy Code</w:t>
            </w:r>
          </w:p>
        </w:tc>
        <w:tc>
          <w:tcPr>
            <w:tcW w:w="8420" w:type="dxa"/>
            <w:vAlign w:val="bottom"/>
          </w:tcPr>
          <w:p>
            <w:pPr>
              <w:ind w:left="440"/>
              <w:spacing w:after="0"/>
              <w:rPr>
                <w:sz w:val="20"/>
                <w:szCs w:val="20"/>
                <w:color w:val="auto"/>
              </w:rPr>
            </w:pPr>
            <w:r>
              <w:rPr>
                <w:rFonts w:ascii="Arial" w:cs="Arial" w:eastAsia="Arial" w:hAnsi="Arial"/>
                <w:sz w:val="18"/>
                <w:szCs w:val="18"/>
                <w:color w:val="auto"/>
              </w:rPr>
              <w:t>Title 11 of the U.S. Code</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Bankruptcy Court</w:t>
            </w:r>
          </w:p>
        </w:tc>
        <w:tc>
          <w:tcPr>
            <w:tcW w:w="8420" w:type="dxa"/>
            <w:vAlign w:val="bottom"/>
          </w:tcPr>
          <w:p>
            <w:pPr>
              <w:ind w:left="440"/>
              <w:spacing w:after="0"/>
              <w:rPr>
                <w:sz w:val="20"/>
                <w:szCs w:val="20"/>
                <w:color w:val="auto"/>
              </w:rPr>
            </w:pPr>
            <w:r>
              <w:rPr>
                <w:rFonts w:ascii="Arial" w:cs="Arial" w:eastAsia="Arial" w:hAnsi="Arial"/>
                <w:sz w:val="18"/>
                <w:szCs w:val="18"/>
                <w:color w:val="auto"/>
              </w:rPr>
              <w:t>U.S. Bankruptcy Court for the Northern District of California</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Bridge Loan Agreement</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provides a term</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loan facility in an aggregate principal amount of $335 million that will mature on November 29, 2022</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CAFD</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7"/>
              </w:rPr>
              <w:t>A non-GAAP measure, Cash Available for Distribution is defined as of December 31, 2021 as Adjusted</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2"/>
              </w:rPr>
              <w:t>EBITDA plus cash distributions/return of investment from unconsolidated affiliates, adjustments to reflect CAFD</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changes in prepaid and accrued capacity payments, and adjusted for development expenses.</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CARES Act</w:t>
            </w:r>
          </w:p>
        </w:tc>
        <w:tc>
          <w:tcPr>
            <w:tcW w:w="8420" w:type="dxa"/>
            <w:vAlign w:val="bottom"/>
          </w:tcPr>
          <w:p>
            <w:pPr>
              <w:ind w:left="440"/>
              <w:spacing w:after="0"/>
              <w:rPr>
                <w:sz w:val="20"/>
                <w:szCs w:val="20"/>
                <w:color w:val="auto"/>
              </w:rPr>
            </w:pPr>
            <w:r>
              <w:rPr>
                <w:rFonts w:ascii="Arial" w:cs="Arial" w:eastAsia="Arial" w:hAnsi="Arial"/>
                <w:sz w:val="18"/>
                <w:szCs w:val="18"/>
                <w:color w:val="auto"/>
              </w:rPr>
              <w:t>The Coronavirus Aid, Relief, and Economic Security Act</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Carlsbad Drop Down</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1"/>
              </w:rPr>
              <w:t>The acquisition by the Company of the Carlsbad Energy Center, a 527 MW natural gas-fired project located in</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Carlsbad, CA</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CEG</w:t>
            </w:r>
          </w:p>
        </w:tc>
        <w:tc>
          <w:tcPr>
            <w:tcW w:w="8420" w:type="dxa"/>
            <w:vAlign w:val="bottom"/>
          </w:tcPr>
          <w:p>
            <w:pPr>
              <w:ind w:left="44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w w:val="93"/>
              </w:rPr>
              <w:t>CEG Master Services Agreement</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Inc. and</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Clearway Energy Operating LLC, and CEG</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CEG ROFO Agreement</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1"/>
              </w:rPr>
              <w:t>LLC and Clearway Energy, Inc., and solely for purposes of Section 2.4, GIP III Zephyr Acquisition Partners, L.P.,</w:t>
            </w:r>
          </w:p>
        </w:tc>
      </w:tr>
      <w:tr>
        <w:trPr>
          <w:trHeight w:val="171"/>
        </w:trPr>
        <w:tc>
          <w:tcPr>
            <w:tcW w:w="2820" w:type="dxa"/>
            <w:vAlign w:val="bottom"/>
          </w:tcPr>
          <w:p>
            <w:pPr>
              <w:spacing w:after="0"/>
              <w:rPr>
                <w:sz w:val="14"/>
                <w:szCs w:val="14"/>
                <w:color w:val="auto"/>
              </w:rPr>
            </w:pPr>
          </w:p>
        </w:tc>
        <w:tc>
          <w:tcPr>
            <w:tcW w:w="8420" w:type="dxa"/>
            <w:vAlign w:val="bottom"/>
          </w:tcPr>
          <w:p>
            <w:pPr>
              <w:ind w:left="180"/>
              <w:spacing w:after="0" w:line="171" w:lineRule="exact"/>
              <w:rPr>
                <w:sz w:val="20"/>
                <w:szCs w:val="20"/>
                <w:color w:val="auto"/>
              </w:rPr>
            </w:pPr>
            <w:r>
              <w:rPr>
                <w:rFonts w:ascii="Arial" w:cs="Arial" w:eastAsia="Arial" w:hAnsi="Arial"/>
                <w:sz w:val="18"/>
                <w:szCs w:val="18"/>
                <w:color w:val="auto"/>
                <w:w w:val="90"/>
              </w:rPr>
              <w:t>as amended by the First Amendment dated February 14, 2019, the Second Amendment dated August 1, 2019, the</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Third Amendment dated December 6, 2019 and the Fourth Amendment dated November 2, 2020</w:t>
            </w:r>
          </w:p>
        </w:tc>
      </w:tr>
      <w:tr>
        <w:trPr>
          <w:trHeight w:val="224"/>
        </w:trPr>
        <w:tc>
          <w:tcPr>
            <w:tcW w:w="2820" w:type="dxa"/>
            <w:vAlign w:val="bottom"/>
          </w:tcPr>
          <w:p>
            <w:pPr>
              <w:ind w:left="300"/>
              <w:spacing w:after="0"/>
              <w:rPr>
                <w:sz w:val="20"/>
                <w:szCs w:val="20"/>
                <w:color w:val="auto"/>
              </w:rPr>
            </w:pPr>
            <w:r>
              <w:rPr>
                <w:rFonts w:ascii="Arial" w:cs="Arial" w:eastAsia="Arial" w:hAnsi="Arial"/>
                <w:sz w:val="18"/>
                <w:szCs w:val="18"/>
                <w:color w:val="auto"/>
              </w:rPr>
              <w:t>Clearway, Inc.</w:t>
            </w:r>
          </w:p>
        </w:tc>
        <w:tc>
          <w:tcPr>
            <w:tcW w:w="8420" w:type="dxa"/>
            <w:vAlign w:val="bottom"/>
          </w:tcPr>
          <w:p>
            <w:pPr>
              <w:ind w:left="440"/>
              <w:spacing w:after="0"/>
              <w:rPr>
                <w:sz w:val="20"/>
                <w:szCs w:val="20"/>
                <w:color w:val="auto"/>
              </w:rPr>
            </w:pPr>
            <w:r>
              <w:rPr>
                <w:rFonts w:ascii="Arial" w:cs="Arial" w:eastAsia="Arial" w:hAnsi="Arial"/>
                <w:sz w:val="18"/>
                <w:szCs w:val="18"/>
                <w:color w:val="auto"/>
              </w:rPr>
              <w:t>Clearway Energy, Inc., the holder of the Company's Class A and Class C units</w:t>
            </w:r>
          </w:p>
        </w:tc>
      </w:tr>
      <w:tr>
        <w:trPr>
          <w:trHeight w:val="173"/>
        </w:trPr>
        <w:tc>
          <w:tcPr>
            <w:tcW w:w="2820" w:type="dxa"/>
            <w:vAlign w:val="bottom"/>
          </w:tcPr>
          <w:p>
            <w:pPr>
              <w:ind w:left="300"/>
              <w:spacing w:after="0" w:line="173" w:lineRule="exact"/>
              <w:rPr>
                <w:sz w:val="20"/>
                <w:szCs w:val="20"/>
                <w:color w:val="auto"/>
              </w:rPr>
            </w:pPr>
            <w:r>
              <w:rPr>
                <w:rFonts w:ascii="Arial" w:cs="Arial" w:eastAsia="Arial" w:hAnsi="Arial"/>
                <w:sz w:val="18"/>
                <w:szCs w:val="18"/>
                <w:color w:val="auto"/>
              </w:rPr>
              <w:t>Clearway Energy Group LLC</w:t>
            </w:r>
          </w:p>
        </w:tc>
        <w:tc>
          <w:tcPr>
            <w:tcW w:w="8420" w:type="dxa"/>
            <w:vAlign w:val="bottom"/>
          </w:tcPr>
          <w:p>
            <w:pPr>
              <w:ind w:left="440"/>
              <w:spacing w:after="0" w:line="173" w:lineRule="exact"/>
              <w:rPr>
                <w:sz w:val="20"/>
                <w:szCs w:val="20"/>
                <w:color w:val="auto"/>
              </w:rPr>
            </w:pPr>
            <w:r>
              <w:rPr>
                <w:rFonts w:ascii="Arial" w:cs="Arial" w:eastAsia="Arial" w:hAnsi="Arial"/>
                <w:sz w:val="18"/>
                <w:szCs w:val="18"/>
                <w:color w:val="auto"/>
                <w:w w:val="88"/>
              </w:rPr>
              <w:t>The holder of all of Clearway, Inc.'s Class B and Class D common shares and the Company's Class B and Class</w:t>
            </w:r>
          </w:p>
        </w:tc>
      </w:tr>
      <w:tr>
        <w:trPr>
          <w:trHeight w:val="223"/>
        </w:trPr>
        <w:tc>
          <w:tcPr>
            <w:tcW w:w="282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w w:val="91"/>
              </w:rPr>
              <w:t>D units and, from time to time, possibly shares of Clearway Energy, Inc.'s Class A and/or Class C common stock</w:t>
            </w:r>
          </w:p>
        </w:tc>
      </w:tr>
      <w:tr>
        <w:trPr>
          <w:trHeight w:val="844"/>
        </w:trPr>
        <w:tc>
          <w:tcPr>
            <w:tcW w:w="2820" w:type="dxa"/>
            <w:vAlign w:val="bottom"/>
          </w:tcPr>
          <w:p>
            <w:pPr>
              <w:spacing w:after="0"/>
              <w:rPr>
                <w:sz w:val="24"/>
                <w:szCs w:val="24"/>
                <w:color w:val="auto"/>
              </w:rPr>
            </w:pPr>
          </w:p>
        </w:tc>
        <w:tc>
          <w:tcPr>
            <w:tcW w:w="8420" w:type="dxa"/>
            <w:vAlign w:val="bottom"/>
          </w:tcPr>
          <w:p>
            <w:pPr>
              <w:ind w:left="2760"/>
              <w:spacing w:after="0"/>
              <w:rPr>
                <w:sz w:val="20"/>
                <w:szCs w:val="20"/>
                <w:color w:val="auto"/>
              </w:rPr>
            </w:pPr>
            <w:r>
              <w:rPr>
                <w:rFonts w:ascii="Arial" w:cs="Arial" w:eastAsia="Arial" w:hAnsi="Arial"/>
                <w:sz w:val="18"/>
                <w:szCs w:val="18"/>
                <w:color w:val="auto"/>
              </w:rPr>
              <w:t>3</w:t>
            </w:r>
          </w:p>
        </w:tc>
      </w:tr>
      <w:tr>
        <w:trPr>
          <w:trHeight w:val="113"/>
        </w:trPr>
        <w:tc>
          <w:tcPr>
            <w:tcW w:w="2820" w:type="dxa"/>
            <w:vAlign w:val="bottom"/>
            <w:tcBorders>
              <w:bottom w:val="single" w:sz="8" w:color="9A9A9A"/>
            </w:tcBorders>
          </w:tcPr>
          <w:p>
            <w:pPr>
              <w:spacing w:after="0"/>
              <w:rPr>
                <w:sz w:val="9"/>
                <w:szCs w:val="9"/>
                <w:color w:val="auto"/>
              </w:rPr>
            </w:pPr>
          </w:p>
        </w:tc>
        <w:tc>
          <w:tcPr>
            <w:tcW w:w="8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580"/>
        <w:spacing w:after="0"/>
        <w:tabs>
          <w:tab w:leader="none" w:pos="3520" w:val="left"/>
        </w:tabs>
        <w:rPr>
          <w:sz w:val="20"/>
          <w:szCs w:val="20"/>
          <w:color w:val="auto"/>
        </w:rPr>
      </w:pPr>
      <w:r>
        <w:rPr>
          <w:rFonts w:ascii="Arial" w:cs="Arial" w:eastAsia="Arial" w:hAnsi="Arial"/>
          <w:sz w:val="18"/>
          <w:szCs w:val="18"/>
          <w:color w:val="auto"/>
        </w:rPr>
        <w:t>Clearway Energy Operating LLC</w:t>
      </w:r>
      <w:r>
        <w:rPr>
          <w:sz w:val="20"/>
          <w:szCs w:val="20"/>
          <w:color w:val="auto"/>
        </w:rPr>
        <w:tab/>
      </w:r>
      <w:r>
        <w:rPr>
          <w:rFonts w:ascii="Arial" w:cs="Arial" w:eastAsia="Arial" w:hAnsi="Arial"/>
          <w:sz w:val="15"/>
          <w:szCs w:val="15"/>
          <w:color w:val="auto"/>
        </w:rPr>
        <w:t>The holder of the project assets that are owned by the Company</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COD</w:t>
      </w:r>
      <w:r>
        <w:rPr>
          <w:sz w:val="20"/>
          <w:szCs w:val="20"/>
          <w:color w:val="auto"/>
        </w:rPr>
        <w:tab/>
      </w:r>
      <w:r>
        <w:rPr>
          <w:rFonts w:ascii="Arial" w:cs="Arial" w:eastAsia="Arial" w:hAnsi="Arial"/>
          <w:sz w:val="18"/>
          <w:szCs w:val="18"/>
          <w:color w:val="auto"/>
        </w:rPr>
        <w:t>Commercial Operation Date</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Code</w:t>
      </w:r>
      <w:r>
        <w:rPr>
          <w:sz w:val="20"/>
          <w:szCs w:val="20"/>
          <w:color w:val="auto"/>
        </w:rPr>
        <w:tab/>
      </w:r>
      <w:r>
        <w:rPr>
          <w:rFonts w:ascii="Arial" w:cs="Arial" w:eastAsia="Arial" w:hAnsi="Arial"/>
          <w:sz w:val="18"/>
          <w:szCs w:val="18"/>
          <w:color w:val="auto"/>
        </w:rPr>
        <w:t>Internal Revenue Code of 1986, as amended</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Clearway Energy LLC, together with its consolidated subsidiaries</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CVSR</w:t>
      </w:r>
      <w:r>
        <w:rPr>
          <w:sz w:val="20"/>
          <w:szCs w:val="20"/>
          <w:color w:val="auto"/>
        </w:rPr>
        <w:tab/>
      </w:r>
      <w:r>
        <w:rPr>
          <w:rFonts w:ascii="Arial" w:cs="Arial" w:eastAsia="Arial" w:hAnsi="Arial"/>
          <w:sz w:val="18"/>
          <w:szCs w:val="18"/>
          <w:color w:val="auto"/>
        </w:rPr>
        <w:t>California Valley Solar Ranch</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CVSR Holdco</w:t>
      </w:r>
      <w:r>
        <w:rPr>
          <w:sz w:val="20"/>
          <w:szCs w:val="20"/>
          <w:color w:val="auto"/>
        </w:rPr>
        <w:tab/>
      </w:r>
      <w:r>
        <w:rPr>
          <w:rFonts w:ascii="Arial" w:cs="Arial" w:eastAsia="Arial" w:hAnsi="Arial"/>
          <w:sz w:val="16"/>
          <w:szCs w:val="16"/>
          <w:color w:val="auto"/>
        </w:rPr>
        <w:t>CVSR Holdco LLC, the indirect owner of CVSR</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DGPV Holdco Entities</w:t>
      </w:r>
      <w:r>
        <w:rPr>
          <w:sz w:val="20"/>
          <w:szCs w:val="20"/>
          <w:color w:val="auto"/>
        </w:rPr>
        <w:tab/>
      </w:r>
      <w:r>
        <w:rPr>
          <w:rFonts w:ascii="Arial" w:cs="Arial" w:eastAsia="Arial" w:hAnsi="Arial"/>
          <w:sz w:val="16"/>
          <w:szCs w:val="16"/>
          <w:color w:val="auto"/>
        </w:rPr>
        <w:t>Collectively, DGPV Holdco 1, DGPV Holdco 2 and DGPV Holdco 3</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DGPV Holdco 1</w:t>
      </w:r>
      <w:r>
        <w:rPr>
          <w:sz w:val="20"/>
          <w:szCs w:val="20"/>
          <w:color w:val="auto"/>
        </w:rPr>
        <w:tab/>
      </w:r>
      <w:r>
        <w:rPr>
          <w:rFonts w:ascii="Arial" w:cs="Arial" w:eastAsia="Arial" w:hAnsi="Arial"/>
          <w:sz w:val="16"/>
          <w:szCs w:val="16"/>
          <w:color w:val="auto"/>
        </w:rPr>
        <w:t>DGPV Holdco 1 LLC</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DGPV Holdco 2</w:t>
      </w:r>
      <w:r>
        <w:rPr>
          <w:sz w:val="20"/>
          <w:szCs w:val="20"/>
          <w:color w:val="auto"/>
        </w:rPr>
        <w:tab/>
      </w:r>
      <w:r>
        <w:rPr>
          <w:rFonts w:ascii="Arial" w:cs="Arial" w:eastAsia="Arial" w:hAnsi="Arial"/>
          <w:sz w:val="16"/>
          <w:szCs w:val="16"/>
          <w:color w:val="auto"/>
        </w:rPr>
        <w:t>DGPV Holdco 2 LLC</w:t>
      </w:r>
    </w:p>
    <w:p>
      <w:pPr>
        <w:spacing w:after="0" w:line="17"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DGPV Holdco 3</w:t>
      </w:r>
      <w:r>
        <w:rPr>
          <w:sz w:val="20"/>
          <w:szCs w:val="20"/>
          <w:color w:val="auto"/>
        </w:rPr>
        <w:tab/>
      </w:r>
      <w:r>
        <w:rPr>
          <w:rFonts w:ascii="Arial" w:cs="Arial" w:eastAsia="Arial" w:hAnsi="Arial"/>
          <w:sz w:val="16"/>
          <w:szCs w:val="16"/>
          <w:color w:val="auto"/>
        </w:rPr>
        <w:t>DGPV Holdco 3 LLC</w:t>
      </w:r>
    </w:p>
    <w:p>
      <w:pPr>
        <w:ind w:left="580"/>
        <w:spacing w:after="0"/>
        <w:tabs>
          <w:tab w:leader="none" w:pos="3520" w:val="left"/>
        </w:tabs>
        <w:rPr>
          <w:sz w:val="20"/>
          <w:szCs w:val="20"/>
          <w:color w:val="auto"/>
        </w:rPr>
      </w:pPr>
      <w:r>
        <w:rPr>
          <w:rFonts w:ascii="Arial" w:cs="Arial" w:eastAsia="Arial" w:hAnsi="Arial"/>
          <w:sz w:val="18"/>
          <w:szCs w:val="18"/>
          <w:color w:val="auto"/>
        </w:rPr>
        <w:t>Distributed Solar</w:t>
      </w:r>
      <w:r>
        <w:rPr>
          <w:sz w:val="20"/>
          <w:szCs w:val="20"/>
          <w:color w:val="auto"/>
        </w:rPr>
        <w:tab/>
      </w:r>
      <w:r>
        <w:rPr>
          <w:rFonts w:ascii="Arial" w:cs="Arial" w:eastAsia="Arial" w:hAnsi="Arial"/>
          <w:sz w:val="16"/>
          <w:szCs w:val="16"/>
          <w:color w:val="auto"/>
        </w:rPr>
        <w:t>Solar power projects, typically less than 20 MW in size, that primarily sell power produced to customers f</w:t>
      </w:r>
    </w:p>
    <w:p>
      <w:pPr>
        <w:jc w:val="center"/>
        <w:ind w:left="860"/>
        <w:spacing w:after="0"/>
        <w:rPr>
          <w:sz w:val="20"/>
          <w:szCs w:val="20"/>
          <w:color w:val="auto"/>
        </w:rPr>
      </w:pPr>
      <w:r>
        <w:rPr>
          <w:rFonts w:ascii="Arial" w:cs="Arial" w:eastAsia="Arial" w:hAnsi="Arial"/>
          <w:sz w:val="18"/>
          <w:szCs w:val="18"/>
          <w:color w:val="auto"/>
        </w:rPr>
        <w:t>usage on site, or are interconnected to sell power into the local distribution grid</w:t>
      </w:r>
    </w:p>
    <w:p>
      <w:pPr>
        <w:ind w:left="580"/>
        <w:spacing w:after="0"/>
        <w:tabs>
          <w:tab w:leader="none" w:pos="3520" w:val="left"/>
        </w:tabs>
        <w:rPr>
          <w:sz w:val="20"/>
          <w:szCs w:val="20"/>
          <w:color w:val="auto"/>
        </w:rPr>
      </w:pPr>
      <w:r>
        <w:rPr>
          <w:rFonts w:ascii="Arial" w:cs="Arial" w:eastAsia="Arial" w:hAnsi="Arial"/>
          <w:sz w:val="18"/>
          <w:szCs w:val="18"/>
          <w:color w:val="auto"/>
        </w:rPr>
        <w:t>Drop Down Assets</w:t>
      </w:r>
      <w:r>
        <w:rPr>
          <w:sz w:val="20"/>
          <w:szCs w:val="20"/>
          <w:color w:val="auto"/>
        </w:rPr>
        <w:tab/>
      </w:r>
      <w:r>
        <w:rPr>
          <w:rFonts w:ascii="Arial" w:cs="Arial" w:eastAsia="Arial" w:hAnsi="Arial"/>
          <w:sz w:val="16"/>
          <w:szCs w:val="16"/>
          <w:color w:val="auto"/>
        </w:rPr>
        <w:t>Collectively, assets under common control acquired by the Company from NRG from January 1, 2014 throu</w:t>
      </w:r>
    </w:p>
    <w:p>
      <w:pPr>
        <w:spacing w:after="0" w:line="1" w:lineRule="exact"/>
        <w:rPr>
          <w:sz w:val="20"/>
          <w:szCs w:val="20"/>
          <w:color w:val="auto"/>
        </w:rPr>
      </w:pPr>
    </w:p>
    <w:p>
      <w:pPr>
        <w:ind w:left="3260"/>
        <w:spacing w:after="0" w:line="220" w:lineRule="auto"/>
        <w:rPr>
          <w:sz w:val="20"/>
          <w:szCs w:val="20"/>
          <w:color w:val="auto"/>
        </w:rPr>
      </w:pPr>
      <w:r>
        <w:rPr>
          <w:rFonts w:ascii="Arial" w:cs="Arial" w:eastAsia="Arial" w:hAnsi="Arial"/>
          <w:sz w:val="18"/>
          <w:szCs w:val="18"/>
          <w:color w:val="auto"/>
        </w:rPr>
        <w:t>the period ended August 31, 2018 and from CEG from August 31, 2018 through the period ended December 3 2021</w:t>
      </w:r>
    </w:p>
    <w:p>
      <w:pPr>
        <w:sectPr>
          <w:pgSz w:w="11900" w:h="16838" w:orient="portrait"/>
          <w:cols w:equalWidth="0" w:num="1">
            <w:col w:w="11340"/>
          </w:cols>
          <w:pgMar w:left="320" w:top="918" w:right="239" w:bottom="1440" w:gutter="0" w:footer="0" w:header="0"/>
        </w:sectPr>
      </w:pP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ECP</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EPA</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ERCOT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color w:val="auto"/>
        </w:rPr>
        <w:t>Energy Center Pittsburgh LLC, a subsidiary of the Company</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United States Environmental Protection Agency</w:t>
      </w:r>
    </w:p>
    <w:p>
      <w:pPr>
        <w:spacing w:after="0" w:line="96" w:lineRule="exact"/>
        <w:rPr>
          <w:sz w:val="20"/>
          <w:szCs w:val="20"/>
          <w:color w:val="auto"/>
        </w:rPr>
      </w:pPr>
    </w:p>
    <w:p>
      <w:pPr>
        <w:ind w:firstLine="277"/>
        <w:spacing w:after="0" w:line="228" w:lineRule="auto"/>
        <w:rPr>
          <w:sz w:val="20"/>
          <w:szCs w:val="20"/>
          <w:color w:val="auto"/>
        </w:rPr>
      </w:pPr>
      <w:r>
        <w:rPr>
          <w:rFonts w:ascii="Arial" w:cs="Arial" w:eastAsia="Arial" w:hAnsi="Arial"/>
          <w:sz w:val="18"/>
          <w:szCs w:val="18"/>
          <w:color w:val="auto"/>
        </w:rPr>
        <w:t>Electric Reliability Council of Texas, the ISO and the regional reliability coordinator of the various electrici systems within Texas</w:t>
      </w:r>
    </w:p>
    <w:p>
      <w:pPr>
        <w:spacing w:after="0" w:line="2" w:lineRule="exact"/>
        <w:rPr>
          <w:sz w:val="20"/>
          <w:szCs w:val="20"/>
          <w:color w:val="auto"/>
        </w:rPr>
      </w:pPr>
    </w:p>
    <w:p>
      <w:pPr>
        <w:sectPr>
          <w:pgSz w:w="11900" w:h="16838" w:orient="portrait"/>
          <w:cols w:equalWidth="0" w:num="2">
            <w:col w:w="2540" w:space="720"/>
            <w:col w:w="8080"/>
          </w:cols>
          <w:pgMar w:left="32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500" w:type="dxa"/>
            <w:vAlign w:val="bottom"/>
          </w:tcPr>
          <w:p>
            <w:pPr>
              <w:ind w:left="580"/>
              <w:spacing w:after="0"/>
              <w:rPr>
                <w:sz w:val="20"/>
                <w:szCs w:val="20"/>
                <w:color w:val="auto"/>
              </w:rPr>
            </w:pPr>
            <w:r>
              <w:rPr>
                <w:rFonts w:ascii="Arial" w:cs="Arial" w:eastAsia="Arial" w:hAnsi="Arial"/>
                <w:sz w:val="18"/>
                <w:szCs w:val="18"/>
                <w:color w:val="auto"/>
              </w:rPr>
              <w:t>EWG</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Exchange Act</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FASB</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FERC</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FPA</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Federal Power Act</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GAAP</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GenConn</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GHG</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Greenhouse gas</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GIM</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Global Infrastructure Management, LLC</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GIP</w:t>
            </w:r>
          </w:p>
        </w:tc>
        <w:tc>
          <w:tcPr>
            <w:tcW w:w="8840" w:type="dxa"/>
            <w:vAlign w:val="bottom"/>
            <w:gridSpan w:val="2"/>
            <w:vMerge w:val="restart"/>
          </w:tcPr>
          <w:p>
            <w:pPr>
              <w:ind w:left="104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8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500" w:type="dxa"/>
            <w:vAlign w:val="bottom"/>
          </w:tcPr>
          <w:p>
            <w:pPr>
              <w:ind w:left="580"/>
              <w:spacing w:after="0"/>
              <w:rPr>
                <w:sz w:val="20"/>
                <w:szCs w:val="20"/>
                <w:color w:val="auto"/>
              </w:rPr>
            </w:pPr>
            <w:r>
              <w:rPr>
                <w:rFonts w:ascii="Arial" w:cs="Arial" w:eastAsia="Arial" w:hAnsi="Arial"/>
                <w:sz w:val="18"/>
                <w:szCs w:val="18"/>
                <w:color w:val="auto"/>
              </w:rPr>
              <w:t>GIP Transaction</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8840" w:type="dxa"/>
            <w:vAlign w:val="bottom"/>
            <w:gridSpan w:val="2"/>
          </w:tcPr>
          <w:p>
            <w:pPr>
              <w:ind w:left="760"/>
              <w:spacing w:after="0" w:line="171" w:lineRule="exact"/>
              <w:rPr>
                <w:sz w:val="20"/>
                <w:szCs w:val="20"/>
                <w:color w:val="auto"/>
              </w:rPr>
            </w:pPr>
            <w:r>
              <w:rPr>
                <w:rFonts w:ascii="Arial" w:cs="Arial" w:eastAsia="Arial" w:hAnsi="Arial"/>
                <w:sz w:val="18"/>
                <w:szCs w:val="18"/>
                <w:color w:val="auto"/>
                <w:w w:val="89"/>
              </w:rPr>
              <w:t>LLC and subsequently sold 100% of its interests in Clearway Energy Group LLC, which includes NRG's renewab</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8840" w:type="dxa"/>
            <w:vAlign w:val="bottom"/>
            <w:gridSpan w:val="2"/>
          </w:tcPr>
          <w:p>
            <w:pPr>
              <w:ind w:left="760"/>
              <w:spacing w:after="0" w:line="171" w:lineRule="exact"/>
              <w:rPr>
                <w:sz w:val="20"/>
                <w:szCs w:val="20"/>
                <w:color w:val="auto"/>
              </w:rPr>
            </w:pPr>
            <w:r>
              <w:rPr>
                <w:rFonts w:ascii="Arial" w:cs="Arial" w:eastAsia="Arial" w:hAnsi="Arial"/>
                <w:sz w:val="18"/>
                <w:szCs w:val="18"/>
                <w:color w:val="auto"/>
                <w:w w:val="89"/>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8840" w:type="dxa"/>
            <w:vAlign w:val="bottom"/>
            <w:gridSpan w:val="2"/>
          </w:tcPr>
          <w:p>
            <w:pPr>
              <w:ind w:left="760"/>
              <w:spacing w:after="0" w:line="171" w:lineRule="exact"/>
              <w:rPr>
                <w:sz w:val="20"/>
                <w:szCs w:val="20"/>
                <w:color w:val="auto"/>
              </w:rPr>
            </w:pPr>
            <w:r>
              <w:rPr>
                <w:rFonts w:ascii="Arial" w:cs="Arial" w:eastAsia="Arial" w:hAnsi="Arial"/>
                <w:sz w:val="18"/>
                <w:szCs w:val="18"/>
                <w:color w:val="auto"/>
                <w:w w:val="93"/>
              </w:rPr>
              <w:t>consent and indemnity agreement in connection with the purchase and sale agreement, which was signed o</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8840" w:type="dxa"/>
            <w:vAlign w:val="bottom"/>
            <w:gridSpan w:val="2"/>
          </w:tcPr>
          <w:p>
            <w:pPr>
              <w:ind w:left="76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HLBV</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IRS</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Internal Revenue Service</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ISO</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Independent System Operator, also referred to as an RTO</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ITC</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KKR</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KKR Thor Bidco, LLC, an affiliate of Kohlberg Kravis Roberts &amp; Co. L.P.</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kWh</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Kilowatt Hour</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LIBOR</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MBTA</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Mesquite Star</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MMBtu</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Mt. Storm</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MW</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24"/>
        </w:trPr>
        <w:tc>
          <w:tcPr>
            <w:tcW w:w="2500" w:type="dxa"/>
            <w:vAlign w:val="bottom"/>
          </w:tcPr>
          <w:p>
            <w:pPr>
              <w:ind w:left="580"/>
              <w:spacing w:after="0"/>
              <w:rPr>
                <w:sz w:val="20"/>
                <w:szCs w:val="20"/>
                <w:color w:val="auto"/>
              </w:rPr>
            </w:pPr>
            <w:r>
              <w:rPr>
                <w:rFonts w:ascii="Arial" w:cs="Arial" w:eastAsia="Arial" w:hAnsi="Arial"/>
                <w:sz w:val="18"/>
                <w:szCs w:val="18"/>
                <w:color w:val="auto"/>
              </w:rPr>
              <w:t>MWh</w:t>
            </w:r>
          </w:p>
        </w:tc>
        <w:tc>
          <w:tcPr>
            <w:tcW w:w="8840" w:type="dxa"/>
            <w:vAlign w:val="bottom"/>
            <w:gridSpan w:val="2"/>
          </w:tcPr>
          <w:p>
            <w:pPr>
              <w:ind w:left="10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844"/>
        </w:trPr>
        <w:tc>
          <w:tcPr>
            <w:tcW w:w="2500" w:type="dxa"/>
            <w:vAlign w:val="bottom"/>
          </w:tcPr>
          <w:p>
            <w:pPr>
              <w:spacing w:after="0"/>
              <w:rPr>
                <w:sz w:val="24"/>
                <w:szCs w:val="24"/>
                <w:color w:val="auto"/>
              </w:rPr>
            </w:pPr>
          </w:p>
        </w:tc>
        <w:tc>
          <w:tcPr>
            <w:tcW w:w="8740" w:type="dxa"/>
            <w:vAlign w:val="bottom"/>
          </w:tcPr>
          <w:p>
            <w:pPr>
              <w:ind w:left="30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00" w:type="dxa"/>
            <w:vAlign w:val="bottom"/>
            <w:tcBorders>
              <w:bottom w:val="single" w:sz="8" w:color="9A9A9A"/>
            </w:tcBorders>
          </w:tcPr>
          <w:p>
            <w:pPr>
              <w:spacing w:after="0"/>
              <w:rPr>
                <w:sz w:val="9"/>
                <w:szCs w:val="9"/>
                <w:color w:val="auto"/>
              </w:rPr>
            </w:pPr>
          </w:p>
        </w:tc>
        <w:tc>
          <w:tcPr>
            <w:tcW w:w="87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MWt</w:t>
            </w:r>
          </w:p>
        </w:tc>
        <w:tc>
          <w:tcPr>
            <w:tcW w:w="8700" w:type="dxa"/>
            <w:vAlign w:val="bottom"/>
          </w:tcPr>
          <w:p>
            <w:pPr>
              <w:ind w:left="9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NEPA</w:t>
            </w:r>
          </w:p>
        </w:tc>
        <w:tc>
          <w:tcPr>
            <w:tcW w:w="8700" w:type="dxa"/>
            <w:vAlign w:val="bottom"/>
          </w:tcPr>
          <w:p>
            <w:pPr>
              <w:ind w:left="900"/>
              <w:spacing w:after="0"/>
              <w:rPr>
                <w:sz w:val="20"/>
                <w:szCs w:val="20"/>
                <w:color w:val="auto"/>
              </w:rPr>
            </w:pPr>
            <w:r>
              <w:rPr>
                <w:rFonts w:ascii="Arial" w:cs="Arial" w:eastAsia="Arial" w:hAnsi="Arial"/>
                <w:sz w:val="18"/>
                <w:szCs w:val="18"/>
                <w:color w:val="auto"/>
              </w:rPr>
              <w:t>National Environmental Policy Act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NERC</w:t>
            </w:r>
          </w:p>
        </w:tc>
        <w:tc>
          <w:tcPr>
            <w:tcW w:w="8700" w:type="dxa"/>
            <w:vAlign w:val="bottom"/>
          </w:tcPr>
          <w:p>
            <w:pPr>
              <w:ind w:left="90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Net Exposure</w:t>
            </w:r>
          </w:p>
        </w:tc>
        <w:tc>
          <w:tcPr>
            <w:tcW w:w="8700" w:type="dxa"/>
            <w:vAlign w:val="bottom"/>
          </w:tcPr>
          <w:p>
            <w:pPr>
              <w:ind w:left="900"/>
              <w:spacing w:after="0"/>
              <w:rPr>
                <w:sz w:val="20"/>
                <w:szCs w:val="20"/>
                <w:color w:val="auto"/>
              </w:rPr>
            </w:pPr>
            <w:r>
              <w:rPr>
                <w:rFonts w:ascii="Arial" w:cs="Arial" w:eastAsia="Arial" w:hAnsi="Arial"/>
                <w:sz w:val="18"/>
                <w:szCs w:val="18"/>
                <w:color w:val="auto"/>
              </w:rPr>
              <w:t>Counterparty credit exposure to Clearway Energy LLC, net of collateral</w:t>
            </w:r>
          </w:p>
        </w:tc>
        <w:tc>
          <w:tcPr>
            <w:tcW w:w="0" w:type="dxa"/>
            <w:vAlign w:val="bottom"/>
          </w:tcPr>
          <w:p>
            <w:pPr>
              <w:spacing w:after="0"/>
              <w:rPr>
                <w:sz w:val="1"/>
                <w:szCs w:val="1"/>
                <w:color w:val="auto"/>
              </w:rPr>
            </w:pPr>
          </w:p>
        </w:tc>
      </w:tr>
      <w:tr>
        <w:trPr>
          <w:trHeight w:val="226"/>
        </w:trPr>
        <w:tc>
          <w:tcPr>
            <w:tcW w:w="2060" w:type="dxa"/>
            <w:vAlign w:val="bottom"/>
          </w:tcPr>
          <w:p>
            <w:pPr>
              <w:spacing w:after="0" w:line="226" w:lineRule="exact"/>
              <w:rPr>
                <w:sz w:val="20"/>
                <w:szCs w:val="20"/>
                <w:color w:val="auto"/>
              </w:rPr>
            </w:pPr>
            <w:r>
              <w:rPr>
                <w:rFonts w:ascii="Arial" w:cs="Arial" w:eastAsia="Arial" w:hAnsi="Arial"/>
                <w:sz w:val="18"/>
                <w:szCs w:val="18"/>
                <w:color w:val="auto"/>
              </w:rPr>
              <w:t>NO</w:t>
            </w:r>
            <w:r>
              <w:rPr>
                <w:rFonts w:ascii="Arial" w:cs="Arial" w:eastAsia="Arial" w:hAnsi="Arial"/>
                <w:sz w:val="22"/>
                <w:szCs w:val="22"/>
                <w:color w:val="auto"/>
                <w:vertAlign w:val="subscript"/>
              </w:rPr>
              <w:t>x</w:t>
            </w:r>
          </w:p>
        </w:tc>
        <w:tc>
          <w:tcPr>
            <w:tcW w:w="8700" w:type="dxa"/>
            <w:vAlign w:val="bottom"/>
          </w:tcPr>
          <w:p>
            <w:pPr>
              <w:ind w:left="90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NPNS</w:t>
            </w:r>
          </w:p>
        </w:tc>
        <w:tc>
          <w:tcPr>
            <w:tcW w:w="8700" w:type="dxa"/>
            <w:vAlign w:val="bottom"/>
          </w:tcPr>
          <w:p>
            <w:pPr>
              <w:ind w:left="90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NPPD</w:t>
            </w:r>
          </w:p>
        </w:tc>
        <w:tc>
          <w:tcPr>
            <w:tcW w:w="8700" w:type="dxa"/>
            <w:vAlign w:val="bottom"/>
          </w:tcPr>
          <w:p>
            <w:pPr>
              <w:ind w:left="90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NRG</w:t>
            </w:r>
          </w:p>
        </w:tc>
        <w:tc>
          <w:tcPr>
            <w:tcW w:w="8700" w:type="dxa"/>
            <w:vAlign w:val="bottom"/>
          </w:tcPr>
          <w:p>
            <w:pPr>
              <w:ind w:left="90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OCI/OCL</w:t>
            </w:r>
          </w:p>
        </w:tc>
        <w:tc>
          <w:tcPr>
            <w:tcW w:w="8700" w:type="dxa"/>
            <w:vAlign w:val="bottom"/>
          </w:tcPr>
          <w:p>
            <w:pPr>
              <w:ind w:left="90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O&amp;M</w:t>
            </w:r>
          </w:p>
        </w:tc>
        <w:tc>
          <w:tcPr>
            <w:tcW w:w="8700" w:type="dxa"/>
            <w:vAlign w:val="bottom"/>
          </w:tcPr>
          <w:p>
            <w:pPr>
              <w:ind w:left="90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PG&amp;E</w:t>
            </w:r>
          </w:p>
        </w:tc>
        <w:tc>
          <w:tcPr>
            <w:tcW w:w="8700" w:type="dxa"/>
            <w:vAlign w:val="bottom"/>
          </w:tcPr>
          <w:p>
            <w:pPr>
              <w:ind w:left="9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PG&amp;E Bankruptcy</w:t>
            </w:r>
          </w:p>
        </w:tc>
        <w:tc>
          <w:tcPr>
            <w:tcW w:w="8700" w:type="dxa"/>
            <w:vAlign w:val="bottom"/>
            <w:vMerge w:val="restart"/>
          </w:tcPr>
          <w:p>
            <w:pPr>
              <w:ind w:left="900"/>
              <w:spacing w:after="0"/>
              <w:rPr>
                <w:sz w:val="20"/>
                <w:szCs w:val="20"/>
                <w:color w:val="auto"/>
              </w:rPr>
            </w:pPr>
            <w:r>
              <w:rPr>
                <w:rFonts w:ascii="Arial" w:cs="Arial" w:eastAsia="Arial" w:hAnsi="Arial"/>
                <w:sz w:val="18"/>
                <w:szCs w:val="18"/>
                <w:color w:val="auto"/>
                <w:w w:val="92"/>
              </w:rPr>
              <w:t>On January 29, 2019, PG&amp;E Corporation and Pacific Gas and Electric Company filed voluntary petitions f</w:t>
            </w:r>
          </w:p>
        </w:tc>
        <w:tc>
          <w:tcPr>
            <w:tcW w:w="0" w:type="dxa"/>
            <w:vAlign w:val="bottom"/>
          </w:tcPr>
          <w:p>
            <w:pPr>
              <w:spacing w:after="0"/>
              <w:rPr>
                <w:sz w:val="1"/>
                <w:szCs w:val="1"/>
                <w:color w:val="auto"/>
              </w:rPr>
            </w:pPr>
          </w:p>
        </w:tc>
      </w:tr>
      <w:tr>
        <w:trPr>
          <w:trHeight w:val="41"/>
        </w:trPr>
        <w:tc>
          <w:tcPr>
            <w:tcW w:w="2060" w:type="dxa"/>
            <w:vAlign w:val="bottom"/>
          </w:tcPr>
          <w:p>
            <w:pPr>
              <w:spacing w:after="0"/>
              <w:rPr>
                <w:sz w:val="3"/>
                <w:szCs w:val="3"/>
                <w:color w:val="auto"/>
              </w:rPr>
            </w:pPr>
          </w:p>
        </w:tc>
        <w:tc>
          <w:tcPr>
            <w:tcW w:w="8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700" w:type="dxa"/>
            <w:vAlign w:val="bottom"/>
          </w:tcPr>
          <w:p>
            <w:pPr>
              <w:ind w:left="620"/>
              <w:spacing w:after="0" w:line="171" w:lineRule="exact"/>
              <w:rPr>
                <w:sz w:val="20"/>
                <w:szCs w:val="20"/>
                <w:color w:val="auto"/>
              </w:rPr>
            </w:pPr>
            <w:r>
              <w:rPr>
                <w:rFonts w:ascii="Arial" w:cs="Arial" w:eastAsia="Arial" w:hAnsi="Arial"/>
                <w:sz w:val="18"/>
                <w:szCs w:val="18"/>
                <w:color w:val="auto"/>
                <w:w w:val="93"/>
              </w:rPr>
              <w:t>relief under the Bankruptcy Code in the U.S. Bankruptcy Court for the Northern District of California. On July</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2020 PG&amp;E emerged from bankruptcy.</w:t>
            </w:r>
          </w:p>
        </w:tc>
        <w:tc>
          <w:tcPr>
            <w:tcW w:w="0" w:type="dxa"/>
            <w:vAlign w:val="bottom"/>
          </w:tcPr>
          <w:p>
            <w:pPr>
              <w:spacing w:after="0"/>
              <w:rPr>
                <w:sz w:val="1"/>
                <w:szCs w:val="1"/>
                <w:color w:val="auto"/>
              </w:rPr>
            </w:pPr>
          </w:p>
        </w:tc>
      </w:tr>
      <w:tr>
        <w:trPr>
          <w:trHeight w:val="303"/>
        </w:trPr>
        <w:tc>
          <w:tcPr>
            <w:tcW w:w="2060" w:type="dxa"/>
            <w:vAlign w:val="bottom"/>
          </w:tcPr>
          <w:p>
            <w:pPr>
              <w:spacing w:after="0"/>
              <w:rPr>
                <w:sz w:val="20"/>
                <w:szCs w:val="20"/>
                <w:color w:val="auto"/>
              </w:rPr>
            </w:pPr>
            <w:r>
              <w:rPr>
                <w:rFonts w:ascii="Arial" w:cs="Arial" w:eastAsia="Arial" w:hAnsi="Arial"/>
                <w:sz w:val="18"/>
                <w:szCs w:val="18"/>
                <w:color w:val="auto"/>
              </w:rPr>
              <w:t>PJM</w:t>
            </w:r>
          </w:p>
        </w:tc>
        <w:tc>
          <w:tcPr>
            <w:tcW w:w="8700" w:type="dxa"/>
            <w:vAlign w:val="bottom"/>
          </w:tcPr>
          <w:p>
            <w:pPr>
              <w:ind w:left="90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PPA</w:t>
            </w:r>
          </w:p>
        </w:tc>
        <w:tc>
          <w:tcPr>
            <w:tcW w:w="8700" w:type="dxa"/>
            <w:vAlign w:val="bottom"/>
          </w:tcPr>
          <w:p>
            <w:pPr>
              <w:ind w:left="9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PTC</w:t>
            </w:r>
          </w:p>
        </w:tc>
        <w:tc>
          <w:tcPr>
            <w:tcW w:w="8700" w:type="dxa"/>
            <w:vAlign w:val="bottom"/>
          </w:tcPr>
          <w:p>
            <w:pPr>
              <w:ind w:left="90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PUCT</w:t>
            </w:r>
          </w:p>
        </w:tc>
        <w:tc>
          <w:tcPr>
            <w:tcW w:w="8700" w:type="dxa"/>
            <w:vAlign w:val="bottom"/>
          </w:tcPr>
          <w:p>
            <w:pPr>
              <w:ind w:left="90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PUHCA</w:t>
            </w:r>
          </w:p>
        </w:tc>
        <w:tc>
          <w:tcPr>
            <w:tcW w:w="8700" w:type="dxa"/>
            <w:vAlign w:val="bottom"/>
          </w:tcPr>
          <w:p>
            <w:pPr>
              <w:ind w:left="90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PURPA</w:t>
            </w:r>
          </w:p>
        </w:tc>
        <w:tc>
          <w:tcPr>
            <w:tcW w:w="8700" w:type="dxa"/>
            <w:vAlign w:val="bottom"/>
          </w:tcPr>
          <w:p>
            <w:pPr>
              <w:ind w:left="90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QF</w:t>
            </w:r>
          </w:p>
        </w:tc>
        <w:tc>
          <w:tcPr>
            <w:tcW w:w="8700" w:type="dxa"/>
            <w:vAlign w:val="bottom"/>
          </w:tcPr>
          <w:p>
            <w:pPr>
              <w:ind w:left="90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RENOM</w:t>
            </w:r>
          </w:p>
        </w:tc>
        <w:tc>
          <w:tcPr>
            <w:tcW w:w="8700" w:type="dxa"/>
            <w:vAlign w:val="bottom"/>
          </w:tcPr>
          <w:p>
            <w:pPr>
              <w:ind w:left="9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396"/>
        </w:trPr>
        <w:tc>
          <w:tcPr>
            <w:tcW w:w="2060" w:type="dxa"/>
            <w:vAlign w:val="bottom"/>
          </w:tcPr>
          <w:p>
            <w:pPr>
              <w:spacing w:after="0"/>
              <w:rPr>
                <w:sz w:val="20"/>
                <w:szCs w:val="20"/>
                <w:color w:val="auto"/>
              </w:rPr>
            </w:pPr>
            <w:r>
              <w:rPr>
                <w:rFonts w:ascii="Arial" w:cs="Arial" w:eastAsia="Arial" w:hAnsi="Arial"/>
                <w:sz w:val="18"/>
                <w:szCs w:val="18"/>
                <w:color w:val="auto"/>
              </w:rPr>
              <w:t>ROFO</w:t>
            </w:r>
          </w:p>
        </w:tc>
        <w:tc>
          <w:tcPr>
            <w:tcW w:w="8700" w:type="dxa"/>
            <w:vAlign w:val="bottom"/>
          </w:tcPr>
          <w:p>
            <w:pPr>
              <w:ind w:left="90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396"/>
        </w:trPr>
        <w:tc>
          <w:tcPr>
            <w:tcW w:w="2060" w:type="dxa"/>
            <w:vAlign w:val="bottom"/>
          </w:tcPr>
          <w:p>
            <w:pPr>
              <w:spacing w:after="0"/>
              <w:rPr>
                <w:sz w:val="20"/>
                <w:szCs w:val="20"/>
                <w:color w:val="auto"/>
              </w:rPr>
            </w:pPr>
            <w:r>
              <w:rPr>
                <w:rFonts w:ascii="Arial" w:cs="Arial" w:eastAsia="Arial" w:hAnsi="Arial"/>
                <w:sz w:val="18"/>
                <w:szCs w:val="18"/>
                <w:color w:val="auto"/>
              </w:rPr>
              <w:t>RPS</w:t>
            </w:r>
          </w:p>
        </w:tc>
        <w:tc>
          <w:tcPr>
            <w:tcW w:w="8700" w:type="dxa"/>
            <w:vAlign w:val="bottom"/>
          </w:tcPr>
          <w:p>
            <w:pPr>
              <w:ind w:left="90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RPV Holdco</w:t>
            </w:r>
          </w:p>
        </w:tc>
        <w:tc>
          <w:tcPr>
            <w:tcW w:w="8700" w:type="dxa"/>
            <w:vAlign w:val="bottom"/>
          </w:tcPr>
          <w:p>
            <w:pPr>
              <w:ind w:left="90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RTO</w:t>
            </w:r>
          </w:p>
        </w:tc>
        <w:tc>
          <w:tcPr>
            <w:tcW w:w="8700" w:type="dxa"/>
            <w:vAlign w:val="bottom"/>
          </w:tcPr>
          <w:p>
            <w:pPr>
              <w:ind w:left="90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SCE</w:t>
            </w:r>
          </w:p>
        </w:tc>
        <w:tc>
          <w:tcPr>
            <w:tcW w:w="8700" w:type="dxa"/>
            <w:vAlign w:val="bottom"/>
          </w:tcPr>
          <w:p>
            <w:pPr>
              <w:ind w:left="90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SEC</w:t>
            </w:r>
          </w:p>
        </w:tc>
        <w:tc>
          <w:tcPr>
            <w:tcW w:w="8700" w:type="dxa"/>
            <w:vAlign w:val="bottom"/>
          </w:tcPr>
          <w:p>
            <w:pPr>
              <w:ind w:left="9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Senior Notes</w:t>
            </w:r>
          </w:p>
        </w:tc>
        <w:tc>
          <w:tcPr>
            <w:tcW w:w="8700" w:type="dxa"/>
            <w:vAlign w:val="bottom"/>
          </w:tcPr>
          <w:p>
            <w:pPr>
              <w:ind w:left="900"/>
              <w:spacing w:after="0"/>
              <w:rPr>
                <w:sz w:val="20"/>
                <w:szCs w:val="20"/>
                <w:color w:val="auto"/>
              </w:rPr>
            </w:pPr>
            <w:r>
              <w:rPr>
                <w:rFonts w:ascii="Arial" w:cs="Arial" w:eastAsia="Arial" w:hAnsi="Arial"/>
                <w:sz w:val="18"/>
                <w:szCs w:val="18"/>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226"/>
        </w:trPr>
        <w:tc>
          <w:tcPr>
            <w:tcW w:w="2060" w:type="dxa"/>
            <w:vAlign w:val="bottom"/>
          </w:tcPr>
          <w:p>
            <w:pPr>
              <w:spacing w:after="0" w:line="226" w:lineRule="exact"/>
              <w:rPr>
                <w:sz w:val="20"/>
                <w:szCs w:val="20"/>
                <w:color w:val="auto"/>
              </w:rPr>
            </w:pPr>
            <w:r>
              <w:rPr>
                <w:rFonts w:ascii="Arial" w:cs="Arial" w:eastAsia="Arial" w:hAnsi="Arial"/>
                <w:sz w:val="18"/>
                <w:szCs w:val="18"/>
                <w:color w:val="auto"/>
              </w:rPr>
              <w:t>SO</w:t>
            </w:r>
            <w:r>
              <w:rPr>
                <w:rFonts w:ascii="Arial" w:cs="Arial" w:eastAsia="Arial" w:hAnsi="Arial"/>
                <w:sz w:val="22"/>
                <w:szCs w:val="22"/>
                <w:color w:val="auto"/>
                <w:vertAlign w:val="subscript"/>
              </w:rPr>
              <w:t>2</w:t>
            </w:r>
          </w:p>
        </w:tc>
        <w:tc>
          <w:tcPr>
            <w:tcW w:w="8700" w:type="dxa"/>
            <w:vAlign w:val="bottom"/>
          </w:tcPr>
          <w:p>
            <w:pPr>
              <w:ind w:left="90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SOFR</w:t>
            </w:r>
          </w:p>
        </w:tc>
        <w:tc>
          <w:tcPr>
            <w:tcW w:w="8700" w:type="dxa"/>
            <w:vAlign w:val="bottom"/>
          </w:tcPr>
          <w:p>
            <w:pPr>
              <w:ind w:left="90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SREC</w:t>
            </w:r>
          </w:p>
        </w:tc>
        <w:tc>
          <w:tcPr>
            <w:tcW w:w="8700" w:type="dxa"/>
            <w:vAlign w:val="bottom"/>
          </w:tcPr>
          <w:p>
            <w:pPr>
              <w:ind w:left="9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Tax Act</w:t>
            </w:r>
          </w:p>
        </w:tc>
        <w:tc>
          <w:tcPr>
            <w:tcW w:w="8700" w:type="dxa"/>
            <w:vAlign w:val="bottom"/>
          </w:tcPr>
          <w:p>
            <w:pPr>
              <w:ind w:left="90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3"/>
        </w:trPr>
        <w:tc>
          <w:tcPr>
            <w:tcW w:w="2060" w:type="dxa"/>
            <w:vAlign w:val="bottom"/>
          </w:tcPr>
          <w:p>
            <w:pPr>
              <w:spacing w:after="0" w:line="173" w:lineRule="exact"/>
              <w:rPr>
                <w:sz w:val="20"/>
                <w:szCs w:val="20"/>
                <w:color w:val="auto"/>
              </w:rPr>
            </w:pPr>
            <w:r>
              <w:rPr>
                <w:rFonts w:ascii="Arial" w:cs="Arial" w:eastAsia="Arial" w:hAnsi="Arial"/>
                <w:sz w:val="18"/>
                <w:szCs w:val="18"/>
                <w:color w:val="auto"/>
              </w:rPr>
              <w:t>Thermal Business</w:t>
            </w:r>
          </w:p>
        </w:tc>
        <w:tc>
          <w:tcPr>
            <w:tcW w:w="8700" w:type="dxa"/>
            <w:vAlign w:val="bottom"/>
          </w:tcPr>
          <w:p>
            <w:pPr>
              <w:ind w:left="900"/>
              <w:spacing w:after="0" w:line="173" w:lineRule="exact"/>
              <w:rPr>
                <w:sz w:val="20"/>
                <w:szCs w:val="20"/>
                <w:color w:val="auto"/>
              </w:rPr>
            </w:pPr>
            <w:r>
              <w:rPr>
                <w:rFonts w:ascii="Arial" w:cs="Arial" w:eastAsia="Arial" w:hAnsi="Arial"/>
                <w:sz w:val="18"/>
                <w:szCs w:val="18"/>
                <w:color w:val="auto"/>
                <w:w w:val="89"/>
              </w:rPr>
              <w:t>The Company's thermal business, which consists of thermal infrastructure assets that provide steam, hot wat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700" w:type="dxa"/>
            <w:vAlign w:val="bottom"/>
          </w:tcPr>
          <w:p>
            <w:pPr>
              <w:ind w:left="620"/>
              <w:spacing w:after="0" w:line="171" w:lineRule="exact"/>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173"/>
        </w:trPr>
        <w:tc>
          <w:tcPr>
            <w:tcW w:w="2060" w:type="dxa"/>
            <w:vAlign w:val="bottom"/>
          </w:tcPr>
          <w:p>
            <w:pPr>
              <w:spacing w:after="0" w:line="173" w:lineRule="exact"/>
              <w:rPr>
                <w:sz w:val="20"/>
                <w:szCs w:val="20"/>
                <w:color w:val="auto"/>
              </w:rPr>
            </w:pPr>
            <w:r>
              <w:rPr>
                <w:rFonts w:ascii="Arial" w:cs="Arial" w:eastAsia="Arial" w:hAnsi="Arial"/>
                <w:sz w:val="18"/>
                <w:szCs w:val="18"/>
                <w:color w:val="auto"/>
              </w:rPr>
              <w:t>Thermal Disposition</w:t>
            </w:r>
          </w:p>
        </w:tc>
        <w:tc>
          <w:tcPr>
            <w:tcW w:w="8700" w:type="dxa"/>
            <w:vAlign w:val="bottom"/>
          </w:tcPr>
          <w:p>
            <w:pPr>
              <w:ind w:left="900"/>
              <w:spacing w:after="0" w:line="173" w:lineRule="exact"/>
              <w:rPr>
                <w:sz w:val="20"/>
                <w:szCs w:val="20"/>
                <w:color w:val="auto"/>
              </w:rPr>
            </w:pPr>
            <w:r>
              <w:rPr>
                <w:rFonts w:ascii="Arial" w:cs="Arial" w:eastAsia="Arial" w:hAnsi="Arial"/>
                <w:sz w:val="18"/>
                <w:szCs w:val="18"/>
                <w:color w:val="auto"/>
                <w:w w:val="92"/>
              </w:rPr>
              <w:t>On October 22, 2021, Clearway Energy Operating LLC entered into a binding agreement to sell the Therm</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Business to KKR</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U.S.</w:t>
            </w:r>
          </w:p>
        </w:tc>
        <w:tc>
          <w:tcPr>
            <w:tcW w:w="870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U.S. DOE</w:t>
            </w:r>
          </w:p>
        </w:tc>
        <w:tc>
          <w:tcPr>
            <w:tcW w:w="8700" w:type="dxa"/>
            <w:vAlign w:val="bottom"/>
          </w:tcPr>
          <w:p>
            <w:pPr>
              <w:ind w:left="900"/>
              <w:spacing w:after="0"/>
              <w:rPr>
                <w:sz w:val="20"/>
                <w:szCs w:val="20"/>
                <w:color w:val="auto"/>
              </w:rPr>
            </w:pPr>
            <w:r>
              <w:rPr>
                <w:rFonts w:ascii="Arial" w:cs="Arial" w:eastAsia="Arial" w:hAnsi="Arial"/>
                <w:sz w:val="18"/>
                <w:szCs w:val="18"/>
                <w:color w:val="auto"/>
              </w:rPr>
              <w:t>U.S. Department of Energy</w:t>
            </w:r>
          </w:p>
        </w:tc>
        <w:tc>
          <w:tcPr>
            <w:tcW w:w="0" w:type="dxa"/>
            <w:vAlign w:val="bottom"/>
          </w:tcPr>
          <w:p>
            <w:pPr>
              <w:spacing w:after="0"/>
              <w:rPr>
                <w:sz w:val="1"/>
                <w:szCs w:val="1"/>
                <w:color w:val="auto"/>
              </w:rPr>
            </w:pPr>
          </w:p>
        </w:tc>
      </w:tr>
      <w:tr>
        <w:trPr>
          <w:trHeight w:val="173"/>
        </w:trPr>
        <w:tc>
          <w:tcPr>
            <w:tcW w:w="2060" w:type="dxa"/>
            <w:vAlign w:val="bottom"/>
          </w:tcPr>
          <w:p>
            <w:pPr>
              <w:spacing w:after="0" w:line="173" w:lineRule="exact"/>
              <w:rPr>
                <w:sz w:val="20"/>
                <w:szCs w:val="20"/>
                <w:color w:val="auto"/>
              </w:rPr>
            </w:pPr>
            <w:r>
              <w:rPr>
                <w:rFonts w:ascii="Arial" w:cs="Arial" w:eastAsia="Arial" w:hAnsi="Arial"/>
                <w:sz w:val="18"/>
                <w:szCs w:val="18"/>
                <w:color w:val="auto"/>
              </w:rPr>
              <w:t>Utah Solar Portfolio</w:t>
            </w:r>
          </w:p>
        </w:tc>
        <w:tc>
          <w:tcPr>
            <w:tcW w:w="8700" w:type="dxa"/>
            <w:vAlign w:val="bottom"/>
          </w:tcPr>
          <w:p>
            <w:pPr>
              <w:ind w:left="900"/>
              <w:spacing w:after="0" w:line="173" w:lineRule="exact"/>
              <w:rPr>
                <w:sz w:val="20"/>
                <w:szCs w:val="20"/>
                <w:color w:val="auto"/>
              </w:rPr>
            </w:pPr>
            <w:r>
              <w:rPr>
                <w:rFonts w:ascii="Arial" w:cs="Arial" w:eastAsia="Arial" w:hAnsi="Arial"/>
                <w:sz w:val="18"/>
                <w:szCs w:val="18"/>
                <w:color w:val="auto"/>
                <w:w w:val="91"/>
              </w:rPr>
              <w:t>Collection consists of Four Brothers Solar, LLC, Granite Mountain Holdings, LLC, and Iron Springs Holding</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700" w:type="dxa"/>
            <w:vAlign w:val="bottom"/>
          </w:tcPr>
          <w:p>
            <w:pPr>
              <w:ind w:left="620"/>
              <w:spacing w:after="0" w:line="171" w:lineRule="exact"/>
              <w:rPr>
                <w:sz w:val="20"/>
                <w:szCs w:val="20"/>
                <w:color w:val="auto"/>
              </w:rPr>
            </w:pPr>
            <w:r>
              <w:rPr>
                <w:rFonts w:ascii="Arial" w:cs="Arial" w:eastAsia="Arial" w:hAnsi="Arial"/>
                <w:sz w:val="18"/>
                <w:szCs w:val="18"/>
                <w:color w:val="auto"/>
                <w:w w:val="90"/>
              </w:rPr>
              <w:t>LLC, which are equity investments owned by Four Brothers Capital, LLC, Granite Mountain Capital, LLC, and Iro</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Springs Capital, LLC, respectively</w:t>
            </w:r>
          </w:p>
        </w:tc>
        <w:tc>
          <w:tcPr>
            <w:tcW w:w="0" w:type="dxa"/>
            <w:vAlign w:val="bottom"/>
          </w:tcPr>
          <w:p>
            <w:pPr>
              <w:spacing w:after="0"/>
              <w:rPr>
                <w:sz w:val="1"/>
                <w:szCs w:val="1"/>
                <w:color w:val="auto"/>
              </w:rPr>
            </w:pPr>
          </w:p>
        </w:tc>
      </w:tr>
      <w:tr>
        <w:trPr>
          <w:trHeight w:val="173"/>
        </w:trPr>
        <w:tc>
          <w:tcPr>
            <w:tcW w:w="2060" w:type="dxa"/>
            <w:vAlign w:val="bottom"/>
          </w:tcPr>
          <w:p>
            <w:pPr>
              <w:spacing w:after="0" w:line="173" w:lineRule="exact"/>
              <w:rPr>
                <w:sz w:val="20"/>
                <w:szCs w:val="20"/>
                <w:color w:val="auto"/>
              </w:rPr>
            </w:pPr>
            <w:r>
              <w:rPr>
                <w:rFonts w:ascii="Arial" w:cs="Arial" w:eastAsia="Arial" w:hAnsi="Arial"/>
                <w:sz w:val="18"/>
                <w:szCs w:val="18"/>
                <w:color w:val="auto"/>
              </w:rPr>
              <w:t>Utility Scale Solar</w:t>
            </w:r>
          </w:p>
        </w:tc>
        <w:tc>
          <w:tcPr>
            <w:tcW w:w="8700" w:type="dxa"/>
            <w:vAlign w:val="bottom"/>
          </w:tcPr>
          <w:p>
            <w:pPr>
              <w:ind w:left="900"/>
              <w:spacing w:after="0" w:line="173" w:lineRule="exact"/>
              <w:rPr>
                <w:sz w:val="20"/>
                <w:szCs w:val="20"/>
                <w:color w:val="auto"/>
              </w:rPr>
            </w:pPr>
            <w:r>
              <w:rPr>
                <w:rFonts w:ascii="Arial" w:cs="Arial" w:eastAsia="Arial" w:hAnsi="Arial"/>
                <w:sz w:val="18"/>
                <w:szCs w:val="18"/>
                <w:color w:val="auto"/>
                <w:w w:val="95"/>
              </w:rPr>
              <w:t>Solar power projects, typically 20 MW or greater in size (on an alternating current, or AC, basis), that a</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VaR</w:t>
            </w:r>
          </w:p>
        </w:tc>
        <w:tc>
          <w:tcPr>
            <w:tcW w:w="8700" w:type="dxa"/>
            <w:vAlign w:val="bottom"/>
          </w:tcPr>
          <w:p>
            <w:pPr>
              <w:ind w:left="90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VIE</w:t>
            </w:r>
          </w:p>
        </w:tc>
        <w:tc>
          <w:tcPr>
            <w:tcW w:w="8700" w:type="dxa"/>
            <w:vAlign w:val="bottom"/>
          </w:tcPr>
          <w:p>
            <w:pPr>
              <w:ind w:left="90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Wind TE Holdco</w:t>
            </w:r>
          </w:p>
        </w:tc>
        <w:tc>
          <w:tcPr>
            <w:tcW w:w="8700" w:type="dxa"/>
            <w:vAlign w:val="bottom"/>
          </w:tcPr>
          <w:p>
            <w:pPr>
              <w:ind w:left="900"/>
              <w:spacing w:after="0"/>
              <w:rPr>
                <w:sz w:val="20"/>
                <w:szCs w:val="20"/>
                <w:color w:val="auto"/>
              </w:rPr>
            </w:pPr>
            <w:r>
              <w:rPr>
                <w:rFonts w:ascii="Arial" w:cs="Arial" w:eastAsia="Arial" w:hAnsi="Arial"/>
                <w:sz w:val="18"/>
                <w:szCs w:val="18"/>
                <w:color w:val="auto"/>
              </w:rPr>
              <w:t>Wind TE Holdco LLC, an 814 net MW portfolio of twelve wind projects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90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Clearway Energy Group LLC, or CEG. GIP is an independent infrastructure fund manager that makes equity and debt investments in infrastructure assets and businesses.</w:t>
      </w:r>
    </w:p>
    <w:p>
      <w:pPr>
        <w:spacing w:after="0" w:line="101"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 xml:space="preserve">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 The weighted average remaining contract duration of these offtake agreements was approximately 12 </w:t>
      </w:r>
      <w:r>
        <w:rPr>
          <w:rFonts w:ascii="Arial" w:cs="Arial" w:eastAsia="Arial" w:hAnsi="Arial"/>
          <w:sz w:val="18"/>
          <w:szCs w:val="18"/>
          <w:color w:val="231F20"/>
        </w:rPr>
        <w:t>years as of</w:t>
      </w:r>
      <w:r>
        <w:rPr>
          <w:rFonts w:ascii="Arial" w:cs="Arial" w:eastAsia="Arial" w:hAnsi="Arial"/>
          <w:sz w:val="18"/>
          <w:szCs w:val="18"/>
          <w:color w:val="auto"/>
        </w:rPr>
        <w:t xml:space="preserve"> December 31, 2021 </w:t>
      </w:r>
      <w:r>
        <w:rPr>
          <w:rFonts w:ascii="Arial" w:cs="Arial" w:eastAsia="Arial" w:hAnsi="Arial"/>
          <w:sz w:val="18"/>
          <w:szCs w:val="18"/>
          <w:color w:val="231F20"/>
        </w:rPr>
        <w:t>based on CAFD.</w:t>
      </w:r>
    </w:p>
    <w:p>
      <w:pPr>
        <w:spacing w:after="0" w:line="141"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 xml:space="preserve">On October 22, 2021, Clearway Energy Operating LLC entered into a binding agreement to sell the Thermal Business to KKR Thor Bidco, LLC, an affiliate of Kohlberg Kravis Roberts &amp; Co. L.P., or KKR, for total consideration of $1.9 billion, subject to customary closing adjustments, which is referred to herein as the Thermal Disposition. The transaction is expected to close in the first half of 2022. The Company's Thermal segment is comprised solely of the Thermal Business's results of operations.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10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As of December 31, 2021, GIP indirectly owned 42.35% of the economic interests in the Company and 54.93% of the voting interests in Clearway Energy, Inc., or Clearway, Inc.</w:t>
      </w:r>
    </w:p>
    <w:p>
      <w:pPr>
        <w:spacing w:after="0" w:line="12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A complete listing of the Company's interests in facilities, operations and/or projects owned or leased as of December 31, 2021 can be found in Item 2 — </w:t>
      </w:r>
      <w:r>
        <w:rPr>
          <w:rFonts w:ascii="Arial" w:cs="Arial" w:eastAsia="Arial" w:hAnsi="Arial"/>
          <w:sz w:val="18"/>
          <w:szCs w:val="18"/>
          <w:i w:val="1"/>
          <w:iCs w:val="1"/>
          <w:color w:val="auto"/>
        </w:rPr>
        <w:t>Properties.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was formed as a Delaware limited liability company by NRG on March 5, 2013. On August 31, 2018, NRG transferred its full ownership interest in Clearway, Inc. and its subsidiaries to CEG, the holder of NRG’s renewable energy development and operations platform, and subsequently sold 100% of its interest in CEG to GIP.</w:t>
      </w:r>
    </w:p>
    <w:p>
      <w:pPr>
        <w:spacing w:after="0" w:line="13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is a holding company for the companies that directly and indirectly own and operate Clearway, Inc.'s business. As of December 31, 2021, GIP, through CEG, controls Clearway, Inc., and Clearway, Inc. in turn, as the sole managing member of the Company, controls the Company and its subsidiaries.</w:t>
      </w:r>
    </w:p>
    <w:p>
      <w:pPr>
        <w:spacing w:after="0" w:line="13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As of December 31, 2021, GIP, through CEG, owned 42,738,750 of each of the Company's Class B units and Class D units and Clearway, Inc. owned 34,599,645 of the Company's Class A units and 81,779,021 of the Company's Class C units. Clearway, Inc., through its holdings of Class A units and Class C units, owned a 57.65% economic interest in the Company as of December 31, 2021. Additionally, GIP, through CEG's holdings of Class B units and Class D units, owned a 42.35% economic interest in the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180"/>
        <w:spacing w:after="0"/>
        <w:rPr>
          <w:sz w:val="20"/>
          <w:szCs w:val="20"/>
          <w:color w:val="auto"/>
        </w:rPr>
      </w:pPr>
      <w:r>
        <w:rPr>
          <w:rFonts w:ascii="Arial" w:cs="Arial" w:eastAsia="Arial" w:hAnsi="Arial"/>
          <w:sz w:val="18"/>
          <w:szCs w:val="18"/>
          <w:color w:val="auto"/>
        </w:rPr>
        <w:t>The diagram below depicts the Company’s organizational structure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10160</wp:posOffset>
            </wp:positionV>
            <wp:extent cx="5678170" cy="4254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8170" cy="425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8"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Company's primary business strategy is to focus on the acquisition and ownership of assets with predictable, long-term cash flows in order that it may be able to increase the cash distributions to Clearway, Inc. over time without compromising the ongoing stability of the business.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plan for executing its business strategy includes the following key components: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b w:val="1"/>
          <w:bCs w:val="1"/>
          <w:i w:val="1"/>
          <w:iCs w:val="1"/>
          <w:color w:val="auto"/>
        </w:rPr>
        <w:t xml:space="preserve">Focus on contracted renewable energy and conventional generation. </w:t>
      </w:r>
      <w:r>
        <w:rPr>
          <w:rFonts w:ascii="Arial" w:cs="Arial" w:eastAsia="Arial" w:hAnsi="Arial"/>
          <w:sz w:val="16"/>
          <w:szCs w:val="16"/>
          <w:color w:val="auto"/>
        </w:rPr>
        <w:t>The Company owns and operates utility scale and distributed renewable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natural gas-fired generation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 The Company also owns the Thermal Business that Clearway Energy Operating LLC has entered into a binding agreement to sell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 w:name="page8"/>
    <w:bookmarkEnd w:id="7"/>
    <w:p>
      <w:pPr>
        <w:jc w:val="both"/>
        <w:ind w:firstLine="396"/>
        <w:spacing w:after="0" w:line="279" w:lineRule="auto"/>
        <w:rPr>
          <w:sz w:val="20"/>
          <w:szCs w:val="20"/>
          <w:color w:val="auto"/>
        </w:rPr>
      </w:pPr>
      <w:r>
        <w:rPr>
          <w:rFonts w:ascii="Arial" w:cs="Arial" w:eastAsia="Arial" w:hAnsi="Arial"/>
          <w:sz w:val="16"/>
          <w:szCs w:val="16"/>
          <w:b w:val="1"/>
          <w:bCs w:val="1"/>
          <w:i w:val="1"/>
          <w:iCs w:val="1"/>
          <w:color w:val="auto"/>
        </w:rPr>
        <w:t xml:space="preserve">Growing the business through acquisitions of contracted operating assets. </w:t>
      </w:r>
      <w:r>
        <w:rPr>
          <w:rFonts w:ascii="Arial" w:cs="Arial" w:eastAsia="Arial" w:hAnsi="Arial"/>
          <w:sz w:val="16"/>
          <w:szCs w:val="16"/>
          <w:color w:val="auto"/>
        </w:rPr>
        <w:t>The Company believes that its base of operations provides a platform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growth through cash accretive 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storage projects that are aligned to support the Company's growth. Furthermore, the Company has entered into the CEG ROFO Agreement, whereby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Company and CEG work collaboratively in considering new assets to be added under the CEG ROFO Agreement or to be acquired by the Company outside of the CEG ROFO Agreement. The assets listed below, all of which are included in a co-investment partnership with Hannon Armstrong Sustainable Infrastructure Capital, Inc., represent the Company's currently committed investments in projects with CEG and the CEG ROFO Assets: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Technology</w:t>
            </w: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Gross Capacity (MW)</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State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COD</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0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Mililani I</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HI</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2H22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08"/>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Waiawa</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HI</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2H22</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Daggett Solar 2 and 3</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Solar</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CA</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2H22/1H23</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bl>
    <w:p>
      <w:pPr>
        <w:spacing w:after="0" w:line="23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b w:val="1"/>
          <w:bCs w:val="1"/>
          <w:i w:val="1"/>
          <w:iCs w:val="1"/>
          <w:color w:val="auto"/>
        </w:rPr>
        <w:t xml:space="preserve">Primary focus on North America. </w:t>
      </w:r>
      <w:r>
        <w:rPr>
          <w:rFonts w:ascii="Arial" w:cs="Arial" w:eastAsia="Arial" w:hAnsi="Arial"/>
          <w:sz w:val="16"/>
          <w:szCs w:val="16"/>
          <w:color w:val="auto"/>
        </w:rPr>
        <w:t>The Company intends to primarily focus its investments in North America (including the unincorporated territories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The Company believes that industry fundamentals in North America present it with significant opportunity to grow its portfolio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0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b w:val="1"/>
          <w:bCs w:val="1"/>
          <w:i w:val="1"/>
          <w:iCs w:val="1"/>
          <w:color w:val="auto"/>
        </w:rPr>
        <w:t xml:space="preserve">Maintain sound financial practices to grow the distributions. </w:t>
      </w:r>
      <w:r>
        <w:rPr>
          <w:rFonts w:ascii="Arial" w:cs="Arial" w:eastAsia="Arial" w:hAnsi="Arial"/>
          <w:sz w:val="16"/>
          <w:szCs w:val="16"/>
          <w:color w:val="auto"/>
        </w:rPr>
        <w:t>The Company intends to maintain a commitment to disciplined financial analysis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balanced capital structure to enable it to increase its distributions over time and serve the long-term interests of its unit 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 The Company intends to evaluate various alternatives for financing future acquisitions and refinancing of existing project-level debt, in each case, to reduce the cost of debt, extend maturities and maximize CAFD.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8"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 On October 22, 2021, Clearway Energy Operating LLC entered into a binding agreement to sell the Thermal Business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Strengths</w:t>
      </w:r>
    </w:p>
    <w:p>
      <w:pPr>
        <w:spacing w:after="0" w:line="168"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The Company's facilities have a stable, predictable cash flow profile consisting of predominantly long-life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that sell electricity under long-term fixed priced contracts or pursuant to regulated rates with investment-grade and certain other creditworthy counterparties. The Company's facilities have minimal fuel risk. For the Company's contracted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12 years as of December 31, 2021, providing long-term cash flow stability. The Company's generation offtake agreements with counterparties for whom credit ratings are available have a weighted-average Moody’s rating of Ba1 based on rated capacity under contract and continues to be influenced by the PG&amp;E Bankruptcy. All of the Company's assets are in the U.S. and accordingly have no currency or repatriation risks.</w:t>
      </w:r>
    </w:p>
    <w:p>
      <w:pPr>
        <w:spacing w:after="0" w:line="11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The Company's portfolio of electric generation assets consists of over 5,000 net MW of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capacity that are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4"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b w:val="1"/>
          <w:bCs w:val="1"/>
          <w:i w:val="1"/>
          <w:iCs w:val="1"/>
          <w:color w:val="auto"/>
        </w:rPr>
        <w:t xml:space="preserve">High quality, long-lived assets with low operating and capital requirements. </w:t>
      </w:r>
      <w:r>
        <w:rPr>
          <w:rFonts w:ascii="Arial" w:cs="Arial" w:eastAsia="Arial" w:hAnsi="Arial"/>
          <w:sz w:val="18"/>
          <w:szCs w:val="18"/>
          <w:color w:val="auto"/>
        </w:rPr>
        <w:t>The Company benefits from a portfolio of relatively younger assets,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41"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b w:val="1"/>
          <w:bCs w:val="1"/>
          <w:i w:val="1"/>
          <w:iCs w:val="1"/>
          <w:color w:val="auto"/>
        </w:rPr>
        <w:t xml:space="preserve">Significant scale and diversity. </w:t>
      </w:r>
      <w:r>
        <w:rPr>
          <w:rFonts w:ascii="Arial" w:cs="Arial" w:eastAsia="Arial" w:hAnsi="Arial"/>
          <w:sz w:val="16"/>
          <w:szCs w:val="16"/>
          <w:color w:val="auto"/>
        </w:rPr>
        <w:t>The Company is one of the largest renewable energy owners in the U.S. with over 5,000 net MW of installed wind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solar generation projects. The Company's over 9,000 net MW of assets also includes approximately 2,500 net MW of environmentally-sound, highly efficient natural gas-fired generation facilities as well as the Thermal Business. The Company's contracted renewable and conventional generation assets benefit from significant diversification in terms of technology, fuel type, counterparty and geography. The Company's Thermal Business consists of fifteen operations, seven of which are district energy centers that provide steam and chilled water to approximately 685 customers, and eight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1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b w:val="1"/>
          <w:bCs w:val="1"/>
          <w:i w:val="1"/>
          <w:iCs w:val="1"/>
          <w:color w:val="auto"/>
        </w:rPr>
        <w:t xml:space="preserve">Relationship with GIP and CEG. </w:t>
      </w:r>
      <w:r>
        <w:rPr>
          <w:rFonts w:ascii="Arial" w:cs="Arial" w:eastAsia="Arial" w:hAnsi="Arial"/>
          <w:sz w:val="16"/>
          <w:szCs w:val="16"/>
          <w:color w:val="auto"/>
        </w:rPr>
        <w:t>The Company believes that its relationship with GIP and CEG provides significant benefits. Global Infrastructure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or GIM, the manager of GIP, is an independent infrastructure fund manager that makes equity and debt investments in infrastructure assets and businesses in both the Organization for Economic Co-operation and Development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the Company's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serving as a barrier to entry in the markets in which such assets operate.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 On October 22, 2021, Clearway Energy Operating LLC entered into a binding agreement to sell the Thermal Business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summarize the Company's operating revenues, net income (loss) and assets by segment for the years ended December 31,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2020 and 2019, as discussed in Item 15 — Note 13,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89"/>
              </w:rPr>
              <w:t>Year ended December 31, 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Renewables</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Thermal</w:t>
            </w:r>
          </w:p>
        </w:tc>
        <w:tc>
          <w:tcPr>
            <w:tcW w:w="1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Corporate</w:t>
            </w: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Generation</w:t>
            </w:r>
          </w:p>
        </w:tc>
        <w:tc>
          <w:tcPr>
            <w:tcW w:w="12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12,718</w:t>
            </w:r>
          </w:p>
        </w:tc>
        <w:tc>
          <w:tcPr>
            <w:tcW w:w="0" w:type="dxa"/>
            <w:vAlign w:val="bottom"/>
          </w:tcPr>
          <w:p>
            <w:pPr>
              <w:spacing w:after="0"/>
              <w:rPr>
                <w:sz w:val="1"/>
                <w:szCs w:val="1"/>
                <w:color w:val="auto"/>
              </w:rPr>
            </w:pPr>
          </w:p>
        </w:tc>
      </w:tr>
      <w:tr>
        <w:trPr>
          <w:trHeight w:val="298"/>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Year ended December 31, 2020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1"/>
                <w:szCs w:val="11"/>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1"/>
              </w:rPr>
              <w:t>Renewables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10,488</w:t>
            </w:r>
          </w:p>
        </w:tc>
        <w:tc>
          <w:tcPr>
            <w:tcW w:w="0" w:type="dxa"/>
            <w:vAlign w:val="bottom"/>
          </w:tcPr>
          <w:p>
            <w:pPr>
              <w:spacing w:after="0"/>
              <w:rPr>
                <w:sz w:val="1"/>
                <w:szCs w:val="1"/>
                <w:color w:val="auto"/>
              </w:rPr>
            </w:pPr>
          </w:p>
        </w:tc>
      </w:tr>
      <w:tr>
        <w:trPr>
          <w:trHeight w:val="338"/>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Year ended December 31, 2019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1"/>
                <w:szCs w:val="11"/>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1"/>
              </w:rPr>
              <w:t>Renewables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04"/>
        </w:trPr>
        <w:tc>
          <w:tcPr>
            <w:tcW w:w="5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Incentives</w:t>
      </w:r>
    </w:p>
    <w:p>
      <w:pPr>
        <w:spacing w:after="0" w:line="168"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Policy incentives in the U.S. have the effect of making the development of renewable energy projects more competitive by providing tax credits or grants and accelerated depreciation for a portion of the development costs, decreasing the costs and risks associated with developing such projects or creating demand for renewable energy assets through RPS programs. The elimination of, loss of or reduction in such incentives could decrease the attractiveness of renewable generation projects to developers, including, but not limited to, CEG, which could reduce the Company's acquisition opportunities. Such an elimination, loss or reduction could also reduce the Company's willingness to pursue or develop certain renewable energy projects due to higher operating costs or decreased revenues under its PPAs.</w:t>
      </w:r>
    </w:p>
    <w:p>
      <w:pPr>
        <w:spacing w:after="0" w:line="141"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generally fully depreciated for tax purposes over a five-year period (before taking into account certain conventions) even though the useful life of such projects is generally much longer than five years. The Tax Cuts and Jobs Act of 2017, or the Tax Act, also provides the ability for wind and solar projects to claim immediate expensing for property acquired and placed in service after September 27, 2017, and before January 1,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 w:name="page11"/>
    <w:bookmarkEnd w:id="10"/>
    <w:p>
      <w:pPr>
        <w:jc w:val="both"/>
        <w:ind w:firstLine="396"/>
        <w:spacing w:after="0" w:line="280" w:lineRule="auto"/>
        <w:rPr>
          <w:sz w:val="20"/>
          <w:szCs w:val="20"/>
          <w:color w:val="auto"/>
        </w:rPr>
      </w:pPr>
      <w:r>
        <w:rPr>
          <w:rFonts w:ascii="Arial" w:cs="Arial" w:eastAsia="Arial" w:hAnsi="Arial"/>
          <w:sz w:val="16"/>
          <w:szCs w:val="16"/>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In response to the COVID-19 pandemic, the IRS extended this safe harbor by one year for facilities that began construction in 2016 or 2017. In 2021, the IRS further extended the continuity safe harbor period to six years for facilities that began construction in 2016 through 2019. For facilities that began construction in 2020, the continuity safe harbor was extended to five years.</w:t>
      </w:r>
    </w:p>
    <w:p>
      <w:pPr>
        <w:spacing w:after="0" w:line="12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Owners of solar projects are eligible to claim an ITC for new solar projects. This incentive was created under the Energy Policy Act of 2005 and has also been extended several times, including most recently by the Consolidated Appropriations Act of 2020.</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Tax credits for qualifying wind and solar projects are subject to the following phase-down schedule: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color w:val="auto"/>
                <w:w w:val="94"/>
              </w:rPr>
              <w:t>Year construction of project begins</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82"/>
        </w:trPr>
        <w:tc>
          <w:tcPr>
            <w:tcW w:w="28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2015</w:t>
            </w:r>
          </w:p>
        </w:tc>
        <w:tc>
          <w:tcPr>
            <w:tcW w:w="8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5"/>
                <w:szCs w:val="15"/>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740" w:type="dxa"/>
            <w:vAlign w:val="bottom"/>
          </w:tcPr>
          <w:p>
            <w:pPr>
              <w:jc w:val="right"/>
              <w:ind w:right="17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740" w:type="dxa"/>
            <w:vAlign w:val="bottom"/>
          </w:tcPr>
          <w:p>
            <w:pPr>
              <w:jc w:val="right"/>
              <w:ind w:right="17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760" w:type="dxa"/>
            <w:vAlign w:val="bottom"/>
          </w:tcPr>
          <w:p>
            <w:pPr>
              <w:jc w:val="right"/>
              <w:ind w:right="17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740" w:type="dxa"/>
            <w:vAlign w:val="bottom"/>
          </w:tcPr>
          <w:p>
            <w:pPr>
              <w:jc w:val="right"/>
              <w:ind w:right="17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2024</w:t>
            </w:r>
          </w:p>
        </w:tc>
      </w:tr>
      <w:tr>
        <w:trPr>
          <w:trHeight w:val="181"/>
        </w:trPr>
        <w:tc>
          <w:tcPr>
            <w:tcW w:w="2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PTC </w:t>
            </w:r>
            <w:r>
              <w:rPr>
                <w:rFonts w:ascii="Arial" w:cs="Arial" w:eastAsia="Arial" w:hAnsi="Arial"/>
                <w:sz w:val="18"/>
                <w:szCs w:val="18"/>
                <w:color w:val="auto"/>
                <w:vertAlign w:val="superscript"/>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8"/>
              </w:rPr>
              <w:t>— %</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8"/>
              </w:rPr>
              <w:t>— %</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8"/>
              </w:rPr>
              <w:t>— %</w:t>
            </w:r>
          </w:p>
        </w:tc>
      </w:tr>
      <w:tr>
        <w:trPr>
          <w:trHeight w:val="185"/>
        </w:trPr>
        <w:tc>
          <w:tcPr>
            <w:tcW w:w="2860" w:type="dxa"/>
            <w:vAlign w:val="bottom"/>
          </w:tcPr>
          <w:p>
            <w:pPr>
              <w:ind w:left="20"/>
              <w:spacing w:after="0" w:line="185" w:lineRule="exact"/>
              <w:rPr>
                <w:sz w:val="20"/>
                <w:szCs w:val="20"/>
                <w:color w:val="auto"/>
              </w:rPr>
            </w:pPr>
            <w:r>
              <w:rPr>
                <w:rFonts w:ascii="Arial" w:cs="Arial" w:eastAsia="Arial" w:hAnsi="Arial"/>
                <w:sz w:val="14"/>
                <w:szCs w:val="14"/>
                <w:color w:val="auto"/>
              </w:rPr>
              <w:t xml:space="preserve">On Shore Wind ITC </w:t>
            </w:r>
            <w:r>
              <w:rPr>
                <w:rFonts w:ascii="Arial" w:cs="Arial" w:eastAsia="Arial" w:hAnsi="Arial"/>
                <w:sz w:val="18"/>
                <w:szCs w:val="18"/>
                <w:color w:val="auto"/>
                <w:vertAlign w:val="superscript"/>
              </w:rPr>
              <w:t>(b)</w:t>
            </w:r>
          </w:p>
        </w:tc>
        <w:tc>
          <w:tcPr>
            <w:tcW w:w="760" w:type="dxa"/>
            <w:vAlign w:val="bottom"/>
          </w:tcPr>
          <w:p>
            <w:pPr>
              <w:jc w:val="right"/>
              <w:spacing w:after="0"/>
              <w:rPr>
                <w:sz w:val="20"/>
                <w:szCs w:val="20"/>
                <w:color w:val="auto"/>
              </w:rPr>
            </w:pPr>
            <w:r>
              <w:rPr>
                <w:rFonts w:ascii="Arial" w:cs="Arial" w:eastAsia="Arial" w:hAnsi="Arial"/>
                <w:sz w:val="14"/>
                <w:szCs w:val="14"/>
                <w:color w:val="auto"/>
              </w:rPr>
              <w:t>30 %</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 %</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 %</w:t>
            </w:r>
          </w:p>
        </w:tc>
        <w:tc>
          <w:tcPr>
            <w:tcW w:w="620" w:type="dxa"/>
            <w:vAlign w:val="bottom"/>
          </w:tcPr>
          <w:p>
            <w:pPr>
              <w:ind w:left="300"/>
              <w:spacing w:after="0"/>
              <w:rPr>
                <w:sz w:val="20"/>
                <w:szCs w:val="20"/>
                <w:color w:val="auto"/>
              </w:rPr>
            </w:pPr>
            <w:r>
              <w:rPr>
                <w:rFonts w:ascii="Arial" w:cs="Arial" w:eastAsia="Arial" w:hAnsi="Arial"/>
                <w:sz w:val="14"/>
                <w:szCs w:val="14"/>
                <w:color w:val="auto"/>
                <w:w w:val="98"/>
              </w:rPr>
              <w:t>— %</w:t>
            </w:r>
          </w:p>
        </w:tc>
      </w:tr>
      <w:tr>
        <w:trPr>
          <w:trHeight w:val="185"/>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Solar ITC </w:t>
            </w:r>
            <w:r>
              <w:rPr>
                <w:rFonts w:ascii="Arial" w:cs="Arial" w:eastAsia="Arial" w:hAnsi="Arial"/>
                <w:sz w:val="5"/>
                <w:szCs w:val="5"/>
                <w:color w:val="auto"/>
              </w:rPr>
              <w:t>(c)</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26 %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22 %</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3"/>
              </w:rPr>
              <w:t>10 %</w:t>
            </w:r>
          </w:p>
        </w:tc>
      </w:tr>
    </w:tbl>
    <w:p>
      <w:pPr>
        <w:spacing w:after="0" w:line="60" w:lineRule="exact"/>
        <w:rPr>
          <w:sz w:val="20"/>
          <w:szCs w:val="20"/>
          <w:color w:val="auto"/>
        </w:rPr>
      </w:pPr>
    </w:p>
    <w:p>
      <w:pPr>
        <w:ind w:left="140" w:hanging="134"/>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 of the full PTC available for wind projects that begin construction during the applicable year.</w:t>
      </w:r>
    </w:p>
    <w:p>
      <w:pPr>
        <w:ind w:left="220" w:hanging="135"/>
        <w:spacing w:after="0" w:line="206" w:lineRule="auto"/>
        <w:tabs>
          <w:tab w:leader="none" w:pos="220" w:val="left"/>
        </w:tabs>
        <w:numPr>
          <w:ilvl w:val="1"/>
          <w:numId w:val="3"/>
        </w:numPr>
        <w:rPr>
          <w:rFonts w:ascii="Arial" w:cs="Arial" w:eastAsia="Arial" w:hAnsi="Arial"/>
          <w:sz w:val="16"/>
          <w:szCs w:val="16"/>
          <w:color w:val="auto"/>
          <w:vertAlign w:val="superscript"/>
        </w:rPr>
      </w:pPr>
      <w:r>
        <w:rPr>
          <w:rFonts w:ascii="Arial" w:cs="Arial" w:eastAsia="Arial" w:hAnsi="Arial"/>
          <w:sz w:val="13"/>
          <w:szCs w:val="13"/>
          <w:color w:val="auto"/>
        </w:rPr>
        <w:t>The Taxpayer Certainty and Disaster Tax Relief Act of 2020 provides for a new 30% ITC for offshore wind projects that begin construction before January 1, 2026.</w:t>
      </w:r>
    </w:p>
    <w:p>
      <w:pPr>
        <w:ind w:left="220" w:hanging="135"/>
        <w:spacing w:after="0" w:line="205" w:lineRule="auto"/>
        <w:tabs>
          <w:tab w:leader="none" w:pos="220" w:val="left"/>
        </w:tabs>
        <w:numPr>
          <w:ilvl w:val="1"/>
          <w:numId w:val="3"/>
        </w:numPr>
        <w:rPr>
          <w:rFonts w:ascii="Arial" w:cs="Arial" w:eastAsia="Arial" w:hAnsi="Arial"/>
          <w:sz w:val="17"/>
          <w:szCs w:val="17"/>
          <w:color w:val="auto"/>
          <w:vertAlign w:val="superscript"/>
        </w:rPr>
      </w:pPr>
      <w:r>
        <w:rPr>
          <w:rFonts w:ascii="Arial" w:cs="Arial" w:eastAsia="Arial" w:hAnsi="Arial"/>
          <w:sz w:val="13"/>
          <w:szCs w:val="13"/>
          <w:color w:val="auto"/>
        </w:rPr>
        <w:t>ITC is limited to 10% for projects not placed in service before January 1, 2026.</w:t>
      </w:r>
    </w:p>
    <w:p>
      <w:pPr>
        <w:spacing w:after="0" w:line="223"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8"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40"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 w:name="page12"/>
    <w:bookmarkEnd w:id="11"/>
    <w:p>
      <w:pPr>
        <w:jc w:val="both"/>
        <w:ind w:firstLine="396"/>
        <w:spacing w:after="0" w:line="292" w:lineRule="auto"/>
        <w:rPr>
          <w:sz w:val="20"/>
          <w:szCs w:val="20"/>
          <w:color w:val="auto"/>
        </w:rPr>
      </w:pPr>
      <w:r>
        <w:rPr>
          <w:rFonts w:ascii="Arial" w:cs="Arial" w:eastAsia="Arial" w:hAnsi="Arial"/>
          <w:sz w:val="16"/>
          <w:szCs w:val="16"/>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07"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14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3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8"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41"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 number of regulations that may affect the Company are under review for potential revision or rescission in 2022, including the federal Migratory Bird Treaty Act (MBTA) incidental take permit regulations and federal Bald and Golden Eagle Protection Act incidental take permit regulations. Government leaders have also considered proposed MBTA legislation (Lowenthal Bill). The Company will evaluate the impact of the legislation and regulations as they are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137"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i w:val="1"/>
          <w:iCs w:val="1"/>
          <w:color w:val="auto"/>
        </w:rPr>
        <w:t xml:space="preserve">Proposed Federal MBTA Incidental Take Legislation and Regulations </w:t>
      </w:r>
      <w:r>
        <w:rPr>
          <w:rFonts w:ascii="Arial" w:cs="Arial" w:eastAsia="Arial" w:hAnsi="Arial"/>
          <w:sz w:val="16"/>
          <w:szCs w:val="16"/>
          <w:color w:val="auto"/>
        </w:rPr>
        <w:t>— On October 4, 2021, U.S. Fish and Wildlife Service (FWS) issued the final</w:t>
      </w:r>
      <w:r>
        <w:rPr>
          <w:rFonts w:ascii="Arial" w:cs="Arial" w:eastAsia="Arial" w:hAnsi="Arial"/>
          <w:sz w:val="16"/>
          <w:szCs w:val="16"/>
          <w:i w:val="1"/>
          <w:iCs w:val="1"/>
          <w:color w:val="auto"/>
        </w:rPr>
        <w:t xml:space="preserve"> </w:t>
      </w:r>
      <w:r>
        <w:rPr>
          <w:rFonts w:ascii="Arial" w:cs="Arial" w:eastAsia="Arial" w:hAnsi="Arial"/>
          <w:sz w:val="16"/>
          <w:szCs w:val="16"/>
          <w:color w:val="auto"/>
        </w:rPr>
        <w:t>MBTA rule, effective December 3, 2021, restoring the MBTA to prohibit the incidental take of migratory birds. FWS also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In the ANPR, FWS is considering authorizing incidental take using three primary mechanisms: exceptions to the MBTA’s prohibition on incidental take, general permits for certain activity types and specific or individual permits. FWS is seeking comments on when and how it should apply these three mechanisms to different types of activities. The Company is working with renewable industry groups to provide comments on the proposed rule. Scoping comments on the ANPR were due to FWS by December 3, 2021 and the company participated in this process through the industry groups. FWS is expecting to have the Draft Environmental Impact Statement out for public review during the summer 2022 and the Final Environmental Impact Statement and Record of Decision are anticipated for the following summer 2023.</w:t>
      </w:r>
    </w:p>
    <w:p>
      <w:pPr>
        <w:spacing w:after="0" w:line="12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i w:val="1"/>
          <w:iCs w:val="1"/>
          <w:color w:val="auto"/>
        </w:rPr>
        <w:t xml:space="preserve">Changes to the National Environmental Policy Act </w:t>
      </w:r>
      <w:r>
        <w:rPr>
          <w:rFonts w:ascii="Arial" w:cs="Arial" w:eastAsia="Arial" w:hAnsi="Arial"/>
          <w:sz w:val="16"/>
          <w:szCs w:val="16"/>
          <w:color w:val="auto"/>
        </w:rPr>
        <w:t>— On October 7, 2021, the Council on Environmental Quality (CEQ) published notice of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rulemaking that would alter regulations for implementing the National Environmental Policy Act (NEPA) in order "to generally restore regulatory provisions that were in effect for decades before being modified in 2020." Specifically, the proposed rule would (1) grant federal agencies greater discretion in developing project alternatives; (2) allow federal agencies to adopt NEPA regulations more stringent than CEQ’s regulations; and (3) require agencies to consider direct, indirect, and cumulative effects of major federal actions. The Notice represents "Phase 1" of the Biden Administration’s plans to revise NEPA regulations, which focuses on provisions that pose significant near-term interpretation or implementation challenges and that "make sense to revert to the 1978 regulatory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approach." A "Phase 2" proposal that will "more broadly revisit the 2020 NEPA Regulations" is expected to be released in 2022.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 w:name="page13"/>
    <w:bookmarkEnd w:id="12"/>
    <w:p>
      <w:pPr>
        <w:jc w:val="both"/>
        <w:ind w:firstLine="396"/>
        <w:spacing w:after="0" w:line="279" w:lineRule="auto"/>
        <w:rPr>
          <w:sz w:val="20"/>
          <w:szCs w:val="20"/>
          <w:color w:val="auto"/>
        </w:rPr>
      </w:pPr>
      <w:r>
        <w:rPr>
          <w:rFonts w:ascii="Arial" w:cs="Arial" w:eastAsia="Arial" w:hAnsi="Arial"/>
          <w:sz w:val="16"/>
          <w:szCs w:val="16"/>
          <w:i w:val="1"/>
          <w:iCs w:val="1"/>
          <w:color w:val="auto"/>
        </w:rPr>
        <w:t xml:space="preserve">Proposed Federal Eagle Incidental Take Permit Proposed Rule </w:t>
      </w:r>
      <w:r>
        <w:rPr>
          <w:rFonts w:ascii="Arial" w:cs="Arial" w:eastAsia="Arial" w:hAnsi="Arial"/>
          <w:sz w:val="16"/>
          <w:szCs w:val="16"/>
          <w:color w:val="auto"/>
        </w:rPr>
        <w:t>— On September 14, 2021, the FWS published in the Federal Register a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Rulemaking (ANPR) seeking public and regulated-community input on potential approaches for further expediting and simplifying the permit process authorizing incidental take of eagles. This advance notice of proposed rulemaking seeks comment on several approaches that could potentially underpin a more streamlined eagle incidental-take-permitting framework that was first established in 2009. Specifically, FWS is interested in comments clarifying specific aspects of the current permitting process that hinder permit application, processing, or implementation. FWS is also seeking recommendations for additional guidance that would reduce the time and/or cost associated with applying for and implementing long-term, eagle incidental take permits under existing regulations. FWS is looking for recommendations for targeted revisions that could be made to existing regulations consistent with the overall permitting framework that would reduce the time and/or cost associated with applying for and processing long-term permits for incidental take of eagles. Finally, FWS is interested in comments regarding potential new regulatory approaches to authorizing incidental take under the Eagle Act, particularly for projects that can be shown in advance to have minimal impacts on eagles, that would reduce the time and/or cost associated with applying for and operating under long-term permits for the incidental take of eagles. The Company is working with renewable industry groups to provide comments on the proposed rule. Comments on the ANPR were due to FWS by October 29, 2021 and the company participated in this process through the industry groups.</w:t>
      </w:r>
    </w:p>
    <w:p>
      <w:pPr>
        <w:spacing w:after="0" w:line="124"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i w:val="1"/>
          <w:iCs w:val="1"/>
          <w:color w:val="auto"/>
        </w:rPr>
        <w:t xml:space="preserve">Local California Air District Rules </w:t>
      </w:r>
      <w:r>
        <w:rPr>
          <w:rFonts w:ascii="Arial" w:cs="Arial" w:eastAsia="Arial" w:hAnsi="Arial"/>
          <w:sz w:val="18"/>
          <w:szCs w:val="18"/>
          <w:color w:val="auto"/>
        </w:rPr>
        <w:t>— Air districts have proposed updates to its respective rules to amend, as applicable, Best Available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criteria for stationary emissions sources including gas turbines, Toxic Air Contaminant Health Risk reporting and general reporting requirements.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NOx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sells its electricity and environmental attributes, including RECs, primarily to local utilities under contractual arrangements. During the year ended December 31, 2021, the Company derived approximately 33% of its consolidated revenue from Southern California Edison, or SCE, and approximately 23% of its consolidated revenue from PG&amp;E.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As of December 31, 2021, the Company had 304 employees, 62 of which are in Corporate and 242 of which are in the Thermal Business, which is the subject of a binding agreement to be sold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The Company also depends upon personnel of CEG for the provision of asset management, administration and O&amp;M services.</w:t>
      </w:r>
    </w:p>
    <w:p>
      <w:pPr>
        <w:spacing w:after="0" w:line="180"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fairly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 See "Environmental, Social and Governance (ESG)" below for a discussion of the Company's commitment to the health and safety of the Company's employees.</w:t>
      </w:r>
    </w:p>
    <w:p>
      <w:pPr>
        <w:spacing w:after="0" w:line="11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 is committed to maintaining a workplace that acknowledges, encourages, and values diversity and inclusion.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14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By leveraging the multitude of backgrounds and perspectives of its team and developing ongoing relationships with diverse vendors, the Company achieves a collective strength that enhances the workplace and makes the Company a better business partner for its customers and others with a stake in the Company’s success.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 w:name="page14"/>
    <w:bookmarkEnd w:id="13"/>
    <w:p>
      <w:pPr>
        <w:jc w:val="both"/>
        <w:ind w:firstLine="396"/>
        <w:spacing w:after="0" w:line="250" w:lineRule="auto"/>
        <w:rPr>
          <w:sz w:val="20"/>
          <w:szCs w:val="20"/>
          <w:color w:val="auto"/>
        </w:rPr>
      </w:pPr>
      <w:r>
        <w:rPr>
          <w:rFonts w:ascii="Arial" w:cs="Arial" w:eastAsia="Arial" w:hAnsi="Arial"/>
          <w:sz w:val="18"/>
          <w:szCs w:val="18"/>
          <w:color w:val="auto"/>
        </w:rPr>
        <w:t>In 2020, the Company launched its Equity, Partnership &amp; Inclusion Council, or EPIC. As part of its commitment, the Company provides education on topics related to diversity, inclusion, and anti-racism. The Company also identified three areas of focus: Our People, Our Product &amp; Customers and Our Purchasing. With the involvement of its employees, EPIC is advancing efforts in each of these areas to identify and implement opportunities for the Company to address equity, partnership and inclusion issues in its business activities.</w:t>
      </w:r>
    </w:p>
    <w:p>
      <w:pPr>
        <w:spacing w:after="0" w:line="87" w:lineRule="exact"/>
        <w:rPr>
          <w:sz w:val="20"/>
          <w:szCs w:val="20"/>
          <w:color w:val="auto"/>
        </w:rPr>
      </w:pPr>
    </w:p>
    <w:p>
      <w:pPr>
        <w:ind w:left="640" w:right="900"/>
        <w:spacing w:after="0" w:line="247"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focuses on education and training; diversity, equity and inclusion policies and recruitment strategies; community and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and maintaining high employee engagement and retention.</w:t>
      </w:r>
    </w:p>
    <w:p>
      <w:pPr>
        <w:spacing w:after="0" w:line="207" w:lineRule="exact"/>
        <w:rPr>
          <w:sz w:val="20"/>
          <w:szCs w:val="20"/>
          <w:color w:val="auto"/>
        </w:rPr>
      </w:pPr>
    </w:p>
    <w:p>
      <w:pPr>
        <w:jc w:val="both"/>
        <w:ind w:left="640" w:right="260"/>
        <w:spacing w:after="0" w:line="238" w:lineRule="auto"/>
        <w:rPr>
          <w:sz w:val="20"/>
          <w:szCs w:val="20"/>
          <w:color w:val="auto"/>
        </w:rPr>
      </w:pPr>
      <w:r>
        <w:rPr>
          <w:rFonts w:ascii="Arial" w:cs="Arial" w:eastAsia="Arial" w:hAnsi="Arial"/>
          <w:sz w:val="18"/>
          <w:szCs w:val="18"/>
          <w:i w:val="1"/>
          <w:iCs w:val="1"/>
          <w:color w:val="auto"/>
        </w:rPr>
        <w:t xml:space="preserve">Our Product &amp; Customers </w:t>
      </w:r>
      <w:r>
        <w:rPr>
          <w:rFonts w:ascii="Arial" w:cs="Arial" w:eastAsia="Arial" w:hAnsi="Arial"/>
          <w:sz w:val="18"/>
          <w:szCs w:val="18"/>
          <w:color w:val="auto"/>
        </w:rPr>
        <w:t>focuses on pursuing opportunities that provide more equitable access to renewable energy for low-to-moderate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supporting the diversity, equity and inclusion goals of the Company's offtakers; and meaningfully representing that work in the external market.</w:t>
      </w:r>
    </w:p>
    <w:p>
      <w:pPr>
        <w:spacing w:after="0" w:line="215" w:lineRule="exact"/>
        <w:rPr>
          <w:sz w:val="20"/>
          <w:szCs w:val="20"/>
          <w:color w:val="auto"/>
        </w:rPr>
      </w:pPr>
    </w:p>
    <w:p>
      <w:pPr>
        <w:ind w:left="640" w:right="860"/>
        <w:spacing w:after="0" w:line="247"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 Company’s suppliers, diverse vendor sourcing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benchmarking.</w:t>
      </w:r>
    </w:p>
    <w:p>
      <w:pPr>
        <w:spacing w:after="0" w:line="20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addition to the personnel of CEG, the Company relies on other third-party service providers in the daily operations of its conventional facilities and certain renewable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5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113"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Since December 2019,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140"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 includes safety performance goals in the annual incentive plan for its management and the Company had zero fatalities in 2021. 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limiting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its variants and to conform to government restrictions and best practices encouraged by governmental and regulatory authorities. The Company continues to evaluate these measures, response plans and business practices in light of the evolving effects of COVID-19 and its variants.</w:t>
      </w:r>
    </w:p>
    <w:p>
      <w:pPr>
        <w:spacing w:after="0" w:line="119"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As discussed in greater detail above, the Company has focused its diversity, equity and inclusion efforts in three areas: Our People, Our Product &amp; 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Clearway, Inc.'s website, </w:t>
      </w:r>
      <w:r>
        <w:rPr>
          <w:rFonts w:ascii="Arial" w:cs="Arial" w:eastAsia="Arial" w:hAnsi="Arial"/>
          <w:sz w:val="16"/>
          <w:szCs w:val="16"/>
          <w:i w:val="1"/>
          <w:iCs w:val="1"/>
          <w:color w:val="auto"/>
        </w:rPr>
        <w:t>www.clearwayenergy.com</w:t>
      </w:r>
      <w:r>
        <w:rPr>
          <w:rFonts w:ascii="Arial" w:cs="Arial" w:eastAsia="Arial" w:hAnsi="Arial"/>
          <w:sz w:val="16"/>
          <w:szCs w:val="16"/>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 Risk Factors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3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business is subject to numerous risks and uncertainties, discussed in more detail in the following section. These risks include among others, the following key risks: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29" w:lineRule="exact"/>
        <w:rPr>
          <w:sz w:val="20"/>
          <w:szCs w:val="20"/>
          <w:color w:val="auto"/>
        </w:rPr>
      </w:pPr>
    </w:p>
    <w:p>
      <w:pPr>
        <w:ind w:left="640" w:right="50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ongoing coronavirus (COVID-19) pandemic or any other pandemic could adversely affect the Company’s business, financial condition and results of operations.</w:t>
      </w:r>
    </w:p>
    <w:p>
      <w:pPr>
        <w:spacing w:after="0" w:line="2" w:lineRule="exact"/>
        <w:rPr>
          <w:rFonts w:ascii="Arial" w:cs="Arial" w:eastAsia="Arial" w:hAnsi="Arial"/>
          <w:sz w:val="19"/>
          <w:szCs w:val="19"/>
          <w:color w:val="auto"/>
        </w:rPr>
      </w:pPr>
    </w:p>
    <w:p>
      <w:pPr>
        <w:ind w:left="620" w:hanging="29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8"/>
          <w:szCs w:val="18"/>
          <w:color w:val="auto"/>
        </w:rPr>
        <w:t>Certain facilities are newly constructed and may not perform as expected.</w:t>
      </w:r>
    </w:p>
    <w:p>
      <w:pPr>
        <w:spacing w:after="0" w:line="10" w:lineRule="exact"/>
        <w:rPr>
          <w:rFonts w:ascii="Arial" w:cs="Arial" w:eastAsia="Arial" w:hAnsi="Arial"/>
          <w:sz w:val="19"/>
          <w:szCs w:val="19"/>
          <w:color w:val="auto"/>
        </w:rPr>
      </w:pPr>
    </w:p>
    <w:p>
      <w:pPr>
        <w:ind w:left="620" w:hanging="29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Company's ability to grow and make acquisitions through cash on hand is limited.</w:t>
      </w:r>
    </w:p>
    <w:p>
      <w:pPr>
        <w:spacing w:after="0" w:line="5" w:lineRule="exact"/>
        <w:rPr>
          <w:rFonts w:ascii="Arial" w:cs="Arial" w:eastAsia="Arial" w:hAnsi="Arial"/>
          <w:sz w:val="19"/>
          <w:szCs w:val="19"/>
          <w:color w:val="auto"/>
        </w:rPr>
      </w:pPr>
    </w:p>
    <w:p>
      <w:pPr>
        <w:ind w:left="620" w:hanging="29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8"/>
          <w:szCs w:val="18"/>
          <w:color w:val="212121"/>
        </w:rPr>
        <w:t>The Company may be unable to close the Thermal Disposition.</w:t>
      </w:r>
    </w:p>
    <w:p>
      <w:pPr>
        <w:spacing w:after="0" w:line="2" w:lineRule="exact"/>
        <w:rPr>
          <w:rFonts w:ascii="Arial" w:cs="Arial" w:eastAsia="Arial" w:hAnsi="Arial"/>
          <w:sz w:val="19"/>
          <w:szCs w:val="19"/>
          <w:color w:val="auto"/>
        </w:rPr>
      </w:pPr>
    </w:p>
    <w:p>
      <w:pPr>
        <w:ind w:left="640" w:right="80" w:hanging="318"/>
        <w:spacing w:after="0" w:line="24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3" w:lineRule="exact"/>
        <w:rPr>
          <w:rFonts w:ascii="Arial" w:cs="Arial" w:eastAsia="Arial" w:hAnsi="Arial"/>
          <w:sz w:val="18"/>
          <w:szCs w:val="18"/>
          <w:color w:val="auto"/>
        </w:rPr>
      </w:pPr>
    </w:p>
    <w:p>
      <w:pPr>
        <w:ind w:left="640" w:right="360" w:hanging="318"/>
        <w:spacing w:after="0" w:line="274" w:lineRule="auto"/>
        <w:tabs>
          <w:tab w:leader="none" w:pos="628" w:val="left"/>
        </w:tabs>
        <w:numPr>
          <w:ilvl w:val="0"/>
          <w:numId w:val="4"/>
        </w:numPr>
        <w:rPr>
          <w:rFonts w:ascii="Arial" w:cs="Arial" w:eastAsia="Arial" w:hAnsi="Arial"/>
          <w:sz w:val="17"/>
          <w:szCs w:val="17"/>
          <w:color w:val="auto"/>
        </w:rPr>
      </w:pPr>
      <w:r>
        <w:rPr>
          <w:rFonts w:ascii="Arial" w:cs="Arial" w:eastAsia="Arial" w:hAnsi="Arial"/>
          <w:sz w:val="16"/>
          <w:szCs w:val="16"/>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2" w:lineRule="exact"/>
        <w:rPr>
          <w:rFonts w:ascii="Arial" w:cs="Arial" w:eastAsia="Arial" w:hAnsi="Arial"/>
          <w:sz w:val="17"/>
          <w:szCs w:val="17"/>
          <w:color w:val="auto"/>
        </w:rPr>
      </w:pPr>
    </w:p>
    <w:p>
      <w:pPr>
        <w:ind w:left="640" w:right="36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Company’s ability to effectively consummate future acquisitions will also depend on the Company’s ability to arrange the required or desired financing for acquisitions.</w:t>
      </w:r>
    </w:p>
    <w:p>
      <w:pPr>
        <w:spacing w:after="0" w:line="2" w:lineRule="exact"/>
        <w:rPr>
          <w:rFonts w:ascii="Arial" w:cs="Arial" w:eastAsia="Arial" w:hAnsi="Arial"/>
          <w:sz w:val="19"/>
          <w:szCs w:val="19"/>
          <w:color w:val="auto"/>
        </w:rPr>
      </w:pPr>
    </w:p>
    <w:p>
      <w:pPr>
        <w:ind w:left="640" w:right="40" w:hanging="318"/>
        <w:spacing w:after="0" w:line="25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Company’s indebtedness could adversely affect its ability to raise additional capital to fund the Company’s operations or pay distributions, and its debt may be adversely affected by changes to, or replacement of, the London Interbank Offered Rate, or LIBOR.</w:t>
      </w:r>
    </w:p>
    <w:p>
      <w:pPr>
        <w:spacing w:after="0" w:line="2" w:lineRule="exact"/>
        <w:rPr>
          <w:rFonts w:ascii="Arial" w:cs="Arial" w:eastAsia="Arial" w:hAnsi="Arial"/>
          <w:sz w:val="18"/>
          <w:szCs w:val="18"/>
          <w:color w:val="auto"/>
        </w:rPr>
      </w:pPr>
    </w:p>
    <w:p>
      <w:pPr>
        <w:ind w:left="640" w:right="20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3" w:lineRule="exact"/>
        <w:rPr>
          <w:rFonts w:ascii="Arial" w:cs="Arial" w:eastAsia="Arial" w:hAnsi="Arial"/>
          <w:sz w:val="19"/>
          <w:szCs w:val="19"/>
          <w:color w:val="auto"/>
        </w:rPr>
      </w:pPr>
    </w:p>
    <w:p>
      <w:pPr>
        <w:ind w:left="640" w:right="26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Maintenance, expansion and refurbishment of electric generation facilities involve significant risks that could result in unplanned power outages or reduced output.</w:t>
      </w:r>
    </w:p>
    <w:p>
      <w:pPr>
        <w:spacing w:after="0" w:line="2" w:lineRule="exact"/>
        <w:rPr>
          <w:rFonts w:ascii="Arial" w:cs="Arial" w:eastAsia="Arial" w:hAnsi="Arial"/>
          <w:sz w:val="19"/>
          <w:szCs w:val="19"/>
          <w:color w:val="auto"/>
        </w:rPr>
      </w:pPr>
    </w:p>
    <w:p>
      <w:pPr>
        <w:ind w:left="640" w:right="16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Supplier and/or customer concentration at certain of the Company's facilities may expose the Company to significant financial credit or performance risks.</w:t>
      </w:r>
    </w:p>
    <w:p>
      <w:pPr>
        <w:spacing w:after="0" w:line="2" w:lineRule="exact"/>
        <w:rPr>
          <w:rFonts w:ascii="Arial" w:cs="Arial" w:eastAsia="Arial" w:hAnsi="Arial"/>
          <w:sz w:val="19"/>
          <w:szCs w:val="19"/>
          <w:color w:val="auto"/>
        </w:rPr>
      </w:pPr>
    </w:p>
    <w:p>
      <w:pPr>
        <w:ind w:left="640" w:right="4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2" w:lineRule="exact"/>
        <w:rPr>
          <w:rFonts w:ascii="Arial" w:cs="Arial" w:eastAsia="Arial" w:hAnsi="Arial"/>
          <w:sz w:val="19"/>
          <w:szCs w:val="19"/>
          <w:color w:val="auto"/>
        </w:rPr>
      </w:pPr>
    </w:p>
    <w:p>
      <w:pPr>
        <w:ind w:left="640" w:right="4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Company's assets are exposed to risks inherent in the use of interest rate swaps and forward commodity purchase contracts and the Company may be exposed to additional risks in the future if it utilizes other derivative instruments.</w:t>
      </w:r>
    </w:p>
    <w:p>
      <w:pPr>
        <w:spacing w:after="0" w:line="2" w:lineRule="exact"/>
        <w:rPr>
          <w:rFonts w:ascii="Arial" w:cs="Arial" w:eastAsia="Arial" w:hAnsi="Arial"/>
          <w:sz w:val="19"/>
          <w:szCs w:val="19"/>
          <w:color w:val="auto"/>
        </w:rPr>
      </w:pPr>
    </w:p>
    <w:p>
      <w:pPr>
        <w:ind w:left="640" w:right="70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 does not own all of the land on which its power generation or thermal assets are located, which could result in disruption to its operations.</w:t>
      </w:r>
    </w:p>
    <w:p>
      <w:pPr>
        <w:spacing w:after="0" w:line="2" w:lineRule="exact"/>
        <w:rPr>
          <w:rFonts w:ascii="Arial" w:cs="Arial" w:eastAsia="Arial" w:hAnsi="Arial"/>
          <w:sz w:val="19"/>
          <w:szCs w:val="19"/>
          <w:color w:val="auto"/>
        </w:rPr>
      </w:pPr>
    </w:p>
    <w:p>
      <w:pPr>
        <w:ind w:left="640" w:right="84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Company's businesses are subject to physical, market and economic risks relating to potential effects of climate change and public and governmental initiatives to address climate change.</w:t>
      </w:r>
    </w:p>
    <w:p>
      <w:pPr>
        <w:spacing w:after="0" w:line="2" w:lineRule="exact"/>
        <w:rPr>
          <w:rFonts w:ascii="Arial" w:cs="Arial" w:eastAsia="Arial" w:hAnsi="Arial"/>
          <w:sz w:val="19"/>
          <w:szCs w:val="19"/>
          <w:color w:val="auto"/>
        </w:rPr>
      </w:pPr>
    </w:p>
    <w:p>
      <w:pPr>
        <w:ind w:left="640" w:right="34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Risks that are beyond the Company's control, including but not limited to acts of terrorism or related acts of war, natural disaster, inflation, supply chain disruptions, hostile cyber intrusions or other catastrophic events, could have a material adverse effect on the business, financial condition, results of operations and cash flows.</w:t>
      </w:r>
    </w:p>
    <w:p>
      <w:pPr>
        <w:spacing w:after="0" w:line="3" w:lineRule="exact"/>
        <w:rPr>
          <w:rFonts w:ascii="Arial" w:cs="Arial" w:eastAsia="Arial" w:hAnsi="Arial"/>
          <w:sz w:val="19"/>
          <w:szCs w:val="19"/>
          <w:color w:val="auto"/>
        </w:rPr>
      </w:pPr>
    </w:p>
    <w:p>
      <w:pPr>
        <w:ind w:left="620" w:hanging="29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operation of the Company’s businesses is subject to cyber-based security and integrity risk.</w:t>
      </w:r>
    </w:p>
    <w:p>
      <w:pPr>
        <w:spacing w:after="0" w:line="10" w:lineRule="exact"/>
        <w:rPr>
          <w:rFonts w:ascii="Arial" w:cs="Arial" w:eastAsia="Arial" w:hAnsi="Arial"/>
          <w:sz w:val="19"/>
          <w:szCs w:val="19"/>
          <w:color w:val="auto"/>
        </w:rPr>
      </w:pPr>
    </w:p>
    <w:p>
      <w:pPr>
        <w:ind w:left="620" w:hanging="29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6"/>
          <w:szCs w:val="16"/>
          <w:color w:val="auto"/>
        </w:rPr>
        <w:t>The Company relies on electric distribution and transmission facilities that it does not own or control and that are subject to transmission constraints</w:t>
      </w:r>
    </w:p>
    <w:p>
      <w:pPr>
        <w:spacing w:after="0" w:line="50" w:lineRule="exact"/>
        <w:rPr>
          <w:rFonts w:ascii="Arial" w:cs="Arial" w:eastAsia="Arial" w:hAnsi="Arial"/>
          <w:sz w:val="17"/>
          <w:szCs w:val="17"/>
          <w:color w:val="auto"/>
        </w:rPr>
      </w:pPr>
    </w:p>
    <w:p>
      <w:pPr>
        <w:ind w:left="640" w:right="120"/>
        <w:spacing w:after="0" w:line="251" w:lineRule="auto"/>
        <w:rPr>
          <w:rFonts w:ascii="Arial" w:cs="Arial" w:eastAsia="Arial" w:hAnsi="Arial"/>
          <w:sz w:val="17"/>
          <w:szCs w:val="17"/>
          <w:color w:val="auto"/>
        </w:rPr>
      </w:pPr>
      <w:r>
        <w:rPr>
          <w:rFonts w:ascii="Arial" w:cs="Arial" w:eastAsia="Arial" w:hAnsi="Arial"/>
          <w:sz w:val="18"/>
          <w:szCs w:val="18"/>
          <w:color w:val="auto"/>
        </w:rPr>
        <w:t>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2" w:lineRule="exact"/>
        <w:rPr>
          <w:rFonts w:ascii="Arial" w:cs="Arial" w:eastAsia="Arial" w:hAnsi="Arial"/>
          <w:sz w:val="17"/>
          <w:szCs w:val="17"/>
          <w:color w:val="auto"/>
        </w:rPr>
      </w:pPr>
    </w:p>
    <w:p>
      <w:pPr>
        <w:ind w:left="640" w:right="440" w:hanging="318"/>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2" w:lineRule="exact"/>
        <w:rPr>
          <w:rFonts w:ascii="Arial" w:cs="Arial" w:eastAsia="Arial" w:hAnsi="Arial"/>
          <w:sz w:val="19"/>
          <w:szCs w:val="19"/>
          <w:color w:val="auto"/>
        </w:rPr>
      </w:pPr>
    </w:p>
    <w:p>
      <w:pPr>
        <w:ind w:left="640" w:right="420" w:hanging="318"/>
        <w:spacing w:after="0" w:line="249"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640" w:right="260" w:hanging="318"/>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potentially be adversely affected by emerging technologies that may over time impact capacity markets and the energy industry overall.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 with GIP and CEG</w:t>
      </w:r>
    </w:p>
    <w:p>
      <w:pPr>
        <w:spacing w:after="0" w:line="155" w:lineRule="exact"/>
        <w:rPr>
          <w:sz w:val="20"/>
          <w:szCs w:val="20"/>
          <w:color w:val="auto"/>
        </w:rPr>
      </w:pPr>
    </w:p>
    <w:p>
      <w:pPr>
        <w:ind w:left="640" w:right="300" w:hanging="318"/>
        <w:spacing w:after="0" w:line="244" w:lineRule="auto"/>
        <w:tabs>
          <w:tab w:leader="none" w:pos="628" w:val="left"/>
        </w:tabs>
        <w:numPr>
          <w:ilvl w:val="0"/>
          <w:numId w:val="6"/>
        </w:numPr>
        <w:rPr>
          <w:rFonts w:ascii="Arial" w:cs="Arial" w:eastAsia="Arial" w:hAnsi="Arial"/>
          <w:sz w:val="19"/>
          <w:szCs w:val="19"/>
          <w:color w:val="auto"/>
        </w:rPr>
      </w:pPr>
      <w:r>
        <w:rPr>
          <w:rFonts w:ascii="Arial" w:cs="Arial" w:eastAsia="Arial" w:hAnsi="Arial"/>
          <w:sz w:val="18"/>
          <w:szCs w:val="18"/>
          <w:color w:val="auto"/>
        </w:rPr>
        <w:t>GIP exercises substantial influence over the Company through its position as the controlling shareholder of Clearway, Inc. The Company is highly dependent on GIP and CEG.</w:t>
      </w:r>
    </w:p>
    <w:p>
      <w:pPr>
        <w:spacing w:after="0" w:line="2" w:lineRule="exact"/>
        <w:rPr>
          <w:rFonts w:ascii="Arial" w:cs="Arial" w:eastAsia="Arial" w:hAnsi="Arial"/>
          <w:sz w:val="19"/>
          <w:szCs w:val="19"/>
          <w:color w:val="auto"/>
        </w:rPr>
      </w:pPr>
    </w:p>
    <w:p>
      <w:pPr>
        <w:ind w:left="620" w:hanging="29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8"/>
          <w:szCs w:val="18"/>
          <w:color w:val="auto"/>
        </w:rPr>
        <w:t>The Company may not be able to consummate future acquisitions from CEG.</w:t>
      </w:r>
    </w:p>
    <w:p>
      <w:pPr>
        <w:spacing w:after="0" w:line="10" w:lineRule="exact"/>
        <w:rPr>
          <w:rFonts w:ascii="Arial" w:cs="Arial" w:eastAsia="Arial" w:hAnsi="Arial"/>
          <w:sz w:val="19"/>
          <w:szCs w:val="19"/>
          <w:color w:val="auto"/>
        </w:rPr>
      </w:pPr>
    </w:p>
    <w:p>
      <w:pPr>
        <w:ind w:left="620" w:hanging="29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8"/>
          <w:szCs w:val="18"/>
          <w:color w:val="auto"/>
        </w:rPr>
        <w:t>The Company may be unable to terminate the CEG Master Services Agreement, in certain circumstances.</w:t>
      </w:r>
    </w:p>
    <w:p>
      <w:pPr>
        <w:spacing w:after="0" w:line="5" w:lineRule="exact"/>
        <w:rPr>
          <w:rFonts w:ascii="Arial" w:cs="Arial" w:eastAsia="Arial" w:hAnsi="Arial"/>
          <w:sz w:val="19"/>
          <w:szCs w:val="19"/>
          <w:color w:val="auto"/>
        </w:rPr>
      </w:pPr>
    </w:p>
    <w:p>
      <w:pPr>
        <w:ind w:left="640" w:right="220" w:hanging="318"/>
        <w:spacing w:after="0" w:line="244" w:lineRule="auto"/>
        <w:tabs>
          <w:tab w:leader="none" w:pos="628" w:val="left"/>
        </w:tabs>
        <w:numPr>
          <w:ilvl w:val="0"/>
          <w:numId w:val="6"/>
        </w:numPr>
        <w:rPr>
          <w:rFonts w:ascii="Arial" w:cs="Arial" w:eastAsia="Arial" w:hAnsi="Arial"/>
          <w:sz w:val="19"/>
          <w:szCs w:val="19"/>
          <w:color w:val="auto"/>
        </w:rPr>
      </w:pPr>
      <w:r>
        <w:rPr>
          <w:rFonts w:ascii="Arial" w:cs="Arial" w:eastAsia="Arial" w:hAnsi="Arial"/>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16" w:lineRule="exact"/>
        <w:rPr>
          <w:sz w:val="20"/>
          <w:szCs w:val="20"/>
          <w:color w:val="auto"/>
        </w:rPr>
      </w:pPr>
    </w:p>
    <w:p>
      <w:pPr>
        <w:ind w:left="640" w:hanging="31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Company's business is subject to restrictions resulting from environmental, health and safety laws and regulations.</w:t>
      </w:r>
    </w:p>
    <w:p>
      <w:pPr>
        <w:spacing w:after="0" w:line="17" w:lineRule="exact"/>
        <w:rPr>
          <w:rFonts w:ascii="Arial" w:cs="Arial" w:eastAsia="Arial" w:hAnsi="Arial"/>
          <w:sz w:val="18"/>
          <w:szCs w:val="18"/>
          <w:b w:val="1"/>
          <w:bCs w:val="1"/>
          <w:color w:val="auto"/>
        </w:rPr>
      </w:pPr>
    </w:p>
    <w:p>
      <w:pPr>
        <w:ind w:left="640" w:right="280" w:hanging="318"/>
        <w:spacing w:after="0" w:line="244" w:lineRule="auto"/>
        <w:tabs>
          <w:tab w:leader="none" w:pos="628" w:val="left"/>
        </w:tabs>
        <w:numPr>
          <w:ilvl w:val="0"/>
          <w:numId w:val="7"/>
        </w:numPr>
        <w:rPr>
          <w:rFonts w:ascii="Arial" w:cs="Arial" w:eastAsia="Arial" w:hAnsi="Arial"/>
          <w:sz w:val="19"/>
          <w:szCs w:val="19"/>
          <w:color w:val="auto"/>
        </w:rPr>
      </w:pPr>
      <w:r>
        <w:rPr>
          <w:rFonts w:ascii="Arial" w:cs="Arial" w:eastAsia="Arial" w:hAnsi="Arial"/>
          <w:sz w:val="18"/>
          <w:szCs w:val="18"/>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Arial" w:cs="Arial" w:eastAsia="Arial" w:hAnsi="Arial"/>
          <w:sz w:val="19"/>
          <w:szCs w:val="19"/>
          <w:color w:val="auto"/>
        </w:rPr>
      </w:pPr>
    </w:p>
    <w:p>
      <w:pPr>
        <w:ind w:left="640" w:hanging="31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business is subject to complex and evolving U.S. laws and regulations regarding privacy and data protection.</w:t>
      </w:r>
    </w:p>
    <w:p>
      <w:pPr>
        <w:spacing w:after="0" w:line="4" w:lineRule="exact"/>
        <w:rPr>
          <w:rFonts w:ascii="Arial" w:cs="Arial" w:eastAsia="Arial" w:hAnsi="Arial"/>
          <w:sz w:val="18"/>
          <w:szCs w:val="18"/>
          <w:color w:val="auto"/>
        </w:rPr>
      </w:pPr>
    </w:p>
    <w:p>
      <w:pPr>
        <w:ind w:left="640" w:right="160" w:hanging="318"/>
        <w:spacing w:after="0" w:line="24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regulations providing incentives for renewable power generation could change at any time and such changes may negatively impact the Company's growth strategy.</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profitability of certain of the Company's Thermal assets is dependent on regulatory approval.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Company's Business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ongoing coronavirus (COVID-19) pandemic or any other pandemic could adversely affect the Company’s business, financial condition and results of operations.</w:t>
      </w:r>
    </w:p>
    <w:p>
      <w:pPr>
        <w:spacing w:after="0" w:line="128"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ongoing coronavirus (COVID-19) outbreak, which the World Health Organization declared as a pandemic on March 11, 2020, has reached every region of the world and has resulted in widespread adverse impacts on the global economy.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w:t>
      </w:r>
    </w:p>
    <w:p>
      <w:pPr>
        <w:spacing w:after="0" w:line="118"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6"/>
          <w:szCs w:val="16"/>
          <w:color w:val="auto"/>
        </w:rPr>
        <w:t>There is considerable uncertainty regarding how long the COVID-19 pandemic will persist and affect economic conditions, as well as whether governmental and other measures implemented to try to slow the spread of the virus, such as large-scale travel bans and restrictions, border closures, quarantines, shelter-in-place orders and business and government shutdowns that exist as of the date of this report will be effective or whether new measures will be implemented or reinstated.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unit holders and its ability to satisfy its debt service obligations.</w:t>
      </w:r>
    </w:p>
    <w:p>
      <w:pPr>
        <w:spacing w:after="0" w:line="117"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As of the date of this report, the Company's efforts to respond to the challenges presented by the conditions described above have allowed the Company to minimize the impacts to its business.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6" w:name="page17"/>
    <w:bookmarkEnd w:id="16"/>
    <w:p>
      <w:pPr>
        <w:jc w:val="both"/>
        <w:ind w:firstLine="396"/>
        <w:spacing w:after="0" w:line="234" w:lineRule="auto"/>
        <w:rPr>
          <w:sz w:val="20"/>
          <w:szCs w:val="20"/>
          <w:color w:val="auto"/>
        </w:rPr>
      </w:pPr>
      <w:r>
        <w:rPr>
          <w:rFonts w:ascii="Arial" w:cs="Arial" w:eastAsia="Arial" w:hAnsi="Arial"/>
          <w:sz w:val="18"/>
          <w:szCs w:val="18"/>
          <w:color w:val="auto"/>
        </w:rPr>
        <w:t>Additionally, the effects of COVID-19 (and its variants) or any other pandemic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unit holders and its ability to satisfy its debt service obligations.</w:t>
      </w:r>
    </w:p>
    <w:p>
      <w:pPr>
        <w:spacing w:after="0" w:line="134" w:lineRule="exact"/>
        <w:rPr>
          <w:sz w:val="20"/>
          <w:szCs w:val="20"/>
          <w:color w:val="auto"/>
        </w:rPr>
      </w:pPr>
    </w:p>
    <w:p>
      <w:pPr>
        <w:jc w:val="both"/>
        <w:ind w:firstLine="396"/>
        <w:spacing w:after="0" w:line="233" w:lineRule="auto"/>
        <w:rPr>
          <w:sz w:val="20"/>
          <w:szCs w:val="20"/>
          <w:color w:val="auto"/>
        </w:rPr>
      </w:pPr>
      <w:r>
        <w:rPr>
          <w:rFonts w:ascii="Arial" w:cs="Arial" w:eastAsia="Arial" w:hAnsi="Arial"/>
          <w:sz w:val="18"/>
          <w:szCs w:val="18"/>
          <w:color w:val="auto"/>
        </w:rPr>
        <w:t>The Company cannot predict the full impact that COVID-19 and its variants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impacts will depend on future developments, including, among others, the ultimate duration and persistence of the pandemic, the consequences of governmental and other measures designed to prevent the spread of the virus, the ability of governments and health care providers to timely distribute available vaccines and the efficacy of such vaccines, the duration of the outbreak, actions taken by governmental actions taken by authorities, customers, suppliers and other third parties, workforce availability and the timing and extent to which normal economic and operating conditions resume.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149" w:lineRule="exact"/>
        <w:rPr>
          <w:sz w:val="20"/>
          <w:szCs w:val="20"/>
          <w:color w:val="auto"/>
        </w:rPr>
      </w:pPr>
    </w:p>
    <w:p>
      <w:pPr>
        <w:jc w:val="both"/>
        <w:ind w:firstLine="396"/>
        <w:spacing w:after="0" w:line="235"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Clearway, Inc. and CEG.</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is limited.</w:t>
      </w:r>
    </w:p>
    <w:p>
      <w:pPr>
        <w:spacing w:after="0" w:line="12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close the Thermal Disposition.</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On October 22, 2021, Clearway Energy Operating LLC entered into a Membership Interest Purchase Agreement to sell the Company’s Thermal Business to KKR, or the Thermal Disposition. The Thermal Disposition is expected to close in the first half of 2022 and is subject to certain customary closing conditions that make its completion and timing uncertain. Accordingly, there can be no assurance that the Thermal Disposition will be consummated on the anticipated schedule or at all. If the Company is unable to complete the Thermal Disposition, the Company may need to seek a new buyer or reassess the decision to sell the Thermal Business, and any such new sale would also be subject to new regulatory approvals and other conditions. Such renegotiation and conditions and the process of obtaining regulatory approvals could have the effect of delaying or impeding consummation of the sale of the Thermal Business. In addition, if the Thermal Disposition is not completed, the Company may need to raise additional capital, including the issuance of additional shares of Clearway Inc.'s common stock to raise equity capital to repay existing indebtedness that has been incurred in anticipation of the Thermal Disposition and to fund the Company’s operations or future growth investments. The future issuance of additional shares of Clearway, Inc. common stock may cause dilution of investors' ownership interest and adversely impact the value of Clearway, Inc.'s common stock. As a result, a delay or failure to consummate the Thermal Disposition could have a material adverse effect on the Company’s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137"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Clearway, Inc.'s common stock.</w:t>
      </w:r>
    </w:p>
    <w:p>
      <w:pPr>
        <w:spacing w:after="0" w:line="117"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13"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 holders. Any failure of the Company’s acquired generation assets to be accretive or difficulty in integrating such acquisition into the Company’s business could have a material adverse effect on the Company’s ability to grow its business and make cash distributions to its unit holders. As a result, the consummation of acquisitions could have a material adverse effect on the Company's business, financial condition, results of operations, cash flows and ability to pay distributions to its unit holders.</w:t>
      </w:r>
    </w:p>
    <w:p>
      <w:pPr>
        <w:spacing w:after="0" w:line="12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8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 significant portion of the electric power the Company generates is sold under long-term offtake agreements with public utilities or industrial or commercial end-users, with a weighted average remaining duration, based on CAFD, of approximately 12 years. As of December 31, 2021, the largest customers of the Company's power generation assets, including assets in which the Company has less than a 100% membership interest, were SCE and PG&amp;E, which represented 33% and 23%, respectively, of total consolidated revenues generated by the Company during the year ended December 31, 2021.</w:t>
      </w:r>
    </w:p>
    <w:p>
      <w:pPr>
        <w:spacing w:after="0" w:line="107"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8" w:name="page19"/>
    <w:bookmarkEnd w:id="18"/>
    <w:p>
      <w:pPr>
        <w:jc w:val="both"/>
        <w:ind w:firstLine="396"/>
        <w:spacing w:after="0" w:line="279" w:lineRule="auto"/>
        <w:rPr>
          <w:sz w:val="20"/>
          <w:szCs w:val="20"/>
          <w:color w:val="auto"/>
        </w:rPr>
      </w:pPr>
      <w:r>
        <w:rPr>
          <w:rFonts w:ascii="Arial" w:cs="Arial" w:eastAsia="Arial" w:hAnsi="Arial"/>
          <w:sz w:val="16"/>
          <w:szCs w:val="16"/>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2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2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1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01"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As of December 31, 2021, the Company had approximately $7,779 million of total consolidated indebtedness, $5,073 million of which was incurred by the Company's non-guarantor subsidiaries. In addition, the Company’s share of its unconsolidated affiliates’ total indebtedness and letters of credit outstanding as of December 31, 2021, totaled approximately $345 million and $37 million, respectively (calculated as the Company’s unconsolidated affiliates’ total indebtedness as of such date multiplied by the Company’s percentage membership interest in such assets).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substantial debt could have important negative consequences on the Company’s financial condition, including:</w:t>
      </w:r>
    </w:p>
    <w:p>
      <w:pPr>
        <w:spacing w:after="0" w:line="57" w:lineRule="exact"/>
        <w:rPr>
          <w:sz w:val="20"/>
          <w:szCs w:val="20"/>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15" w:lineRule="exact"/>
        <w:rPr>
          <w:rFonts w:ascii="Arial" w:cs="Arial" w:eastAsia="Arial" w:hAnsi="Arial"/>
          <w:sz w:val="18"/>
          <w:szCs w:val="18"/>
          <w:color w:val="auto"/>
        </w:rPr>
      </w:pPr>
    </w:p>
    <w:p>
      <w:pPr>
        <w:jc w:val="both"/>
        <w:ind w:left="640" w:hanging="318"/>
        <w:spacing w:after="0" w:line="24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4" w:lineRule="exact"/>
        <w:rPr>
          <w:rFonts w:ascii="Arial" w:cs="Arial" w:eastAsia="Arial" w:hAnsi="Arial"/>
          <w:sz w:val="18"/>
          <w:szCs w:val="18"/>
          <w:color w:val="auto"/>
        </w:rPr>
      </w:pPr>
    </w:p>
    <w:p>
      <w:pPr>
        <w:jc w:val="both"/>
        <w:ind w:left="640" w:hanging="318"/>
        <w:spacing w:after="0" w:line="24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Arial" w:cs="Arial" w:eastAsia="Arial" w:hAnsi="Arial"/>
          <w:sz w:val="18"/>
          <w:szCs w:val="18"/>
          <w:color w:val="auto"/>
        </w:rPr>
      </w:pPr>
    </w:p>
    <w:p>
      <w:pPr>
        <w:ind w:left="640" w:hanging="318"/>
        <w:spacing w:after="0" w:line="24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revolving credit facility, are at variable rates of interest;</w:t>
      </w:r>
    </w:p>
    <w:p>
      <w:pPr>
        <w:spacing w:after="0" w:line="1" w:lineRule="exact"/>
        <w:rPr>
          <w:rFonts w:ascii="Arial" w:cs="Arial" w:eastAsia="Arial" w:hAnsi="Arial"/>
          <w:sz w:val="18"/>
          <w:szCs w:val="18"/>
          <w:color w:val="auto"/>
        </w:rPr>
      </w:pPr>
    </w:p>
    <w:p>
      <w:pPr>
        <w:ind w:left="640" w:hanging="318"/>
        <w:spacing w:after="0" w:line="24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9" w:name="page20"/>
    <w:bookmarkEnd w:id="19"/>
    <w:p>
      <w:pPr>
        <w:ind w:left="640" w:hanging="318"/>
        <w:spacing w:after="0" w:line="26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2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Company's revolving credit facility contains financial and other restrictive covenants that limit the Company’s ability to return capital to unit 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14"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w:t>
      </w:r>
    </w:p>
    <w:p>
      <w:pPr>
        <w:spacing w:after="0" w:line="119"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4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23" w:lineRule="exact"/>
        <w:rPr>
          <w:sz w:val="20"/>
          <w:szCs w:val="20"/>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56"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confidence in the Company, its partners, Clearway, Inc. (as the Company's sole managing member), or GIP, through CEG, as Clearway, Inc.'s principal stockholder (on a combined voting basis) and the regional wholesale power markets;</w:t>
      </w:r>
    </w:p>
    <w:p>
      <w:pPr>
        <w:spacing w:after="0" w:line="22"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0" w:name="page21"/>
    <w:bookmarkEnd w:id="20"/>
    <w:p>
      <w:pPr>
        <w:ind w:right="280"/>
        <w:spacing w:after="0" w:line="262"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or LIBOR, or the replacement of LIBOR with an alternative reference rate, may adversely affect interest expense related to outstanding debt.</w:t>
      </w:r>
    </w:p>
    <w:p>
      <w:pPr>
        <w:spacing w:after="0" w:line="128"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Amounts drawn under the Company's revolving credit facility and certain of the Company's project-level debt facilities currently bear interest at rates based on LIBOR. On July 27, 2017, the Financial Conduct Authority in the United Kingdom announced that it would phase out LIBOR as a benchmark by the end of 2021. On November 30, 2020, ICE Benchmark Administration Limited,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30, 2023, the United States Federal Reserve concurrently issued a statement advising banks to stop new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technical amendments or other contractual alternatives to address this matter with respect to all its existing debt facilities and swap arrangements and is continuing to evaluate the impact of LIBOR’s expected replacement. If no such amendments or other contractual 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or has otherwise amended its interest rate swaps or other derivative instruments to reflect an alternative reference rate, these hedging strategies may not be effective as a result of the replacement or phasing out of LIBOR, and the Company may incur losses as a result. The potential increase in the Company’s interest expense as a result of the phase-out of LIBOR and uncertainty as to the nature of the alternative reference rates could have an adverse effect on the Company's business, financial condition, results of operations and cash flows.</w:t>
      </w:r>
    </w:p>
    <w:p>
      <w:pPr>
        <w:spacing w:after="0" w:line="12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The Company’s proceeds from “Green Bonds” may not satisfy investor criteria and expectations regarding environmental impact and sustainability performance.</w:t>
      </w:r>
    </w:p>
    <w:p>
      <w:pPr>
        <w:spacing w:after="0" w:line="128"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Certain of the Company’s Senior Notes are “Green Bonds,” which require that an amount equal to the net proceeds from the sale of such Senior Notes must be allocated to finance or refinance, in part or in full, new and existing projects and assets meeting certain eligibility criteria under the Company's green bond framework. There is no assurance that the eligible projects to which the Company allocates proceeds from such Senior Notes will satisfy, or continue to satisfy, investor criteria and expectations regarding environmental impact and sustainability performance, and no assurance is given that the use or allocation will satisfy present or future investor expectations or requirements, voluntary taxonomies or standards regarding any investment criteria or guidelines with which investors or their investments are required to comply, whether by any present or future applicable laws or regulations, by their own governing rules or investment portfolio mandates, ratings criteria, voluntary taxonomies or standards or other independent expectations. The market price of such Senior Notes may be impacted by any failure by the Company to satisfy these present or future investor expectations or requirements.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28"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62"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5"/>
          <w:szCs w:val="15"/>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10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28"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1"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Company’s facilities may operate, wholly or partially, without long-term power sales agreements.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2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3"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Supplier and/or customer concentration at certain of the Company's facilities may expose the Company to significant financial credit or performance risks.</w:t>
      </w:r>
    </w:p>
    <w:p>
      <w:pPr>
        <w:spacing w:after="0" w:line="197"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2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13"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28"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 xml:space="preserve">As described in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unit holders, on the one hand, and the Company's co-venturers, on the other hand, where the Company's co-venturers' business interests are inconsistent with the interests of the Company and its unit 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1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commodity purchase contracts and the Company may be exposed to additional risks in the future if it utilizes other derivative instruments.</w:t>
      </w:r>
    </w:p>
    <w:p>
      <w:pPr>
        <w:spacing w:after="0" w:line="12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commodity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does not own all of the land on which its power generation or thermal assets are located, which could result in disruption to its operations.</w:t>
      </w:r>
    </w:p>
    <w:p>
      <w:pPr>
        <w:spacing w:after="0" w:line="19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28"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2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Climate change creates uncertainty in weather and other environmental conditions, including temperature and precipitation levels, and thus may affect consumer demand for electricity. For example, milder than normal weather can reduce demand for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13"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the Build Back Better Act, passed by the U.S. House of Representatives and supported by President Biden, includes incentives to increase wind and solar electric generation and encourage consumers to use these alternative energy sources. While this could benefit the Company by increasing the demand for the Company's solar or wind energy, the Company could experience delayed or cancelled projects and/or reduced production and demand for energy generated by the Company’s conventional assets. At this time, it is uncertain whether, and in what form, the Build Back Better Act may become law. However, the Build Back Better Act or similar state or federal initiatives to incentivize a shift away from fossil fuels could reduce demand for energy generated by fossil fuels, and therefore have an adverse effect on the Company’s business, financial condition and results of operations.</w:t>
      </w:r>
    </w:p>
    <w:p>
      <w:pPr>
        <w:spacing w:after="0" w:line="12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Lastly, companies across all industries are facing increased scrutiny from the public, stakeholders and government agencies related to their environmental, social, and governance (ESG) practices and commitments to address climate change.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Risks that are beyond the Company's control, including but not limited to acts of terrorism or related acts of war, natural disaster, inflation, supply chain disruptions, hostile cyber intrusions or other catastrophic events, could have a material adverse effect on the business, financial condition, results of operations and cash flows.</w:t>
      </w:r>
    </w:p>
    <w:p>
      <w:pPr>
        <w:spacing w:after="0" w:line="137"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5" w:name="page26"/>
    <w:bookmarkEnd w:id="25"/>
    <w:p>
      <w:pPr>
        <w:jc w:val="both"/>
        <w:ind w:firstLine="396"/>
        <w:spacing w:after="0" w:line="303" w:lineRule="auto"/>
        <w:rPr>
          <w:sz w:val="20"/>
          <w:szCs w:val="20"/>
          <w:color w:val="auto"/>
        </w:rPr>
      </w:pPr>
      <w:r>
        <w:rPr>
          <w:rFonts w:ascii="Arial" w:cs="Arial" w:eastAsia="Arial" w:hAnsi="Arial"/>
          <w:sz w:val="15"/>
          <w:szCs w:val="15"/>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1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01"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28"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spacing w:after="0" w:line="262" w:lineRule="auto"/>
        <w:rPr>
          <w:sz w:val="20"/>
          <w:szCs w:val="20"/>
          <w:color w:val="auto"/>
        </w:rPr>
      </w:pPr>
      <w:r>
        <w:rPr>
          <w:rFonts w:ascii="Arial" w:cs="Arial" w:eastAsia="Arial" w:hAnsi="Arial"/>
          <w:sz w:val="18"/>
          <w:szCs w:val="18"/>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28" w:lineRule="exact"/>
        <w:rPr>
          <w:sz w:val="20"/>
          <w:szCs w:val="20"/>
          <w:color w:val="auto"/>
        </w:rPr>
      </w:pPr>
    </w:p>
    <w:p>
      <w:pPr>
        <w:jc w:val="both"/>
        <w:ind w:right="140" w:firstLine="396"/>
        <w:spacing w:after="0" w:line="253" w:lineRule="auto"/>
        <w:rPr>
          <w:sz w:val="20"/>
          <w:szCs w:val="20"/>
          <w:color w:val="auto"/>
        </w:rPr>
      </w:pPr>
      <w:r>
        <w:rPr>
          <w:rFonts w:ascii="Arial" w:cs="Arial" w:eastAsia="Arial" w:hAnsi="Arial"/>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may potentially be adversely affected by emerging technologies that may over time impact capacity markets and the energy industry overall.</w:t>
      </w:r>
    </w:p>
    <w:p>
      <w:pPr>
        <w:spacing w:after="0" w:line="19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186"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Relationships with GIP and CEG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GIP, through its ownership of CEG, exercises substantial influence over the Company through its position as controlling shareholder of Clearway,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highly dependent on GIP and CEG.</w:t>
      </w:r>
    </w:p>
    <w:p>
      <w:pPr>
        <w:spacing w:after="0" w:line="15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GIP, through its ownership of CEG, owns all of Clearway, Inc.'s outstanding Class B and Class D common stock. Clearway, Inc.'s outstanding Class B and Class D common stock is entitled to one vote per share and 1/100th of a vote per share, respectively. As a result of its ownership of Clearway, Inc.'s Class B and Class D common stock, GIP indirectly owned 54.93% of the combined voting power of Clearway, Inc.’s common stock as of December 31, 2021. Clearway, Inc., through its holdings of Class A units and Class C units, owned a 57.65% economic interest in the Company as of December 31, 2021. Additionally, GIP, through CEG's holdings of Class B units and Class D units, owned the remaining 42.35% economic interest in the Company as of December 31, 2021. As a result of this ownership, GIP has a substantial influence on the Company's affairs.</w:t>
      </w:r>
    </w:p>
    <w:p>
      <w:pPr>
        <w:spacing w:after="0" w:line="114"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17"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GIP and its affiliates control the Company and have the ability to designate a majority of the members of Clearway, Inc.'s Board.</w:t>
      </w:r>
    </w:p>
    <w:p>
      <w:pPr>
        <w:spacing w:after="0" w:line="16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Due to GIP's approximate 54.93% combined voting power in Clearway, Inc., the ability of other holders of Clearway, Inc.’s Class A and Class C common stock to exercise control over the corporate governance of the Company is limited. GIP and its affiliates have a substantial influence on Clearway, Inc.’s affairs and its voting power constitutes a large percentage of any quorum of Clearway, Inc.’s stockholders voting on any matter requiring the approval of Clearway, Inc.’s stockholders. Such matters include the election of directors, the adoption of amendments to Clearway, Inc.'s amended and restated certificate of incorporation and fourth amended and restated bylaws and approval of mergers or sale of all or substantially all of its assets. This concentration of ownership may also have the effect of delaying or preventing a change in control of Clearway, Inc. or discouraging others from making tender offers for Clearway, Inc.'s shares. In addition, GIP has the right to elect all of Clearway, Inc.'s directors. GIP and its affiliates may hold certain interests that are different from those of the Company or other holders of Clearway, Inc.'s Class A and Class C common stock and there is no assurance that GIP and its affiliates will exercise its control over the Company in a manner that is consistent with the Company’s interests or those of the holders of Clearway, Inc.'s Class A and Class C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CEG.</w:t>
      </w:r>
    </w:p>
    <w:p>
      <w:pPr>
        <w:spacing w:after="0" w:line="16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terminate the CEG Master Services Agreement, in certain circumstances.</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w:t>
      </w:r>
    </w:p>
    <w:p>
      <w:pPr>
        <w:spacing w:after="0" w:line="1" w:lineRule="exact"/>
        <w:rPr>
          <w:sz w:val="20"/>
          <w:szCs w:val="20"/>
          <w:color w:val="auto"/>
        </w:rPr>
      </w:pPr>
    </w:p>
    <w:p>
      <w:pPr>
        <w:jc w:val="both"/>
        <w:ind w:firstLine="6"/>
        <w:spacing w:after="0" w:line="280"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2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37"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its unit holders.</w:t>
      </w:r>
    </w:p>
    <w:p>
      <w:pPr>
        <w:spacing w:after="0" w:line="122" w:lineRule="exact"/>
        <w:rPr>
          <w:sz w:val="20"/>
          <w:szCs w:val="20"/>
          <w:color w:val="auto"/>
        </w:rPr>
      </w:pPr>
    </w:p>
    <w:p>
      <w:pPr>
        <w:jc w:val="both"/>
        <w:spacing w:after="0" w:line="363" w:lineRule="auto"/>
        <w:rPr>
          <w:sz w:val="20"/>
          <w:szCs w:val="20"/>
          <w:color w:val="auto"/>
        </w:rPr>
      </w:pPr>
      <w:r>
        <w:rPr>
          <w:rFonts w:ascii="Arial" w:cs="Arial" w:eastAsia="Arial" w:hAnsi="Arial"/>
          <w:sz w:val="15"/>
          <w:szCs w:val="15"/>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59"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6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1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Greenhouse gas (GHG) regulation could also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9" w:name="page30"/>
    <w:bookmarkEnd w:id="29"/>
    <w:p>
      <w:pPr>
        <w:jc w:val="both"/>
        <w:ind w:firstLine="396"/>
        <w:spacing w:after="0" w:line="285" w:lineRule="auto"/>
        <w:rPr>
          <w:sz w:val="20"/>
          <w:szCs w:val="20"/>
          <w:color w:val="auto"/>
        </w:rPr>
      </w:pPr>
      <w:r>
        <w:rPr>
          <w:rFonts w:ascii="Arial" w:cs="Arial" w:eastAsia="Arial" w:hAnsi="Arial"/>
          <w:sz w:val="16"/>
          <w:szCs w:val="16"/>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 United States of America” that will allow the U.S. to rejoin the Paris Agreement. The newly signed acceptance, deposited with the United Nations on January 20, reverses the prior withdrawal. The U.S. officially rejoined the Paris Agreement on February 19, 2021.</w:t>
      </w:r>
    </w:p>
    <w:p>
      <w:pPr>
        <w:spacing w:after="0" w:line="114"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The U.S. Congress, along with federal and state agencies, has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and suspend, revise, or rescind, prior agency actions that are identified as conflicting with the Biden Administration’s climate policies. Furthermore, as part of rejoining the Paris Agreement, President Biden announced that the United States would commit to a 50 to 52 percent reduction from 2005 levels of GHG emissions by 2030, and set the goal of reaching net-zero GHG emissions by 2050.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118" w:lineRule="exact"/>
        <w:rPr>
          <w:sz w:val="20"/>
          <w:szCs w:val="20"/>
          <w:color w:val="auto"/>
        </w:rPr>
      </w:pPr>
    </w:p>
    <w:p>
      <w:pPr>
        <w:jc w:val="both"/>
        <w:spacing w:after="0" w:line="325" w:lineRule="auto"/>
        <w:rPr>
          <w:sz w:val="20"/>
          <w:szCs w:val="20"/>
          <w:color w:val="auto"/>
        </w:rPr>
      </w:pPr>
      <w:r>
        <w:rPr>
          <w:rFonts w:ascii="Arial" w:cs="Arial" w:eastAsia="Arial" w:hAnsi="Arial"/>
          <w:sz w:val="16"/>
          <w:szCs w:val="16"/>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9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1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0" w:name="page31"/>
    <w:bookmarkEnd w:id="30"/>
    <w:p>
      <w:pPr>
        <w:jc w:val="both"/>
        <w:ind w:firstLine="396"/>
        <w:spacing w:after="0" w:line="278" w:lineRule="auto"/>
        <w:rPr>
          <w:sz w:val="20"/>
          <w:szCs w:val="20"/>
          <w:color w:val="auto"/>
        </w:rPr>
      </w:pPr>
      <w:r>
        <w:rPr>
          <w:rFonts w:ascii="Arial" w:cs="Arial" w:eastAsia="Arial" w:hAnsi="Arial"/>
          <w:sz w:val="16"/>
          <w:szCs w:val="16"/>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28"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spacing w:after="0" w:line="137"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b w:val="1"/>
          <w:bCs w:val="1"/>
          <w:i w:val="1"/>
          <w:iCs w:val="1"/>
          <w:color w:val="auto"/>
        </w:rPr>
        <w:t>Government regulations providing incentives for renewable power generation could change at any time and such changes may negatively impact the Company's growth strategy.</w:t>
      </w:r>
    </w:p>
    <w:p>
      <w:pPr>
        <w:spacing w:after="0" w:line="128"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The Company's growth strategy depends in part on government policies that support renewable generation and enhance the economic viability of owning electric generation assets. Renewable generation assets currently benefit from various federal, state and local governmental incentives such as ITCs, cash grants in lieu of ITCs, PTCs, loan guarantees, RPS, programs, modified accelerated cost-recovery system of depreciation and bonus depreciation. These laws, regulations and policies have had a significant impact on the development of renewable energy generation projects and they could be changed, reduced or eliminated at any time. These incentives make the development of renewable generation projects more competitive by providing tax credits or grants and accelerated depreciation for a portion of the development costs, decreasing the costs and risks associated with developing such projects or creating demand for renewable energy assets through RPS programs. The elimination of, loss of or reduction in such incentives could decrease the attractiveness of renewable generation projects to developers, including, but not limited to, CEG, which could reduce the Company's acquisition opportunities. Such an elimination, loss or reduction could also reduce the Company's willingness to pursue or develop certain renewable energy projects due to higher operating costs or decreased revenues under its PPAs.</w:t>
      </w:r>
    </w:p>
    <w:p>
      <w:pPr>
        <w:spacing w:after="0" w:line="12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If these laws, regulations and policies are not continued or renewed, the market for future renewable energy PPAs may be smaller and the prices for future renewable energy PPAs may be lower. If the IRS issues guidance that limits the availability of the PTC or the ITC, the projects could generate reduced revenues and reduced economic returns, experience increased financing costs and encounter difficulty obtaining financing on acceptable terms.</w:t>
      </w:r>
    </w:p>
    <w:p>
      <w:pPr>
        <w:spacing w:after="0" w:line="10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37"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commodity contracts or lead to lower prices for the sale of power in future commodity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American Recovery and Reinvestment Act of 2009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19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Any of the foregoing could have a material adverse effect on the Company's business, financial condition, results of operations and ability to grow its business and make cash distributions.</w:t>
      </w:r>
    </w:p>
    <w:p>
      <w:pPr>
        <w:spacing w:after="0" w:line="128" w:lineRule="exact"/>
        <w:rPr>
          <w:sz w:val="20"/>
          <w:szCs w:val="20"/>
          <w:color w:val="auto"/>
        </w:rPr>
      </w:pPr>
    </w:p>
    <w:p>
      <w:pPr>
        <w:jc w:val="both"/>
        <w:spacing w:after="0" w:line="363" w:lineRule="auto"/>
        <w:rPr>
          <w:sz w:val="20"/>
          <w:szCs w:val="20"/>
          <w:color w:val="auto"/>
        </w:rPr>
      </w:pPr>
      <w:r>
        <w:rPr>
          <w:rFonts w:ascii="Arial" w:cs="Arial" w:eastAsia="Arial" w:hAnsi="Arial"/>
          <w:sz w:val="15"/>
          <w:szCs w:val="15"/>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59"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5"/>
          <w:szCs w:val="15"/>
          <w:color w:val="auto"/>
        </w:rPr>
        <w:t>Approximately 433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the following:</w:t>
      </w:r>
    </w:p>
    <w:p>
      <w:pPr>
        <w:spacing w:after="0" w:line="117" w:lineRule="exact"/>
        <w:rPr>
          <w:sz w:val="20"/>
          <w:szCs w:val="20"/>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risks related to COVID-19 (including any variant of the virus) or any other pandemic;</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close the Thermal Disposition;</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56" w:lineRule="exact"/>
        <w:rPr>
          <w:rFonts w:ascii="Arial" w:cs="Arial" w:eastAsia="Arial" w:hAnsi="Arial"/>
          <w:sz w:val="18"/>
          <w:szCs w:val="18"/>
          <w:color w:val="auto"/>
        </w:rPr>
      </w:pPr>
    </w:p>
    <w:p>
      <w:pPr>
        <w:jc w:val="both"/>
        <w:ind w:left="640" w:hanging="318"/>
        <w:spacing w:after="0" w:line="287"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7" w:lineRule="exact"/>
        <w:rPr>
          <w:rFonts w:ascii="Arial" w:cs="Arial" w:eastAsia="Arial" w:hAnsi="Arial"/>
          <w:sz w:val="16"/>
          <w:szCs w:val="16"/>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22"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79" w:lineRule="exact"/>
        <w:rPr>
          <w:rFonts w:ascii="Arial" w:cs="Arial" w:eastAsia="Arial" w:hAnsi="Arial"/>
          <w:sz w:val="16"/>
          <w:szCs w:val="16"/>
          <w:color w:val="auto"/>
        </w:rPr>
      </w:pPr>
    </w:p>
    <w:p>
      <w:pPr>
        <w:ind w:left="640" w:hanging="31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79" w:lineRule="exact"/>
        <w:rPr>
          <w:rFonts w:ascii="Arial" w:cs="Arial" w:eastAsia="Arial" w:hAnsi="Arial"/>
          <w:sz w:val="16"/>
          <w:szCs w:val="16"/>
          <w:color w:val="auto"/>
        </w:rPr>
      </w:pPr>
    </w:p>
    <w:p>
      <w:pPr>
        <w:jc w:val="both"/>
        <w:ind w:left="640" w:hanging="318"/>
        <w:spacing w:after="0" w:line="25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31" w:lineRule="exact"/>
        <w:rPr>
          <w:rFonts w:ascii="Arial" w:cs="Arial" w:eastAsia="Arial" w:hAnsi="Arial"/>
          <w:sz w:val="18"/>
          <w:szCs w:val="18"/>
          <w:color w:val="auto"/>
        </w:rPr>
      </w:pPr>
    </w:p>
    <w:p>
      <w:pPr>
        <w:ind w:left="640" w:hanging="318"/>
        <w:spacing w:after="0" w:line="309"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spacing w:after="0" w:line="1" w:lineRule="exact"/>
        <w:rPr>
          <w:rFonts w:ascii="Arial" w:cs="Arial" w:eastAsia="Arial" w:hAnsi="Arial"/>
          <w:sz w:val="16"/>
          <w:szCs w:val="16"/>
          <w:color w:val="auto"/>
        </w:rPr>
      </w:pPr>
    </w:p>
    <w:p>
      <w:pPr>
        <w:ind w:left="640" w:right="2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28"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 Properties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Listed below are descriptions of the Company's interests in facilities, operations and/or projects owned or leased as of December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740" w:type="dxa"/>
            <w:vAlign w:val="bottom"/>
            <w:vMerge w:val="restart"/>
          </w:tcPr>
          <w:p>
            <w:pPr>
              <w:jc w:val="right"/>
              <w:ind w:right="190"/>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2"/>
          </w:tcPr>
          <w:p>
            <w:pPr>
              <w:ind w:left="1080"/>
              <w:spacing w:after="0"/>
              <w:rPr>
                <w:sz w:val="20"/>
                <w:szCs w:val="20"/>
                <w:color w:val="auto"/>
              </w:rPr>
            </w:pPr>
            <w:r>
              <w:rPr>
                <w:rFonts w:ascii="Arial" w:cs="Arial" w:eastAsia="Arial" w:hAnsi="Arial"/>
                <w:sz w:val="16"/>
                <w:szCs w:val="16"/>
                <w:b w:val="1"/>
                <w:bCs w:val="1"/>
                <w:color w:val="auto"/>
                <w:w w:val="88"/>
              </w:rPr>
              <w:t>PPA Terms</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vMerge w:val="restart"/>
          </w:tcPr>
          <w:p>
            <w:pPr>
              <w:spacing w:after="0" w:line="20" w:lineRule="exact"/>
              <w:rPr>
                <w:sz w:val="1"/>
                <w:szCs w:val="1"/>
                <w:color w:val="auto"/>
              </w:rPr>
            </w:pPr>
          </w:p>
        </w:tc>
        <w:tc>
          <w:tcPr>
            <w:tcW w:w="136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Owner-ship</w:t>
            </w:r>
          </w:p>
        </w:tc>
        <w:tc>
          <w:tcPr>
            <w:tcW w:w="120" w:type="dxa"/>
            <w:vAlign w:val="bottom"/>
            <w:vMerge w:val="restart"/>
          </w:tcPr>
          <w:p>
            <w:pPr>
              <w:spacing w:after="0" w:line="20" w:lineRule="exact"/>
              <w:rPr>
                <w:sz w:val="1"/>
                <w:szCs w:val="1"/>
                <w:color w:val="auto"/>
              </w:rPr>
            </w:pPr>
          </w:p>
        </w:tc>
        <w:tc>
          <w:tcPr>
            <w:tcW w:w="10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Fuel</w:t>
            </w:r>
          </w:p>
        </w:tc>
        <w:tc>
          <w:tcPr>
            <w:tcW w:w="100" w:type="dxa"/>
            <w:vAlign w:val="bottom"/>
            <w:vMerge w:val="restart"/>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COD</w:t>
            </w:r>
          </w:p>
        </w:tc>
        <w:tc>
          <w:tcPr>
            <w:tcW w:w="100" w:type="dxa"/>
            <w:vAlign w:val="bottom"/>
            <w:vMerge w:val="restart"/>
          </w:tcPr>
          <w:p>
            <w:pPr>
              <w:spacing w:after="0" w:line="20" w:lineRule="exact"/>
              <w:rPr>
                <w:sz w:val="1"/>
                <w:szCs w:val="1"/>
                <w:color w:val="auto"/>
              </w:rPr>
            </w:pPr>
          </w:p>
        </w:tc>
        <w:tc>
          <w:tcPr>
            <w:tcW w:w="17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Counterparty</w:t>
            </w:r>
          </w:p>
        </w:tc>
        <w:tc>
          <w:tcPr>
            <w:tcW w:w="100" w:type="dxa"/>
            <w:vAlign w:val="bottom"/>
            <w:vMerge w:val="restart"/>
          </w:tcPr>
          <w:p>
            <w:pPr>
              <w:spacing w:after="0" w:line="20" w:lineRule="exact"/>
              <w:rPr>
                <w:sz w:val="1"/>
                <w:szCs w:val="1"/>
                <w:color w:val="auto"/>
              </w:rPr>
            </w:pPr>
          </w:p>
        </w:tc>
        <w:tc>
          <w:tcPr>
            <w:tcW w:w="1040" w:type="dxa"/>
            <w:vAlign w:val="bottom"/>
            <w:vMerge w:val="restart"/>
          </w:tcPr>
          <w:p>
            <w:pPr>
              <w:jc w:val="right"/>
              <w:ind w:right="89"/>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1"/>
        </w:trPr>
        <w:tc>
          <w:tcPr>
            <w:tcW w:w="1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MW</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0"/>
              <w:spacing w:after="0" w:line="211"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Conventional</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Carlsbad</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Carlsbad, CA</w:t>
            </w:r>
          </w:p>
        </w:tc>
        <w:tc>
          <w:tcPr>
            <w:tcW w:w="66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2018</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San Diego Gas &amp; Electric</w:t>
            </w:r>
          </w:p>
        </w:tc>
        <w:tc>
          <w:tcPr>
            <w:tcW w:w="104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Segundo</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Segundo,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GenConn Devon</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Milford, CT</w:t>
            </w:r>
          </w:p>
        </w:tc>
        <w:tc>
          <w:tcPr>
            <w:tcW w:w="6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Gas/Oil</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June 2010</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GenConn Middletown</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Middletown, CT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Gas/Oil</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Marsh Landing</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Antioch, CA</w:t>
            </w:r>
          </w:p>
        </w:tc>
        <w:tc>
          <w:tcPr>
            <w:tcW w:w="66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May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tcPr>
          <w:p>
            <w:pPr>
              <w:jc w:val="right"/>
              <w:spacing w:after="0"/>
              <w:rPr>
                <w:sz w:val="20"/>
                <w:szCs w:val="20"/>
                <w:color w:val="auto"/>
              </w:rPr>
            </w:pPr>
            <w:r>
              <w:rPr>
                <w:rFonts w:ascii="Arial" w:cs="Arial" w:eastAsia="Arial" w:hAnsi="Arial"/>
                <w:sz w:val="14"/>
                <w:szCs w:val="14"/>
                <w:color w:val="auto"/>
              </w:rPr>
              <w:t>2023 - 2030</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Walnut Creek</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Industry, CA</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2023 - 2026</w:t>
            </w:r>
          </w:p>
        </w:tc>
        <w:tc>
          <w:tcPr>
            <w:tcW w:w="0" w:type="dxa"/>
            <w:vAlign w:val="bottom"/>
          </w:tcPr>
          <w:p>
            <w:pPr>
              <w:spacing w:after="0"/>
              <w:rPr>
                <w:sz w:val="1"/>
                <w:szCs w:val="1"/>
                <w:color w:val="auto"/>
              </w:rPr>
            </w:pPr>
          </w:p>
        </w:tc>
      </w:tr>
      <w:tr>
        <w:trPr>
          <w:trHeight w:val="188"/>
        </w:trPr>
        <w:tc>
          <w:tcPr>
            <w:tcW w:w="1760" w:type="dxa"/>
            <w:vAlign w:val="bottom"/>
            <w:gridSpan w:val="2"/>
          </w:tcPr>
          <w:p>
            <w:pPr>
              <w:ind w:left="340"/>
              <w:spacing w:after="0"/>
              <w:rPr>
                <w:sz w:val="20"/>
                <w:szCs w:val="20"/>
                <w:color w:val="auto"/>
              </w:rPr>
            </w:pPr>
            <w:r>
              <w:rPr>
                <w:rFonts w:ascii="Arial" w:cs="Arial" w:eastAsia="Arial" w:hAnsi="Arial"/>
                <w:sz w:val="16"/>
                <w:szCs w:val="16"/>
                <w:b w:val="1"/>
                <w:bCs w:val="1"/>
                <w:i w:val="1"/>
                <w:iCs w:val="1"/>
                <w:color w:val="auto"/>
                <w:w w:val="97"/>
              </w:rPr>
              <w:t>Total Conventional</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Agua Caliente</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Dateland, AZ</w:t>
            </w:r>
          </w:p>
        </w:tc>
        <w:tc>
          <w:tcPr>
            <w:tcW w:w="66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51 %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June 2014</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Alpine</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Lancaster,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Avenal</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Avenal, CA</w:t>
            </w: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August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Avra Valley</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Pima County, AZ</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2012</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Blythe</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Blythe, CA</w:t>
            </w: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2009</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Borrego</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Borrego Springs,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5"/>
        </w:trPr>
        <w:tc>
          <w:tcPr>
            <w:tcW w:w="176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Fort Stockton, TX</w:t>
            </w:r>
          </w:p>
        </w:tc>
        <w:tc>
          <w:tcPr>
            <w:tcW w:w="6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July 2018</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City of Georgetown, TX</w:t>
            </w:r>
          </w:p>
        </w:tc>
        <w:tc>
          <w:tcPr>
            <w:tcW w:w="1040" w:type="dxa"/>
            <w:vAlign w:val="bottom"/>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85"/>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CVSR</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Luis Obispo,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Desert Sunlight 250</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Desert Center, CA</w:t>
            </w: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Sunlight 300</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Center,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Kansas South</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Lemoore, CA</w:t>
            </w: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June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Oahu, HI</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2019</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5"/>
        </w:trPr>
        <w:tc>
          <w:tcPr>
            <w:tcW w:w="176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Oahu, HI</w:t>
            </w: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September 2019</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4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5"/>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Roadrunner</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Teresa, NM</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Paso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5"/>
        </w:trPr>
        <w:tc>
          <w:tcPr>
            <w:tcW w:w="176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Rosamond, CA</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2020</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tcPr>
          <w:p>
            <w:pPr>
              <w:jc w:val="right"/>
              <w:spacing w:after="0"/>
              <w:rPr>
                <w:sz w:val="20"/>
                <w:szCs w:val="20"/>
                <w:color w:val="auto"/>
              </w:rPr>
            </w:pPr>
            <w:r>
              <w:rPr>
                <w:rFonts w:ascii="Arial" w:cs="Arial" w:eastAsia="Arial" w:hAnsi="Arial"/>
                <w:sz w:val="14"/>
                <w:szCs w:val="14"/>
                <w:color w:val="auto"/>
              </w:rPr>
              <w:t>2035 - 2047</w:t>
            </w:r>
          </w:p>
        </w:tc>
        <w:tc>
          <w:tcPr>
            <w:tcW w:w="0" w:type="dxa"/>
            <w:vAlign w:val="bottom"/>
          </w:tcPr>
          <w:p>
            <w:pPr>
              <w:spacing w:after="0"/>
              <w:rPr>
                <w:sz w:val="1"/>
                <w:szCs w:val="1"/>
                <w:color w:val="auto"/>
              </w:rPr>
            </w:pPr>
          </w:p>
        </w:tc>
      </w:tr>
      <w:tr>
        <w:trPr>
          <w:trHeight w:val="185"/>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 High Desert</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Lancaster,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2"/>
        </w:trPr>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Utah Solar Portfolio</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July - September</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color w:val="auto"/>
              </w:rPr>
              <w:t>PacifiCorp</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82"/>
        </w:trPr>
        <w:tc>
          <w:tcPr>
            <w:tcW w:w="1760" w:type="dxa"/>
            <w:vAlign w:val="bottom"/>
            <w:tcBorders>
              <w:bottom w:val="single" w:sz="8" w:color="CCEEFF"/>
            </w:tcBorders>
            <w:gridSpan w:val="2"/>
            <w:vMerge w:val="continue"/>
          </w:tcPr>
          <w:p>
            <w:pPr>
              <w:spacing w:after="0"/>
              <w:rPr>
                <w:sz w:val="15"/>
                <w:szCs w:val="15"/>
                <w:color w:val="auto"/>
              </w:rPr>
            </w:pPr>
          </w:p>
        </w:tc>
        <w:tc>
          <w:tcPr>
            <w:tcW w:w="1460" w:type="dxa"/>
            <w:vAlign w:val="bottom"/>
            <w:tcBorders>
              <w:bottom w:val="single" w:sz="8" w:color="CCEEFF"/>
            </w:tcBorders>
            <w:gridSpan w:val="2"/>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gridSpan w:val="2"/>
            <w:vMerge w:val="continue"/>
          </w:tcPr>
          <w:p>
            <w:pPr>
              <w:spacing w:after="0"/>
              <w:rPr>
                <w:sz w:val="15"/>
                <w:szCs w:val="15"/>
                <w:color w:val="auto"/>
              </w:rPr>
            </w:pPr>
          </w:p>
        </w:tc>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gridSpan w:val="2"/>
            <w:vMerge w:val="continue"/>
          </w:tcPr>
          <w:p>
            <w:pPr>
              <w:spacing w:after="0"/>
              <w:rPr>
                <w:sz w:val="15"/>
                <w:szCs w:val="15"/>
                <w:color w:val="auto"/>
              </w:rPr>
            </w:pPr>
          </w:p>
        </w:tc>
        <w:tc>
          <w:tcPr>
            <w:tcW w:w="10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20" w:type="dxa"/>
            <w:vAlign w:val="bottom"/>
            <w:gridSpan w:val="4"/>
            <w:shd w:val="clear" w:color="auto" w:fill="CCEEFF"/>
          </w:tcPr>
          <w:p>
            <w:pPr>
              <w:ind w:left="340"/>
              <w:spacing w:after="0"/>
              <w:rPr>
                <w:sz w:val="20"/>
                <w:szCs w:val="20"/>
                <w:color w:val="auto"/>
              </w:rPr>
            </w:pPr>
            <w:r>
              <w:rPr>
                <w:rFonts w:ascii="Arial" w:cs="Arial" w:eastAsia="Arial" w:hAnsi="Arial"/>
                <w:sz w:val="16"/>
                <w:szCs w:val="16"/>
                <w:b w:val="1"/>
                <w:bCs w:val="1"/>
                <w:i w:val="1"/>
                <w:iCs w:val="1"/>
                <w:color w:val="auto"/>
              </w:rPr>
              <w:t>Total Utility Scale Solar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September 2015 -</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2030 - 2044</w:t>
            </w:r>
          </w:p>
        </w:tc>
        <w:tc>
          <w:tcPr>
            <w:tcW w:w="0" w:type="dxa"/>
            <w:vAlign w:val="bottom"/>
          </w:tcPr>
          <w:p>
            <w:pPr>
              <w:spacing w:after="0"/>
              <w:rPr>
                <w:sz w:val="1"/>
                <w:szCs w:val="1"/>
                <w:color w:val="auto"/>
              </w:rPr>
            </w:pPr>
          </w:p>
        </w:tc>
      </w:tr>
      <w:tr>
        <w:trPr>
          <w:trHeight w:val="185"/>
        </w:trPr>
        <w:tc>
          <w:tcPr>
            <w:tcW w:w="176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2019</w:t>
            </w:r>
          </w:p>
        </w:tc>
        <w:tc>
          <w:tcPr>
            <w:tcW w:w="186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20"/>
              <w:spacing w:after="0" w:line="132" w:lineRule="exact"/>
              <w:rPr>
                <w:sz w:val="20"/>
                <w:szCs w:val="20"/>
                <w:color w:val="auto"/>
              </w:rPr>
            </w:pPr>
            <w:r>
              <w:rPr>
                <w:rFonts w:ascii="Arial" w:cs="Arial" w:eastAsia="Arial" w:hAnsi="Arial"/>
                <w:sz w:val="14"/>
                <w:szCs w:val="14"/>
                <w:color w:val="auto"/>
                <w:w w:val="98"/>
              </w:rPr>
              <w:t>Solar Power Partners (SPP)</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June 2008 - June</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Projects</w:t>
            </w:r>
          </w:p>
        </w:tc>
        <w:tc>
          <w:tcPr>
            <w:tcW w:w="14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DG Projects</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2010 -</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r>
        <w:trPr>
          <w:trHeight w:val="190"/>
        </w:trPr>
        <w:tc>
          <w:tcPr>
            <w:tcW w:w="176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2015</w:t>
            </w:r>
          </w:p>
        </w:tc>
        <w:tc>
          <w:tcPr>
            <w:tcW w:w="186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gridSpan w:val="4"/>
          </w:tcPr>
          <w:p>
            <w:pPr>
              <w:ind w:left="340"/>
              <w:spacing w:after="0"/>
              <w:rPr>
                <w:sz w:val="20"/>
                <w:szCs w:val="20"/>
                <w:color w:val="auto"/>
              </w:rPr>
            </w:pPr>
            <w:r>
              <w:rPr>
                <w:rFonts w:ascii="Arial" w:cs="Arial" w:eastAsia="Arial" w:hAnsi="Arial"/>
                <w:sz w:val="16"/>
                <w:szCs w:val="16"/>
                <w:b w:val="1"/>
                <w:bCs w:val="1"/>
                <w:i w:val="1"/>
                <w:iCs w:val="1"/>
                <w:color w:val="auto"/>
              </w:rPr>
              <w:t>Total Distributed Solar</w:t>
            </w:r>
          </w:p>
        </w:tc>
        <w:tc>
          <w:tcPr>
            <w:tcW w:w="66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Wind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Alta I</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2010</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Alta II</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2"/>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Alta III</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February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Alta IV</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7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Alta V</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April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8"/>
        </w:trPr>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Rated</w:t>
            </w: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Location</w:t>
            </w:r>
          </w:p>
        </w:tc>
        <w:tc>
          <w:tcPr>
            <w:tcW w:w="76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Owner-ship</w:t>
            </w:r>
          </w:p>
        </w:tc>
        <w:tc>
          <w:tcPr>
            <w:tcW w:w="108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40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COD</w:t>
            </w:r>
          </w:p>
        </w:tc>
        <w:tc>
          <w:tcPr>
            <w:tcW w:w="18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Counterparty</w:t>
            </w:r>
          </w:p>
        </w:tc>
        <w:tc>
          <w:tcPr>
            <w:tcW w:w="1020" w:type="dxa"/>
            <w:vAlign w:val="bottom"/>
            <w:vMerge w:val="restart"/>
          </w:tcPr>
          <w:p>
            <w:pPr>
              <w:jc w:val="right"/>
              <w:ind w:right="69"/>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1"/>
        </w:trPr>
        <w:tc>
          <w:tcPr>
            <w:tcW w:w="19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MW</w:t>
            </w:r>
          </w:p>
        </w:tc>
        <w:tc>
          <w:tcPr>
            <w:tcW w:w="700" w:type="dxa"/>
            <w:vAlign w:val="bottom"/>
          </w:tcPr>
          <w:p>
            <w:pPr>
              <w:jc w:val="right"/>
              <w:ind w:right="70"/>
              <w:spacing w:after="0" w:line="211"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80" w:type="dxa"/>
            <w:vAlign w:val="bottom"/>
            <w:tcBorders>
              <w:top w:val="single" w:sz="8" w:color="auto"/>
            </w:tcBorders>
            <w:shd w:val="clear" w:color="auto" w:fill="CCEEFF"/>
          </w:tcPr>
          <w:p>
            <w:pPr>
              <w:ind w:left="20"/>
              <w:spacing w:after="0" w:line="178"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3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February 2014</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5"/>
        </w:trPr>
        <w:tc>
          <w:tcPr>
            <w:tcW w:w="1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February 2014</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32"/>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Black Rock </w:t>
            </w:r>
            <w:r>
              <w:rPr>
                <w:rFonts w:ascii="Arial" w:cs="Arial" w:eastAsia="Arial" w:hAnsi="Arial"/>
                <w:sz w:val="18"/>
                <w:szCs w:val="18"/>
                <w:color w:val="auto"/>
                <w:vertAlign w:val="superscript"/>
              </w:rPr>
              <w:t>(b)(d)</w:t>
            </w:r>
          </w:p>
        </w:tc>
        <w:tc>
          <w:tcPr>
            <w:tcW w:w="14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Mineral and Grant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December 2021</w:t>
            </w:r>
          </w:p>
        </w:tc>
        <w:tc>
          <w:tcPr>
            <w:tcW w:w="18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Toyoya and AEP</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Counties, WV</w:t>
            </w: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Buffalo Bear</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Buffalo, OK</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w w:val="96"/>
              </w:rPr>
              <w:t>Western Farmers Electric Co-</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operative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Crosswinds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Ruthven, IA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2007</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8"/>
              </w:rPr>
              <w:t>Corn Belt Power Cooperative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5"/>
        </w:trPr>
        <w:tc>
          <w:tcPr>
            <w:tcW w:w="1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Howard County, TX</w:t>
            </w:r>
          </w:p>
        </w:tc>
        <w:tc>
          <w:tcPr>
            <w:tcW w:w="6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2"/>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Elkhorn Ridge</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Bloomfield, NE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March 2009</w:t>
            </w:r>
          </w:p>
        </w:tc>
        <w:tc>
          <w:tcPr>
            <w:tcW w:w="18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Nebraska Public Power</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District</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Forward</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Berlin, PA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April 2008</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Constellation NewEnergy,</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Inc.</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Goat Wind</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Sterling City,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2008/June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Hardin</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Jefferson, IA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May 2007</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Interstate Power and Light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Christoval, TX</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w:t>
            </w:r>
          </w:p>
        </w:tc>
        <w:tc>
          <w:tcPr>
            <w:tcW w:w="18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2009/November 2020</w:t>
            </w:r>
          </w:p>
        </w:tc>
        <w:tc>
          <w:tcPr>
            <w:tcW w:w="18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Laredo Ridge</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Petersburg, NE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February 2011</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Nebraska Public Power</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District</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18"/>
                <w:szCs w:val="18"/>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Berlin, PA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2008</w:t>
            </w:r>
          </w:p>
        </w:tc>
        <w:tc>
          <w:tcPr>
            <w:tcW w:w="18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Southern Maryland Electric</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Cooperative</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Callahan County, TX</w:t>
            </w:r>
          </w:p>
        </w:tc>
        <w:tc>
          <w:tcPr>
            <w:tcW w:w="6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2021</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2033 - 2036</w:t>
            </w:r>
          </w:p>
        </w:tc>
        <w:tc>
          <w:tcPr>
            <w:tcW w:w="0" w:type="dxa"/>
            <w:vAlign w:val="bottom"/>
          </w:tcPr>
          <w:p>
            <w:pPr>
              <w:spacing w:after="0"/>
              <w:rPr>
                <w:sz w:val="1"/>
                <w:szCs w:val="1"/>
                <w:color w:val="auto"/>
              </w:rPr>
            </w:pPr>
          </w:p>
        </w:tc>
      </w:tr>
      <w:tr>
        <w:trPr>
          <w:trHeight w:val="185"/>
        </w:trPr>
        <w:tc>
          <w:tcPr>
            <w:tcW w:w="192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Fisher County,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2020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2032 - 2035</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Mt Storm</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Mt Storm, WV</w:t>
            </w:r>
          </w:p>
        </w:tc>
        <w:tc>
          <w:tcPr>
            <w:tcW w:w="64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October 2008</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Citigroup</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Ocotillo</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Forsan,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Odin</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Mountain Lake, MN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2008</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Missouri River Energy</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Services</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Maryland Department of</w:t>
            </w: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December</w:t>
            </w:r>
          </w:p>
        </w:tc>
        <w:tc>
          <w:tcPr>
            <w:tcW w:w="18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General Services and</w:t>
            </w: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18"/>
                <w:szCs w:val="18"/>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Keyser, WV</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continue"/>
            <w:shd w:val="clear" w:color="auto" w:fill="CCEEFF"/>
          </w:tcPr>
          <w:p>
            <w:pPr>
              <w:spacing w:after="0"/>
              <w:rPr>
                <w:sz w:val="11"/>
                <w:szCs w:val="11"/>
                <w:color w:val="auto"/>
              </w:rPr>
            </w:pPr>
          </w:p>
        </w:tc>
        <w:tc>
          <w:tcPr>
            <w:tcW w:w="18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University System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2011/December 2021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(c)</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Ritzville, WA</w:t>
            </w: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2020</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Avista Corporation</w:t>
            </w:r>
          </w:p>
        </w:tc>
        <w:tc>
          <w:tcPr>
            <w:tcW w:w="1020" w:type="dxa"/>
            <w:vAlign w:val="bottom"/>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32"/>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San Juan Mesa</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Elida, NM</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December 2005</w:t>
            </w:r>
          </w:p>
        </w:tc>
        <w:tc>
          <w:tcPr>
            <w:tcW w:w="18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w w:val="99"/>
              </w:rPr>
              <w:t>Southwestern Public Service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Sleeping Bear</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Woodward, OK</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October 2007</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Public Service Company of</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Oklahoma</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Trent</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Sweetwater,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AEP Energy Partners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Spanish Fork</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Spanish Fork, UT</w:t>
            </w: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July 2008</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PacifiCorp</w:t>
            </w:r>
          </w:p>
        </w:tc>
        <w:tc>
          <w:tcPr>
            <w:tcW w:w="102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Logan County, CO</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5"/>
        </w:trPr>
        <w:tc>
          <w:tcPr>
            <w:tcW w:w="1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Logan County, CO</w:t>
            </w: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90.1 %</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5"/>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Taloga</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Putnam, OK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Oklahoma Gas &amp;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32"/>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Vega, TX</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April 2007</w:t>
            </w:r>
          </w:p>
        </w:tc>
        <w:tc>
          <w:tcPr>
            <w:tcW w:w="1820" w:type="dxa"/>
            <w:vAlign w:val="bottom"/>
            <w:gridSpan w:val="2"/>
          </w:tcPr>
          <w:p>
            <w:pPr>
              <w:ind w:left="20"/>
              <w:spacing w:after="0" w:line="132" w:lineRule="exact"/>
              <w:rPr>
                <w:sz w:val="20"/>
                <w:szCs w:val="20"/>
                <w:color w:val="auto"/>
              </w:rPr>
            </w:pPr>
            <w:r>
              <w:rPr>
                <w:rFonts w:ascii="Arial" w:cs="Arial" w:eastAsia="Arial" w:hAnsi="Arial"/>
                <w:sz w:val="14"/>
                <w:szCs w:val="14"/>
                <w:color w:val="auto"/>
                <w:w w:val="99"/>
              </w:rPr>
              <w:t>Southwestern Public Service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CCEEFF"/>
            </w:tcBorders>
            <w:gridSpan w:val="2"/>
            <w:vMerge w:val="continue"/>
          </w:tcPr>
          <w:p>
            <w:pPr>
              <w:spacing w:after="0"/>
              <w:rPr>
                <w:sz w:val="16"/>
                <w:szCs w:val="16"/>
                <w:color w:val="auto"/>
              </w:rPr>
            </w:pPr>
          </w:p>
        </w:tc>
        <w:tc>
          <w:tcPr>
            <w:tcW w:w="1420" w:type="dxa"/>
            <w:vAlign w:val="bottom"/>
            <w:tcBorders>
              <w:bottom w:val="single" w:sz="8" w:color="CCEEFF"/>
            </w:tcBorders>
            <w:gridSpan w:val="2"/>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vMerge w:val="continue"/>
          </w:tcPr>
          <w:p>
            <w:pPr>
              <w:spacing w:after="0"/>
              <w:rPr>
                <w:sz w:val="16"/>
                <w:szCs w:val="16"/>
                <w:color w:val="auto"/>
              </w:rPr>
            </w:pPr>
          </w:p>
        </w:tc>
        <w:tc>
          <w:tcPr>
            <w:tcW w:w="1400" w:type="dxa"/>
            <w:vAlign w:val="bottom"/>
            <w:tcBorders>
              <w:bottom w:val="single" w:sz="8" w:color="CCEEFF"/>
            </w:tcBorders>
            <w:gridSpan w:val="2"/>
            <w:vMerge w:val="continue"/>
          </w:tcPr>
          <w:p>
            <w:pPr>
              <w:spacing w:after="0"/>
              <w:rPr>
                <w:sz w:val="16"/>
                <w:szCs w:val="16"/>
                <w:color w:val="auto"/>
              </w:rPr>
            </w:pP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i w:val="1"/>
                <w:iCs w:val="1"/>
                <w:color w:val="auto"/>
              </w:rPr>
              <w:t>Total Wind</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Thermal Generation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 Fuel Cell</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Tulare,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Tulare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ECP Uptown Campus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Pittsburgh, PA</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May 2019</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Duquesne University</w:t>
            </w:r>
          </w:p>
        </w:tc>
        <w:tc>
          <w:tcPr>
            <w:tcW w:w="1020" w:type="dxa"/>
            <w:vAlign w:val="bottom"/>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Energy Center - Pittsburgh</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Pittsburgh, PA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Diesel</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January 2019</w:t>
            </w:r>
          </w:p>
        </w:tc>
        <w:tc>
          <w:tcPr>
            <w:tcW w:w="18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University of Pittsburgh</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5"/>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Medical Center</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Energy Center Caguas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Caguas, PR</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September 2020</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Viatris Pharmaceuticals</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Paxton Creek Cogen</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Harrisburg, PA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1986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8"/>
              </w:rPr>
              <w:t>Power sold into PJM markets</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Princeton Hospital</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January 2012</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Princeton Hospital</w:t>
            </w:r>
          </w:p>
        </w:tc>
        <w:tc>
          <w:tcPr>
            <w:tcW w:w="102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8"/>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Rated</w:t>
            </w:r>
          </w:p>
        </w:tc>
        <w:tc>
          <w:tcPr>
            <w:tcW w:w="7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2"/>
          </w:tcPr>
          <w:p>
            <w:pPr>
              <w:ind w:left="1080"/>
              <w:spacing w:after="0"/>
              <w:rPr>
                <w:sz w:val="20"/>
                <w:szCs w:val="20"/>
                <w:color w:val="auto"/>
              </w:rPr>
            </w:pPr>
            <w:r>
              <w:rPr>
                <w:rFonts w:ascii="Arial" w:cs="Arial" w:eastAsia="Arial" w:hAnsi="Arial"/>
                <w:sz w:val="16"/>
                <w:szCs w:val="16"/>
                <w:b w:val="1"/>
                <w:bCs w:val="1"/>
                <w:color w:val="auto"/>
                <w:w w:val="88"/>
              </w:rPr>
              <w:t>PPA Terms</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6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Location</w:t>
            </w:r>
          </w:p>
        </w:tc>
        <w:tc>
          <w:tcPr>
            <w:tcW w:w="76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Owner-ship</w:t>
            </w:r>
          </w:p>
        </w:tc>
        <w:tc>
          <w:tcPr>
            <w:tcW w:w="11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Fuel</w:t>
            </w:r>
          </w:p>
        </w:tc>
        <w:tc>
          <w:tcPr>
            <w:tcW w:w="138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COD</w:t>
            </w:r>
          </w:p>
        </w:tc>
        <w:tc>
          <w:tcPr>
            <w:tcW w:w="186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Counterparty</w:t>
            </w:r>
          </w:p>
        </w:tc>
        <w:tc>
          <w:tcPr>
            <w:tcW w:w="1040" w:type="dxa"/>
            <w:vAlign w:val="bottom"/>
            <w:vMerge w:val="restart"/>
          </w:tcPr>
          <w:p>
            <w:pPr>
              <w:jc w:val="right"/>
              <w:ind w:right="87"/>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1"/>
        </w:trPr>
        <w:tc>
          <w:tcPr>
            <w:tcW w:w="17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MW</w:t>
            </w:r>
          </w:p>
        </w:tc>
        <w:tc>
          <w:tcPr>
            <w:tcW w:w="740" w:type="dxa"/>
            <w:vAlign w:val="bottom"/>
          </w:tcPr>
          <w:p>
            <w:pPr>
              <w:jc w:val="right"/>
              <w:ind w:right="92"/>
              <w:spacing w:after="0" w:line="211"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Tucson Convention Center</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Tucson, AZ</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2003</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City of Tucson</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2"/>
        </w:trPr>
        <w:tc>
          <w:tcPr>
            <w:tcW w:w="1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University of Bridgeport</w:t>
            </w: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Bridgeport, CT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2015</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University of Bridgeport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94"/>
        </w:trPr>
        <w:tc>
          <w:tcPr>
            <w:tcW w:w="3220" w:type="dxa"/>
            <w:vAlign w:val="bottom"/>
            <w:gridSpan w:val="4"/>
            <w:shd w:val="clear" w:color="auto" w:fill="CCEEFF"/>
          </w:tcPr>
          <w:p>
            <w:pPr>
              <w:ind w:left="340"/>
              <w:spacing w:after="0" w:line="194" w:lineRule="exact"/>
              <w:rPr>
                <w:sz w:val="20"/>
                <w:szCs w:val="20"/>
                <w:color w:val="auto"/>
              </w:rPr>
            </w:pPr>
            <w:r>
              <w:rPr>
                <w:rFonts w:ascii="Arial" w:cs="Arial" w:eastAsia="Arial" w:hAnsi="Arial"/>
                <w:sz w:val="16"/>
                <w:szCs w:val="16"/>
                <w:b w:val="1"/>
                <w:bCs w:val="1"/>
                <w:i w:val="1"/>
                <w:iCs w:val="1"/>
                <w:color w:val="auto"/>
              </w:rPr>
              <w:t xml:space="preserve">Total Thermal Generation </w:t>
            </w:r>
            <w:r>
              <w:rPr>
                <w:rFonts w:ascii="Arial" w:cs="Arial" w:eastAsia="Arial" w:hAnsi="Arial"/>
                <w:sz w:val="20"/>
                <w:szCs w:val="20"/>
                <w:b w:val="1"/>
                <w:bCs w:val="1"/>
                <w:i w:val="1"/>
                <w:iCs w:val="1"/>
                <w:color w:val="auto"/>
                <w:vertAlign w:val="superscript"/>
              </w:rPr>
              <w:t>(e)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20" w:type="dxa"/>
            <w:vAlign w:val="bottom"/>
            <w:gridSpan w:val="4"/>
          </w:tcPr>
          <w:p>
            <w:pPr>
              <w:ind w:left="1160"/>
              <w:spacing w:after="0" w:line="178" w:lineRule="exact"/>
              <w:rPr>
                <w:sz w:val="20"/>
                <w:szCs w:val="20"/>
                <w:color w:val="auto"/>
              </w:rPr>
            </w:pPr>
            <w:r>
              <w:rPr>
                <w:rFonts w:ascii="Arial" w:cs="Arial" w:eastAsia="Arial" w:hAnsi="Arial"/>
                <w:sz w:val="16"/>
                <w:szCs w:val="16"/>
                <w:b w:val="1"/>
                <w:bCs w:val="1"/>
                <w:color w:val="auto"/>
                <w:w w:val="98"/>
              </w:rPr>
              <w:t>Total Clearway Energy LLC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9,093</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1381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318" w:lineRule="exact"/>
        <w:rPr>
          <w:sz w:val="20"/>
          <w:szCs w:val="20"/>
          <w:color w:val="auto"/>
        </w:rPr>
      </w:pPr>
    </w:p>
    <w:p>
      <w:pPr>
        <w:ind w:left="120" w:hanging="114"/>
        <w:spacing w:after="0"/>
        <w:tabs>
          <w:tab w:leader="none" w:pos="120" w:val="left"/>
        </w:tabs>
        <w:numPr>
          <w:ilvl w:val="0"/>
          <w:numId w:val="13"/>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2021.</w:t>
      </w:r>
    </w:p>
    <w:p>
      <w:pPr>
        <w:spacing w:after="0" w:line="43" w:lineRule="exact"/>
        <w:rPr>
          <w:rFonts w:ascii="Arial" w:cs="Arial" w:eastAsia="Arial" w:hAnsi="Arial"/>
          <w:sz w:val="9"/>
          <w:szCs w:val="9"/>
          <w:color w:val="auto"/>
        </w:rPr>
      </w:pPr>
    </w:p>
    <w:p>
      <w:pPr>
        <w:ind w:left="140" w:hanging="134"/>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Item 15 </w:t>
      </w:r>
      <w:r>
        <w:rPr>
          <w:rFonts w:ascii="Arial" w:cs="Arial" w:eastAsia="Arial" w:hAnsi="Arial"/>
          <w:sz w:val="17"/>
          <w:szCs w:val="17"/>
          <w:color w:val="auto"/>
        </w:rPr>
        <w:t>—</w:t>
      </w:r>
      <w:r>
        <w:rPr>
          <w:rFonts w:ascii="Arial" w:cs="Arial" w:eastAsia="Arial" w:hAnsi="Arial"/>
          <w:sz w:val="14"/>
          <w:szCs w:val="14"/>
          <w:color w:val="auto"/>
        </w:rPr>
        <w:t xml:space="preserve"> Note 2, </w:t>
      </w:r>
      <w:r>
        <w:rPr>
          <w:rFonts w:ascii="Arial" w:cs="Arial" w:eastAsia="Arial" w:hAnsi="Arial"/>
          <w:sz w:val="14"/>
          <w:szCs w:val="14"/>
          <w:i w:val="1"/>
          <w:iCs w:val="1"/>
          <w:color w:val="auto"/>
        </w:rPr>
        <w:t>Summary of Significant Accounting Policies.</w:t>
      </w:r>
    </w:p>
    <w:p>
      <w:pPr>
        <w:spacing w:after="0" w:line="21" w:lineRule="exact"/>
        <w:rPr>
          <w:rFonts w:ascii="Arial" w:cs="Arial" w:eastAsia="Arial" w:hAnsi="Arial"/>
          <w:sz w:val="9"/>
          <w:szCs w:val="9"/>
          <w:color w:val="auto"/>
        </w:rPr>
      </w:pPr>
    </w:p>
    <w:p>
      <w:pPr>
        <w:ind w:left="140" w:hanging="134"/>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Rattlesnake has a deliverable capacity of 144 MW.</w:t>
      </w:r>
    </w:p>
    <w:p>
      <w:pPr>
        <w:spacing w:after="0" w:line="24" w:lineRule="exact"/>
        <w:rPr>
          <w:rFonts w:ascii="Arial" w:cs="Arial" w:eastAsia="Arial" w:hAnsi="Arial"/>
          <w:sz w:val="9"/>
          <w:szCs w:val="9"/>
          <w:color w:val="auto"/>
        </w:rPr>
      </w:pPr>
    </w:p>
    <w:p>
      <w:pPr>
        <w:ind w:firstLine="6"/>
        <w:spacing w:after="0" w:line="246" w:lineRule="auto"/>
        <w:tabs>
          <w:tab w:leader="none" w:pos="141"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Black Rock's rated capacity is 115 MW, of which 70 MW, representing fourteen of the twenty-three wind turbines, became operational as of December 31, 2021. The remaining 45 MW of rated capacity became operational in January 2022.</w:t>
      </w:r>
    </w:p>
    <w:p>
      <w:pPr>
        <w:spacing w:after="0" w:line="20" w:lineRule="exact"/>
        <w:rPr>
          <w:rFonts w:ascii="Arial" w:cs="Arial" w:eastAsia="Arial" w:hAnsi="Arial"/>
          <w:sz w:val="16"/>
          <w:szCs w:val="16"/>
          <w:color w:val="auto"/>
          <w:vertAlign w:val="superscript"/>
        </w:rPr>
      </w:pPr>
    </w:p>
    <w:p>
      <w:pPr>
        <w:ind w:left="120" w:hanging="114"/>
        <w:spacing w:after="0"/>
        <w:tabs>
          <w:tab w:leader="none" w:pos="12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 xml:space="preserve">Includes thermal assets held for sale as of December 31, 2021, as further described in Item 15 </w:t>
      </w:r>
      <w:r>
        <w:rPr>
          <w:rFonts w:ascii="Arial" w:cs="Arial" w:eastAsia="Arial" w:hAnsi="Arial"/>
          <w:sz w:val="13"/>
          <w:szCs w:val="13"/>
          <w:color w:val="auto"/>
        </w:rPr>
        <w:t>—</w:t>
      </w:r>
      <w:r>
        <w:rPr>
          <w:rFonts w:ascii="Arial" w:cs="Arial" w:eastAsia="Arial" w:hAnsi="Arial"/>
          <w:sz w:val="11"/>
          <w:szCs w:val="11"/>
          <w:color w:val="auto"/>
        </w:rPr>
        <w:t xml:space="preserve"> Note 3</w:t>
      </w:r>
      <w:r>
        <w:rPr>
          <w:rFonts w:ascii="Arial" w:cs="Arial" w:eastAsia="Arial" w:hAnsi="Arial"/>
          <w:sz w:val="13"/>
          <w:szCs w:val="13"/>
          <w:color w:val="auto"/>
        </w:rPr>
        <w:t>,</w:t>
      </w:r>
      <w:r>
        <w:rPr>
          <w:rFonts w:ascii="Arial" w:cs="Arial" w:eastAsia="Arial" w:hAnsi="Arial"/>
          <w:sz w:val="11"/>
          <w:szCs w:val="11"/>
          <w:color w:val="auto"/>
        </w:rPr>
        <w:t xml:space="preserve"> </w:t>
      </w:r>
      <w:r>
        <w:rPr>
          <w:rFonts w:ascii="Arial" w:cs="Arial" w:eastAsia="Arial" w:hAnsi="Arial"/>
          <w:sz w:val="11"/>
          <w:szCs w:val="11"/>
          <w:i w:val="1"/>
          <w:iCs w:val="1"/>
          <w:color w:val="auto"/>
        </w:rPr>
        <w:t>Acquisitions and Dispositions</w:t>
      </w:r>
      <w:r>
        <w:rPr>
          <w:rFonts w:ascii="Arial" w:cs="Arial" w:eastAsia="Arial" w:hAnsi="Arial"/>
          <w:sz w:val="11"/>
          <w:szCs w:val="11"/>
          <w:color w:val="auto"/>
        </w:rPr>
        <w:t>.</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Rated Megawatt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Net Megawatt</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6"/>
              </w:rPr>
              <w:t>Thermal</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Thermal Energy Customers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6"/>
              </w:rPr>
              <w:t>Thermal</w:t>
            </w:r>
          </w:p>
        </w:tc>
        <w:tc>
          <w:tcPr>
            <w:tcW w:w="10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Equivalent</w:t>
            </w:r>
          </w:p>
        </w:tc>
        <w:tc>
          <w:tcPr>
            <w:tcW w:w="23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Generating</w:t>
            </w:r>
          </w:p>
        </w:tc>
        <w:tc>
          <w:tcPr>
            <w:tcW w:w="0" w:type="dxa"/>
            <w:vAlign w:val="bottom"/>
          </w:tcPr>
          <w:p>
            <w:pPr>
              <w:spacing w:after="0"/>
              <w:rPr>
                <w:sz w:val="1"/>
                <w:szCs w:val="1"/>
                <w:color w:val="auto"/>
              </w:rPr>
            </w:pPr>
          </w:p>
        </w:tc>
      </w:tr>
      <w:tr>
        <w:trPr>
          <w:trHeight w:val="158"/>
        </w:trPr>
        <w:tc>
          <w:tcPr>
            <w:tcW w:w="2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and Location of Facility</w:t>
            </w:r>
          </w:p>
        </w:tc>
        <w:tc>
          <w:tcPr>
            <w:tcW w:w="100" w:type="dxa"/>
            <w:vAlign w:val="bottom"/>
            <w:vMerge w:val="restart"/>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 Owned</w:t>
            </w:r>
          </w:p>
        </w:tc>
        <w:tc>
          <w:tcPr>
            <w:tcW w:w="120" w:type="dxa"/>
            <w:vAlign w:val="bottom"/>
            <w:vMerge w:val="restart"/>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Equivalent</w:t>
            </w:r>
          </w:p>
        </w:tc>
        <w:tc>
          <w:tcPr>
            <w:tcW w:w="10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Capacity</w:t>
            </w: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5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(steam/chilled water)</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Capacity (MWt)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w w:val="98"/>
              </w:rPr>
              <w:t xml:space="preserve">(MWt) </w:t>
            </w:r>
            <w:r>
              <w:rPr>
                <w:rFonts w:ascii="Arial" w:cs="Arial" w:eastAsia="Arial" w:hAnsi="Arial"/>
                <w:sz w:val="20"/>
                <w:szCs w:val="20"/>
                <w:b w:val="1"/>
                <w:bCs w:val="1"/>
                <w:color w:val="auto"/>
                <w:w w:val="98"/>
                <w:vertAlign w:val="superscript"/>
              </w:rPr>
              <w:t>(a)</w:t>
            </w:r>
          </w:p>
        </w:tc>
        <w:tc>
          <w:tcPr>
            <w:tcW w:w="234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04"/>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Minneapolis, MN</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steam</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1,075 MMBtu/hr.</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55 chilled water</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38,700 tons</w:t>
            </w:r>
          </w:p>
        </w:tc>
        <w:tc>
          <w:tcPr>
            <w:tcW w:w="0" w:type="dxa"/>
            <w:vAlign w:val="bottom"/>
          </w:tcPr>
          <w:p>
            <w:pPr>
              <w:spacing w:after="0"/>
              <w:rPr>
                <w:sz w:val="1"/>
                <w:szCs w:val="1"/>
                <w:color w:val="auto"/>
              </w:rPr>
            </w:pPr>
          </w:p>
        </w:tc>
      </w:tr>
      <w:tr>
        <w:trPr>
          <w:trHeight w:val="214"/>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ECP Uptown Campus, PA</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Duquesne University</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181 MMBtu/hr.</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Duquesne University</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5,790 tons</w:t>
            </w:r>
          </w:p>
        </w:tc>
        <w:tc>
          <w:tcPr>
            <w:tcW w:w="0" w:type="dxa"/>
            <w:vAlign w:val="bottom"/>
          </w:tcPr>
          <w:p>
            <w:pPr>
              <w:spacing w:after="0"/>
              <w:rPr>
                <w:sz w:val="1"/>
                <w:szCs w:val="1"/>
                <w:color w:val="auto"/>
              </w:rPr>
            </w:pPr>
          </w:p>
        </w:tc>
      </w:tr>
      <w:tr>
        <w:trPr>
          <w:trHeight w:val="214"/>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San Francisco, CA</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180 steam</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454 MMBtu/hr.</w:t>
            </w:r>
          </w:p>
        </w:tc>
        <w:tc>
          <w:tcPr>
            <w:tcW w:w="0" w:type="dxa"/>
            <w:vAlign w:val="bottom"/>
          </w:tcPr>
          <w:p>
            <w:pPr>
              <w:spacing w:after="0"/>
              <w:rPr>
                <w:sz w:val="1"/>
                <w:szCs w:val="1"/>
                <w:color w:val="auto"/>
              </w:rPr>
            </w:pP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Energy Center Omaha, NE</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60 steam</w:t>
            </w: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2340" w:type="dxa"/>
            <w:vAlign w:val="bottom"/>
          </w:tcPr>
          <w:p>
            <w:pPr>
              <w:ind w:left="140"/>
              <w:spacing w:after="0"/>
              <w:rPr>
                <w:sz w:val="20"/>
                <w:szCs w:val="20"/>
                <w:color w:val="auto"/>
              </w:rPr>
            </w:pPr>
            <w:r>
              <w:rPr>
                <w:rFonts w:ascii="Arial" w:cs="Arial" w:eastAsia="Arial" w:hAnsi="Arial"/>
                <w:sz w:val="14"/>
                <w:szCs w:val="14"/>
                <w:color w:val="auto"/>
              </w:rPr>
              <w:t>Steam: 675 MMBtu/hr.</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65 chilled water</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Chilled water: 28,000 tons</w:t>
            </w:r>
          </w:p>
        </w:tc>
        <w:tc>
          <w:tcPr>
            <w:tcW w:w="0" w:type="dxa"/>
            <w:vAlign w:val="bottom"/>
          </w:tcPr>
          <w:p>
            <w:pPr>
              <w:spacing w:after="0"/>
              <w:rPr>
                <w:sz w:val="1"/>
                <w:szCs w:val="1"/>
                <w:color w:val="auto"/>
              </w:rPr>
            </w:pPr>
          </w:p>
        </w:tc>
      </w:tr>
      <w:tr>
        <w:trPr>
          <w:trHeight w:val="208"/>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Energy Center Harrisburg, PA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115 steam</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w:t>
            </w:r>
          </w:p>
        </w:tc>
        <w:tc>
          <w:tcPr>
            <w:tcW w:w="2340" w:type="dxa"/>
            <w:vAlign w:val="bottom"/>
          </w:tcPr>
          <w:p>
            <w:pPr>
              <w:ind w:left="140"/>
              <w:spacing w:after="0"/>
              <w:rPr>
                <w:sz w:val="20"/>
                <w:szCs w:val="20"/>
                <w:color w:val="auto"/>
              </w:rPr>
            </w:pPr>
            <w:r>
              <w:rPr>
                <w:rFonts w:ascii="Arial" w:cs="Arial" w:eastAsia="Arial" w:hAnsi="Arial"/>
                <w:sz w:val="14"/>
                <w:szCs w:val="14"/>
                <w:color w:val="auto"/>
              </w:rPr>
              <w:t>Steam: 370 MMBtu/hr.</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 chilled water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Chilled water: 3,900 tons</w:t>
            </w:r>
          </w:p>
        </w:tc>
        <w:tc>
          <w:tcPr>
            <w:tcW w:w="0" w:type="dxa"/>
            <w:vAlign w:val="bottom"/>
          </w:tcPr>
          <w:p>
            <w:pPr>
              <w:spacing w:after="0"/>
              <w:rPr>
                <w:sz w:val="1"/>
                <w:szCs w:val="1"/>
                <w:color w:val="auto"/>
              </w:rPr>
            </w:pPr>
          </w:p>
        </w:tc>
      </w:tr>
      <w:tr>
        <w:trPr>
          <w:trHeight w:val="211"/>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Energy Center Phoenix, AZ</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40 chilled water</w:t>
            </w:r>
          </w:p>
        </w:tc>
        <w:tc>
          <w:tcPr>
            <w:tcW w:w="1000" w:type="dxa"/>
            <w:vAlign w:val="bottom"/>
            <w:gridSpan w:val="2"/>
          </w:tcPr>
          <w:p>
            <w:pPr>
              <w:ind w:left="380"/>
              <w:spacing w:after="0" w:line="211" w:lineRule="exact"/>
              <w:rPr>
                <w:sz w:val="20"/>
                <w:szCs w:val="20"/>
                <w:color w:val="auto"/>
              </w:rPr>
            </w:pPr>
            <w:r>
              <w:rPr>
                <w:rFonts w:ascii="Arial" w:cs="Arial" w:eastAsia="Arial" w:hAnsi="Arial"/>
                <w:sz w:val="16"/>
                <w:szCs w:val="16"/>
                <w:color w:val="auto"/>
              </w:rPr>
              <w:t xml:space="preserve">73 % </w:t>
            </w:r>
            <w:r>
              <w:rPr>
                <w:rFonts w:ascii="Arial" w:cs="Arial" w:eastAsia="Arial" w:hAnsi="Arial"/>
                <w:sz w:val="20"/>
                <w:szCs w:val="20"/>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41,020 tons</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17 MMBtu/hr.</w:t>
            </w:r>
          </w:p>
        </w:tc>
        <w:tc>
          <w:tcPr>
            <w:tcW w:w="0" w:type="dxa"/>
            <w:vAlign w:val="bottom"/>
          </w:tcPr>
          <w:p>
            <w:pPr>
              <w:spacing w:after="0"/>
              <w:rPr>
                <w:sz w:val="1"/>
                <w:szCs w:val="1"/>
                <w:color w:val="auto"/>
              </w:rPr>
            </w:pPr>
          </w:p>
        </w:tc>
      </w:tr>
      <w:tr>
        <w:trPr>
          <w:trHeight w:val="208"/>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Energy Center Pittsburgh, PA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25 steam</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w:t>
            </w:r>
          </w:p>
        </w:tc>
        <w:tc>
          <w:tcPr>
            <w:tcW w:w="2340" w:type="dxa"/>
            <w:vAlign w:val="bottom"/>
          </w:tcPr>
          <w:p>
            <w:pPr>
              <w:ind w:left="140"/>
              <w:spacing w:after="0"/>
              <w:rPr>
                <w:sz w:val="20"/>
                <w:szCs w:val="20"/>
                <w:color w:val="auto"/>
              </w:rPr>
            </w:pPr>
            <w:r>
              <w:rPr>
                <w:rFonts w:ascii="Arial" w:cs="Arial" w:eastAsia="Arial" w:hAnsi="Arial"/>
                <w:sz w:val="14"/>
                <w:szCs w:val="14"/>
                <w:color w:val="auto"/>
              </w:rPr>
              <w:t>Steam: 452 MMBtu/hr.</w:t>
            </w:r>
          </w:p>
        </w:tc>
        <w:tc>
          <w:tcPr>
            <w:tcW w:w="0" w:type="dxa"/>
            <w:vAlign w:val="bottom"/>
          </w:tcPr>
          <w:p>
            <w:pPr>
              <w:spacing w:after="0"/>
              <w:rPr>
                <w:sz w:val="1"/>
                <w:szCs w:val="1"/>
                <w:color w:val="auto"/>
              </w:rPr>
            </w:pPr>
          </w:p>
        </w:tc>
      </w:tr>
      <w:tr>
        <w:trPr>
          <w:trHeight w:val="214"/>
        </w:trPr>
        <w:tc>
          <w:tcPr>
            <w:tcW w:w="2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chilled water</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Chilled water: 22,224 tons</w:t>
            </w:r>
          </w:p>
        </w:tc>
        <w:tc>
          <w:tcPr>
            <w:tcW w:w="0" w:type="dxa"/>
            <w:vAlign w:val="bottom"/>
          </w:tcPr>
          <w:p>
            <w:pPr>
              <w:spacing w:after="0"/>
              <w:rPr>
                <w:sz w:val="1"/>
                <w:szCs w:val="1"/>
                <w:color w:val="auto"/>
              </w:rPr>
            </w:pPr>
          </w:p>
        </w:tc>
      </w:tr>
      <w:tr>
        <w:trPr>
          <w:trHeight w:val="208"/>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Energy Center San Diego, CA</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20 chilled water</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9,295 tons</w:t>
            </w:r>
          </w:p>
        </w:tc>
        <w:tc>
          <w:tcPr>
            <w:tcW w:w="0" w:type="dxa"/>
            <w:vAlign w:val="bottom"/>
          </w:tcPr>
          <w:p>
            <w:pPr>
              <w:spacing w:after="0"/>
              <w:rPr>
                <w:sz w:val="1"/>
                <w:szCs w:val="1"/>
                <w:color w:val="auto"/>
              </w:rPr>
            </w:pPr>
          </w:p>
        </w:tc>
      </w:tr>
      <w:tr>
        <w:trPr>
          <w:trHeight w:val="214"/>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Princeton, NJ</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HealthCare System</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72 MMBtu/hr.</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Princeton HealthCare System</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4,700 tons</w:t>
            </w:r>
          </w:p>
        </w:tc>
        <w:tc>
          <w:tcPr>
            <w:tcW w:w="0" w:type="dxa"/>
            <w:vAlign w:val="bottom"/>
          </w:tcPr>
          <w:p>
            <w:pPr>
              <w:spacing w:after="0"/>
              <w:rPr>
                <w:sz w:val="1"/>
                <w:szCs w:val="1"/>
                <w:color w:val="auto"/>
              </w:rPr>
            </w:pPr>
          </w:p>
        </w:tc>
      </w:tr>
      <w:tr>
        <w:trPr>
          <w:trHeight w:val="214"/>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Caguas, PR</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Viatris Pharmaceuticals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Steam: 4 MMBtu/hr.</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Viatris Pharmaceuticals</w:t>
            </w:r>
          </w:p>
        </w:tc>
        <w:tc>
          <w:tcPr>
            <w:tcW w:w="8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340" w:type="dxa"/>
            <w:vAlign w:val="bottom"/>
          </w:tcPr>
          <w:p>
            <w:pPr>
              <w:ind w:left="140"/>
              <w:spacing w:after="0"/>
              <w:rPr>
                <w:sz w:val="20"/>
                <w:szCs w:val="20"/>
                <w:color w:val="auto"/>
              </w:rPr>
            </w:pPr>
            <w:r>
              <w:rPr>
                <w:rFonts w:ascii="Arial" w:cs="Arial" w:eastAsia="Arial" w:hAnsi="Arial"/>
                <w:sz w:val="14"/>
                <w:szCs w:val="14"/>
                <w:color w:val="auto"/>
              </w:rPr>
              <w:t>Chilled water: 800 tons</w:t>
            </w:r>
          </w:p>
        </w:tc>
        <w:tc>
          <w:tcPr>
            <w:tcW w:w="0" w:type="dxa"/>
            <w:vAlign w:val="bottom"/>
          </w:tcPr>
          <w:p>
            <w:pPr>
              <w:spacing w:after="0"/>
              <w:rPr>
                <w:sz w:val="1"/>
                <w:szCs w:val="1"/>
                <w:color w:val="auto"/>
              </w:rPr>
            </w:pPr>
          </w:p>
        </w:tc>
      </w:tr>
      <w:tr>
        <w:trPr>
          <w:trHeight w:val="208"/>
        </w:trPr>
        <w:tc>
          <w:tcPr>
            <w:tcW w:w="2860" w:type="dxa"/>
            <w:vAlign w:val="bottom"/>
            <w:gridSpan w:val="3"/>
          </w:tcPr>
          <w:p>
            <w:pPr>
              <w:ind w:left="1180"/>
              <w:spacing w:after="0"/>
              <w:rPr>
                <w:sz w:val="20"/>
                <w:szCs w:val="20"/>
                <w:color w:val="auto"/>
              </w:rPr>
            </w:pPr>
            <w:r>
              <w:rPr>
                <w:rFonts w:ascii="Arial" w:cs="Arial" w:eastAsia="Arial" w:hAnsi="Arial"/>
                <w:sz w:val="14"/>
                <w:szCs w:val="14"/>
                <w:color w:val="auto"/>
                <w:w w:val="95"/>
              </w:rPr>
              <w:t xml:space="preserve">Total generating capacity </w:t>
            </w:r>
            <w:r>
              <w:rPr>
                <w:rFonts w:ascii="Arial" w:cs="Arial" w:eastAsia="Arial" w:hAnsi="Arial"/>
                <w:sz w:val="18"/>
                <w:szCs w:val="18"/>
                <w:color w:val="auto"/>
                <w:w w:val="95"/>
                <w:vertAlign w:val="superscript"/>
              </w:rPr>
              <w:t>(c)</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6"/>
        <w:spacing w:after="0"/>
        <w:tabs>
          <w:tab w:leader="none" w:pos="124"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Net megawatt thermal equivalent capacity represents the maximum, or rated, generating capacity of the facility multiplied by the Company's percentage ownership in the facility as of December 31, 2021.</w:t>
      </w:r>
    </w:p>
    <w:p>
      <w:pPr>
        <w:spacing w:after="0" w:line="203" w:lineRule="exact"/>
        <w:rPr>
          <w:rFonts w:ascii="Arial" w:cs="Arial" w:eastAsia="Arial" w:hAnsi="Arial"/>
          <w:sz w:val="14"/>
          <w:szCs w:val="14"/>
          <w:color w:val="auto"/>
          <w:vertAlign w:val="superscript"/>
        </w:rPr>
      </w:pPr>
    </w:p>
    <w:p>
      <w:pPr>
        <w:ind w:left="140" w:hanging="134"/>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Net MWt capacity excludes 44 MWt available under the right-to-use provisions contained in agreements between one of the Company's thermal facilities and certain of its customers.</w:t>
      </w:r>
    </w:p>
    <w:p>
      <w:pPr>
        <w:spacing w:after="0" w:line="53" w:lineRule="exact"/>
        <w:rPr>
          <w:rFonts w:ascii="Arial" w:cs="Arial" w:eastAsia="Arial" w:hAnsi="Arial"/>
          <w:sz w:val="16"/>
          <w:szCs w:val="16"/>
          <w:color w:val="auto"/>
          <w:vertAlign w:val="superscript"/>
        </w:rPr>
      </w:pPr>
    </w:p>
    <w:p>
      <w:pPr>
        <w:ind w:left="120" w:hanging="114"/>
        <w:spacing w:after="0"/>
        <w:tabs>
          <w:tab w:leader="none" w:pos="1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 xml:space="preserve">Includes thermal assets held for sale as of December 31, 2021, as further described in Item 15 </w:t>
      </w:r>
      <w:r>
        <w:rPr>
          <w:rFonts w:ascii="Arial" w:cs="Arial" w:eastAsia="Arial" w:hAnsi="Arial"/>
          <w:sz w:val="13"/>
          <w:szCs w:val="13"/>
          <w:color w:val="auto"/>
        </w:rPr>
        <w:t>—</w:t>
      </w:r>
      <w:r>
        <w:rPr>
          <w:rFonts w:ascii="Arial" w:cs="Arial" w:eastAsia="Arial" w:hAnsi="Arial"/>
          <w:sz w:val="11"/>
          <w:szCs w:val="11"/>
          <w:color w:val="auto"/>
        </w:rPr>
        <w:t xml:space="preserve"> Note 3</w:t>
      </w:r>
      <w:r>
        <w:rPr>
          <w:rFonts w:ascii="Arial" w:cs="Arial" w:eastAsia="Arial" w:hAnsi="Arial"/>
          <w:sz w:val="13"/>
          <w:szCs w:val="13"/>
          <w:color w:val="auto"/>
        </w:rPr>
        <w:t>,</w:t>
      </w:r>
      <w:r>
        <w:rPr>
          <w:rFonts w:ascii="Arial" w:cs="Arial" w:eastAsia="Arial" w:hAnsi="Arial"/>
          <w:sz w:val="11"/>
          <w:szCs w:val="11"/>
          <w:color w:val="auto"/>
        </w:rPr>
        <w:t xml:space="preserve"> </w:t>
      </w:r>
      <w:r>
        <w:rPr>
          <w:rFonts w:ascii="Arial" w:cs="Arial" w:eastAsia="Arial" w:hAnsi="Arial"/>
          <w:sz w:val="11"/>
          <w:szCs w:val="11"/>
          <w:i w:val="1"/>
          <w:iCs w:val="1"/>
          <w:color w:val="auto"/>
        </w:rPr>
        <w:t>Acquisitions and Dispositions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 Legal Proceedings</w:t>
      </w:r>
    </w:p>
    <w:p>
      <w:pPr>
        <w:spacing w:after="0" w:line="162" w:lineRule="exact"/>
        <w:rPr>
          <w:sz w:val="20"/>
          <w:szCs w:val="20"/>
          <w:color w:val="auto"/>
        </w:rPr>
      </w:pPr>
    </w:p>
    <w:p>
      <w:pPr>
        <w:ind w:firstLine="396"/>
        <w:spacing w:after="0" w:line="269" w:lineRule="auto"/>
        <w:rPr>
          <w:sz w:val="20"/>
          <w:szCs w:val="20"/>
          <w:color w:val="auto"/>
        </w:rPr>
      </w:pPr>
      <w:r>
        <w:rPr>
          <w:rFonts w:ascii="Arial" w:cs="Arial" w:eastAsia="Arial" w:hAnsi="Arial"/>
          <w:sz w:val="18"/>
          <w:szCs w:val="18"/>
          <w:color w:val="auto"/>
        </w:rPr>
        <w:t xml:space="preserve">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discussion of the material legal proceedings to which the Company is a party or of which any of its properties is subject.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7" w:name="page38"/>
    <w:bookmarkEnd w:id="37"/>
    <w:p>
      <w:pPr>
        <w:ind w:left="5300"/>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6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 2021</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Third Quarter 2021</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Second Quarter 2021</w:t>
            </w:r>
          </w:p>
        </w:tc>
        <w:tc>
          <w:tcPr>
            <w:tcW w:w="14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First Quarter 2021</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0.3290</w:t>
            </w:r>
          </w:p>
        </w:tc>
        <w:tc>
          <w:tcPr>
            <w:tcW w:w="50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Pr>
          <w:p>
            <w:pPr>
              <w:spacing w:after="0"/>
              <w:rPr>
                <w:sz w:val="19"/>
                <w:szCs w:val="19"/>
                <w:color w:val="auto"/>
              </w:rPr>
            </w:pPr>
          </w:p>
        </w:tc>
        <w:tc>
          <w:tcPr>
            <w:tcW w:w="460" w:type="dxa"/>
            <w:vAlign w:val="bottom"/>
          </w:tcPr>
          <w:p>
            <w:pPr>
              <w:jc w:val="right"/>
              <w:ind w:right="25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0.3290</w:t>
            </w:r>
          </w:p>
        </w:tc>
        <w:tc>
          <w:tcPr>
            <w:tcW w:w="50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34"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On February 17, 2022, the Company declared a quarterly distribution on its Class A, Class B, Class C and Class D units of $0.3468 per unit payable on March 15,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the Results of Operations</w:t>
      </w:r>
    </w:p>
    <w:p>
      <w:pPr>
        <w:spacing w:after="0" w:line="200" w:lineRule="exact"/>
        <w:rPr>
          <w:sz w:val="20"/>
          <w:szCs w:val="20"/>
          <w:color w:val="auto"/>
        </w:rPr>
      </w:pPr>
    </w:p>
    <w:p>
      <w:pPr>
        <w:spacing w:after="0" w:line="31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As you read this discussion and analysis, refer to the Company's Consolidated Statements of Operations to this Form 10-K. Also refer to Item 1 — </w:t>
      </w:r>
      <w:r>
        <w:rPr>
          <w:rFonts w:ascii="Arial" w:cs="Arial" w:eastAsia="Arial" w:hAnsi="Arial"/>
          <w:sz w:val="16"/>
          <w:szCs w:val="16"/>
          <w:i w:val="1"/>
          <w:iCs w:val="1"/>
          <w:color w:val="auto"/>
        </w:rPr>
        <w:t xml:space="preserve">Business </w:t>
      </w:r>
      <w:r>
        <w:rPr>
          <w:rFonts w:ascii="Arial" w:cs="Arial" w:eastAsia="Arial" w:hAnsi="Arial"/>
          <w:sz w:val="16"/>
          <w:szCs w:val="16"/>
          <w:color w:val="auto"/>
        </w:rPr>
        <w:t>and Item 1A —</w:t>
      </w:r>
      <w:r>
        <w:rPr>
          <w:rFonts w:ascii="Arial" w:cs="Arial" w:eastAsia="Arial" w:hAnsi="Arial"/>
          <w:sz w:val="16"/>
          <w:szCs w:val="16"/>
          <w:i w:val="1"/>
          <w:iCs w:val="1"/>
          <w:color w:val="auto"/>
        </w:rPr>
        <w:t xml:space="preserve"> Risk Factors</w:t>
      </w:r>
      <w:r>
        <w:rPr>
          <w:rFonts w:ascii="Arial" w:cs="Arial" w:eastAsia="Arial" w:hAnsi="Arial"/>
          <w:sz w:val="16"/>
          <w:szCs w:val="16"/>
          <w:color w:val="auto"/>
        </w:rPr>
        <w:t>, which include detailed discussions of various items impacting the Company's business, results of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Discussions of the year ended December 31, 2019 that are not included in this Annual Report on Form 10-K and year-to-year comparisons of the year ended December 31, 2020 and the year ended December 31, 2019 can be found in “Management’s Discussion and Analysis of Financial Condition and the Results of Operations” in Part II, Item 7 of the Company’s Annual Report on Form 10-K for the year ended December 31, 2020.</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62" w:lineRule="exact"/>
        <w:rPr>
          <w:sz w:val="20"/>
          <w:szCs w:val="20"/>
          <w:color w:val="auto"/>
        </w:rPr>
      </w:pPr>
    </w:p>
    <w:p>
      <w:pPr>
        <w:ind w:left="1280" w:right="720" w:hanging="325"/>
        <w:spacing w:after="0" w:line="262" w:lineRule="auto"/>
        <w:tabs>
          <w:tab w:leader="none" w:pos="1276"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22" w:lineRule="exact"/>
        <w:rPr>
          <w:rFonts w:ascii="Arial" w:cs="Arial" w:eastAsia="Arial" w:hAnsi="Arial"/>
          <w:sz w:val="18"/>
          <w:szCs w:val="18"/>
          <w:color w:val="231F20"/>
        </w:rPr>
      </w:pPr>
    </w:p>
    <w:p>
      <w:pPr>
        <w:ind w:left="1280" w:right="280" w:hanging="325"/>
        <w:spacing w:after="0" w:line="262" w:lineRule="auto"/>
        <w:tabs>
          <w:tab w:leader="none" w:pos="1276"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22" w:lineRule="exact"/>
        <w:rPr>
          <w:rFonts w:ascii="Arial" w:cs="Arial" w:eastAsia="Arial" w:hAnsi="Arial"/>
          <w:sz w:val="18"/>
          <w:szCs w:val="18"/>
          <w:color w:val="231F20"/>
        </w:rPr>
      </w:pPr>
    </w:p>
    <w:p>
      <w:pPr>
        <w:ind w:left="1280" w:right="540" w:hanging="325"/>
        <w:spacing w:after="0" w:line="262" w:lineRule="auto"/>
        <w:tabs>
          <w:tab w:leader="none" w:pos="1276"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22" w:lineRule="exact"/>
        <w:rPr>
          <w:rFonts w:ascii="Arial" w:cs="Arial" w:eastAsia="Arial" w:hAnsi="Arial"/>
          <w:sz w:val="18"/>
          <w:szCs w:val="18"/>
          <w:color w:val="231F20"/>
        </w:rPr>
      </w:pPr>
    </w:p>
    <w:p>
      <w:pPr>
        <w:ind w:left="1260" w:hanging="30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56" w:lineRule="exact"/>
        <w:rPr>
          <w:rFonts w:ascii="Arial" w:cs="Arial" w:eastAsia="Arial" w:hAnsi="Arial"/>
          <w:sz w:val="18"/>
          <w:szCs w:val="18"/>
          <w:color w:val="auto"/>
        </w:rPr>
      </w:pPr>
    </w:p>
    <w:p>
      <w:pPr>
        <w:ind w:left="1280" w:right="260" w:hanging="325"/>
        <w:spacing w:after="0" w:line="262" w:lineRule="auto"/>
        <w:tabs>
          <w:tab w:leader="none" w:pos="12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Clearway Energy Group LLC, or CEG. GIP is an independent infrastructure fund manager that makes equity and debt investments in infrastructure assets and businesses.</w:t>
      </w:r>
    </w:p>
    <w:p>
      <w:pPr>
        <w:spacing w:after="0" w:line="101"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 xml:space="preserve">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 The weighted average remaining contract duration of these offtake agreements was approximately 12 years </w:t>
      </w:r>
      <w:r>
        <w:rPr>
          <w:rFonts w:ascii="Arial" w:cs="Arial" w:eastAsia="Arial" w:hAnsi="Arial"/>
          <w:sz w:val="18"/>
          <w:szCs w:val="18"/>
          <w:color w:val="231F20"/>
        </w:rPr>
        <w:t>as of</w:t>
      </w:r>
      <w:r>
        <w:rPr>
          <w:rFonts w:ascii="Arial" w:cs="Arial" w:eastAsia="Arial" w:hAnsi="Arial"/>
          <w:sz w:val="18"/>
          <w:szCs w:val="18"/>
          <w:color w:val="auto"/>
        </w:rPr>
        <w:t xml:space="preserve"> December 31, 2021 </w:t>
      </w:r>
      <w:r>
        <w:rPr>
          <w:rFonts w:ascii="Arial" w:cs="Arial" w:eastAsia="Arial" w:hAnsi="Arial"/>
          <w:sz w:val="18"/>
          <w:szCs w:val="18"/>
          <w:color w:val="231F20"/>
        </w:rPr>
        <w:t>based on CAFD.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Disposition</w:t>
      </w:r>
    </w:p>
    <w:p>
      <w:pPr>
        <w:spacing w:after="0" w:line="162" w:lineRule="exact"/>
        <w:rPr>
          <w:sz w:val="20"/>
          <w:szCs w:val="20"/>
          <w:color w:val="auto"/>
        </w:rPr>
      </w:pPr>
    </w:p>
    <w:p>
      <w:pPr>
        <w:jc w:val="both"/>
        <w:ind w:left="640" w:hanging="318"/>
        <w:spacing w:after="0" w:line="285" w:lineRule="auto"/>
        <w:tabs>
          <w:tab w:leader="none" w:pos="635" w:val="left"/>
        </w:tabs>
        <w:numPr>
          <w:ilvl w:val="0"/>
          <w:numId w:val="16"/>
        </w:numPr>
        <w:rPr>
          <w:rFonts w:ascii="Arial" w:cs="Arial" w:eastAsia="Arial" w:hAnsi="Arial"/>
          <w:sz w:val="16"/>
          <w:szCs w:val="16"/>
          <w:b w:val="1"/>
          <w:bCs w:val="1"/>
          <w:i w:val="1"/>
          <w:iCs w:val="1"/>
          <w:color w:val="231F20"/>
        </w:rPr>
      </w:pPr>
      <w:r>
        <w:rPr>
          <w:rFonts w:ascii="Arial" w:cs="Arial" w:eastAsia="Arial" w:hAnsi="Arial"/>
          <w:sz w:val="16"/>
          <w:szCs w:val="16"/>
          <w:color w:val="auto"/>
        </w:rPr>
        <w:t>On October 22, 2021, Clearway Energy Operating LLC entered into a binding agreement to sell the Thermal Business to KKR for total consideration of $1.9 billion, subject to customary closing adjustments, which is referred to herein as the Thermal Disposition. Based on current estimates, the Company expects total net cash proceeds of approximately $1.35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 The Company's Thermal segment is comprised solely of the Thermal Business's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62" w:lineRule="exact"/>
        <w:rPr>
          <w:sz w:val="20"/>
          <w:szCs w:val="20"/>
          <w:color w:val="auto"/>
        </w:rPr>
      </w:pPr>
    </w:p>
    <w:p>
      <w:pPr>
        <w:jc w:val="both"/>
        <w:ind w:left="640" w:hanging="318"/>
        <w:spacing w:after="0" w:line="249" w:lineRule="auto"/>
        <w:tabs>
          <w:tab w:leader="none" w:pos="63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212529"/>
        </w:rPr>
        <w:t xml:space="preserve">On November 30, 2021, Clearway Energy Operating LLC entered into a senior secured bridge credit agreement, or the Bridge Loan Agreement, that provides for a term loan facility in an aggregate principal amount of $335 million. The Bridge Loan Agreement will mature no later than November 29, 2022. </w:t>
      </w:r>
      <w:r>
        <w:rPr>
          <w:rFonts w:ascii="Arial" w:cs="Arial" w:eastAsia="Arial" w:hAnsi="Arial"/>
          <w:sz w:val="18"/>
          <w:szCs w:val="18"/>
          <w:color w:val="000000"/>
        </w:rPr>
        <w:t>The Company intends to use proceeds from the Thermal Disposition to repay the outstanding principal balance of the term loans under the</w:t>
      </w:r>
      <w:r>
        <w:rPr>
          <w:rFonts w:ascii="Arial" w:cs="Arial" w:eastAsia="Arial" w:hAnsi="Arial"/>
          <w:sz w:val="18"/>
          <w:szCs w:val="18"/>
          <w:color w:val="212529"/>
        </w:rPr>
        <w:t xml:space="preserve"> </w:t>
      </w:r>
      <w:r>
        <w:rPr>
          <w:rFonts w:ascii="Arial" w:cs="Arial" w:eastAsia="Arial" w:hAnsi="Arial"/>
          <w:sz w:val="18"/>
          <w:szCs w:val="18"/>
          <w:color w:val="000000"/>
        </w:rPr>
        <w:t xml:space="preserve">Bridge Loan Agreement. </w:t>
      </w:r>
      <w:r>
        <w:rPr>
          <w:rFonts w:ascii="Arial" w:cs="Arial" w:eastAsia="Arial" w:hAnsi="Arial"/>
          <w:sz w:val="18"/>
          <w:szCs w:val="18"/>
          <w:color w:val="212529"/>
        </w:rPr>
        <w:t>The borrowings under the term loan facility were used to acquire the Utah Solar Portfolio on December 1, 2021, as described</w:t>
      </w:r>
      <w:r>
        <w:rPr>
          <w:rFonts w:ascii="Arial" w:cs="Arial" w:eastAsia="Arial" w:hAnsi="Arial"/>
          <w:sz w:val="18"/>
          <w:szCs w:val="18"/>
          <w:color w:val="000000"/>
        </w:rPr>
        <w:t xml:space="preserve"> </w:t>
      </w:r>
      <w:r>
        <w:rPr>
          <w:rFonts w:ascii="Arial" w:cs="Arial" w:eastAsia="Arial" w:hAnsi="Arial"/>
          <w:sz w:val="18"/>
          <w:szCs w:val="18"/>
          <w:color w:val="212529"/>
        </w:rPr>
        <w:t>below.</w:t>
      </w:r>
    </w:p>
    <w:p>
      <w:pPr>
        <w:spacing w:after="0" w:line="139" w:lineRule="exact"/>
        <w:rPr>
          <w:rFonts w:ascii="Arial" w:cs="Arial" w:eastAsia="Arial" w:hAnsi="Arial"/>
          <w:sz w:val="18"/>
          <w:szCs w:val="18"/>
          <w:i w:val="1"/>
          <w:iCs w:val="1"/>
          <w:color w:val="auto"/>
        </w:rPr>
      </w:pPr>
    </w:p>
    <w:p>
      <w:pPr>
        <w:jc w:val="both"/>
        <w:ind w:left="640" w:hanging="318"/>
        <w:spacing w:after="0" w:line="285" w:lineRule="auto"/>
        <w:tabs>
          <w:tab w:leader="none" w:pos="6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30, 2021, Clearway Energy Operating LLC entered into the Sixth Amendment to Amended and Restated Credit Agreement to provide for an increase of the maximum permitted Borrower Leverage Ratio to 6.00 to 1.00 during the period commencing on November 30, 2021 and ending on the leverage period termination date, which is the earliest of (i) two business days following the consummation of the Thermal Disposition, (ii) 120 days following the termination or expiration of the binding agreement entered into with KKR to sell the Thermal Business and (iii) the maturity date of the Bridge Loan Agreement. The Sixth Amendment also permits the incurrence of the term loan facility under the Bridge Loan Agreement, permits the incurrence of hedging obligations, permits the prepayment of indebtedness and implements certain other technical modifications.</w:t>
      </w:r>
    </w:p>
    <w:p>
      <w:pPr>
        <w:spacing w:after="0" w:line="113" w:lineRule="exact"/>
        <w:rPr>
          <w:rFonts w:ascii="Arial" w:cs="Arial" w:eastAsia="Arial" w:hAnsi="Arial"/>
          <w:sz w:val="16"/>
          <w:szCs w:val="16"/>
          <w:color w:val="auto"/>
        </w:rPr>
      </w:pPr>
    </w:p>
    <w:p>
      <w:pPr>
        <w:jc w:val="both"/>
        <w:ind w:left="640" w:hanging="318"/>
        <w:spacing w:after="0" w:line="253" w:lineRule="auto"/>
        <w:tabs>
          <w:tab w:leader="none" w:pos="635" w:val="left"/>
        </w:tabs>
        <w:numPr>
          <w:ilvl w:val="0"/>
          <w:numId w:val="17"/>
        </w:numPr>
        <w:rPr>
          <w:rFonts w:ascii="Arial" w:cs="Arial" w:eastAsia="Arial" w:hAnsi="Arial"/>
          <w:sz w:val="18"/>
          <w:szCs w:val="18"/>
          <w:color w:val="212529"/>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The net proceeds from the 2032 Senior Notes were used, together with existing corporate liquidity, to repurchase the 2026 Senior Notes, as described below.</w:t>
      </w:r>
    </w:p>
    <w:p>
      <w:pPr>
        <w:spacing w:after="0" w:line="136" w:lineRule="exact"/>
        <w:rPr>
          <w:rFonts w:ascii="Arial" w:cs="Arial" w:eastAsia="Arial" w:hAnsi="Arial"/>
          <w:sz w:val="18"/>
          <w:szCs w:val="18"/>
          <w:color w:val="212529"/>
        </w:rPr>
      </w:pPr>
    </w:p>
    <w:p>
      <w:pPr>
        <w:jc w:val="both"/>
        <w:ind w:left="640" w:hanging="318"/>
        <w:spacing w:after="0" w:line="253" w:lineRule="auto"/>
        <w:tabs>
          <w:tab w:leader="none" w:pos="63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In October 2021, the Company repurchased and redeemed an aggregate principal amount of $350 million of the 2026 Senior Notes, through the cash tender offer announced on September 24, 2021 and the redemption of the remaining amount on October 25, 2021. The repurchases and redemption were effectuated at a premium of approximately 103% for total consideration of $359 million.</w:t>
      </w:r>
    </w:p>
    <w:p>
      <w:pPr>
        <w:spacing w:after="0" w:line="136" w:lineRule="exact"/>
        <w:rPr>
          <w:rFonts w:ascii="Arial" w:cs="Arial" w:eastAsia="Arial" w:hAnsi="Arial"/>
          <w:sz w:val="18"/>
          <w:szCs w:val="18"/>
          <w:b w:val="1"/>
          <w:bCs w:val="1"/>
          <w:i w:val="1"/>
          <w:iCs w:val="1"/>
          <w:color w:val="auto"/>
        </w:rPr>
      </w:pPr>
    </w:p>
    <w:p>
      <w:pPr>
        <w:jc w:val="both"/>
        <w:ind w:left="640" w:hanging="318"/>
        <w:spacing w:after="0" w:line="25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0" w:name="page41"/>
    <w:bookmarkEnd w:id="40"/>
    <w:p>
      <w:pPr>
        <w:jc w:val="both"/>
        <w:ind w:left="640" w:hanging="318"/>
        <w:spacing w:after="0" w:line="253"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62" w:lineRule="exact"/>
        <w:rPr>
          <w:sz w:val="20"/>
          <w:szCs w:val="20"/>
          <w:color w:val="auto"/>
        </w:rPr>
      </w:pPr>
    </w:p>
    <w:p>
      <w:pPr>
        <w:jc w:val="both"/>
        <w:ind w:left="640" w:hanging="318"/>
        <w:spacing w:after="0" w:line="287" w:lineRule="auto"/>
        <w:tabs>
          <w:tab w:leader="none" w:pos="635"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 On December 15, 2021, the Company repaid the outstanding principal amount of $117 million utilizing existing corporate liquidity, along with proceeds from tax equity.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62" w:lineRule="exact"/>
        <w:rPr>
          <w:sz w:val="20"/>
          <w:szCs w:val="20"/>
          <w:color w:val="auto"/>
        </w:rPr>
      </w:pPr>
    </w:p>
    <w:p>
      <w:pPr>
        <w:jc w:val="both"/>
        <w:ind w:left="640" w:hanging="318"/>
        <w:spacing w:after="0" w:line="283" w:lineRule="auto"/>
        <w:tabs>
          <w:tab w:leader="none" w:pos="63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color w:val="auto"/>
        </w:rPr>
        <w:t>On December 1, 2021, the Company acquired the remaining 50% equity interest in the Utah Solar Portfolio from Dominion Solar Projects III, Inc., for approximately $335 million before working capital and purchase price adjustments in the net amount of $5 million, representing total net consideration of $330 million. Borrowings under the Bridge Loan Agreement were used to fund the acquisition.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The Company removed its equity method investment and consolidates its interests in the Utah Solar Portfolio within the Renewables segment from the date of the acquisition.</w:t>
      </w:r>
    </w:p>
    <w:p>
      <w:pPr>
        <w:spacing w:after="0" w:line="116" w:lineRule="exact"/>
        <w:rPr>
          <w:rFonts w:ascii="Arial" w:cs="Arial" w:eastAsia="Arial" w:hAnsi="Arial"/>
          <w:sz w:val="16"/>
          <w:szCs w:val="16"/>
          <w:b w:val="1"/>
          <w:bCs w:val="1"/>
          <w:i w:val="1"/>
          <w:iCs w:val="1"/>
          <w:color w:val="auto"/>
        </w:rPr>
      </w:pPr>
    </w:p>
    <w:p>
      <w:pPr>
        <w:jc w:val="both"/>
        <w:ind w:left="640" w:hanging="318"/>
        <w:spacing w:after="0" w:line="250" w:lineRule="auto"/>
        <w:tabs>
          <w:tab w:leader="none" w:pos="63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On April 23, 2021, the Company acquired 100% of the equity interests in NedPower Mount Storm LLC, or Mt. Storm, from Castleton Commodities 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w:t>
      </w:r>
    </w:p>
    <w:p>
      <w:pPr>
        <w:spacing w:after="0" w:line="139" w:lineRule="exact"/>
        <w:rPr>
          <w:rFonts w:ascii="Arial" w:cs="Arial" w:eastAsia="Arial" w:hAnsi="Arial"/>
          <w:sz w:val="18"/>
          <w:szCs w:val="18"/>
          <w:b w:val="1"/>
          <w:bCs w:val="1"/>
          <w:i w:val="1"/>
          <w:iCs w:val="1"/>
          <w:color w:val="auto"/>
        </w:rPr>
      </w:pPr>
    </w:p>
    <w:p>
      <w:pPr>
        <w:ind w:left="640" w:right="220" w:hanging="318"/>
        <w:spacing w:after="0" w:line="287" w:lineRule="auto"/>
        <w:tabs>
          <w:tab w:leader="none" w:pos="6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17 years remaining under the agreement. Following the close of the transaction, the Company owns a 51% equity interest in Agua Caliente. The Company removed its equity method investment and consolidates its interest in Agua Caliente within the Renewables segment from the date of the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62" w:lineRule="exact"/>
        <w:rPr>
          <w:sz w:val="20"/>
          <w:szCs w:val="20"/>
          <w:color w:val="auto"/>
        </w:rPr>
      </w:pPr>
    </w:p>
    <w:p>
      <w:pPr>
        <w:jc w:val="both"/>
        <w:ind w:left="640" w:hanging="318"/>
        <w:spacing w:after="0" w:line="280" w:lineRule="auto"/>
        <w:tabs>
          <w:tab w:leader="none" w:pos="635"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On December 29, 2021, the Company, through its indirect subsidiary Lighthouse Renewable Holding Sub LLC, acquired the 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Class A membership interests of Black Rock Wind Holding LLC are owned by another third-party investor. Black Rock Wind Holding LLC, through its subsidiary, is the primary beneficiary and consolidates its interests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A majority of the project’s output is backed by contracts with investment-grade counterparties with a 15-year weighted average contract life.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1" w:name="page42"/>
    <w:bookmarkEnd w:id="41"/>
    <w:p>
      <w:pPr>
        <w:jc w:val="both"/>
        <w:ind w:left="640" w:hanging="318"/>
        <w:spacing w:after="0" w:line="283"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December 17, 2021, the Company through its indirect subsidiary Lighthouse Renewable Holdco 2 LLC, acquired the Class B membership interests in Mesquite Sky Holding LLC from Clearway Renew LLC, a subsidiary of CEG, for $61 million in cash consideration. Lighthouse Renewable Holdco 2 LLC is a partnership between the Company and a third-party investor. The Class A membership interests of Mesquite Sky Holding LLC are owned by another third-party investor. Mesquite Sky Holding LLC, through its subsidiary, is the primary beneficiary and consolidates its interests in a tax equity fund, Mesquite Sky TE Holdco LLC that holds the Mesquite Sky wind project, a 340 MW utility scale wind project located in Callahan County, Texas, which achieved commercial operations in December 2021. A majority of the project’s output is backed by contracts with investment-grade counterparties with a 12-year weighted average contract life.</w:t>
      </w:r>
    </w:p>
    <w:p>
      <w:pPr>
        <w:spacing w:after="0" w:line="116" w:lineRule="exact"/>
        <w:rPr>
          <w:rFonts w:ascii="Arial" w:cs="Arial" w:eastAsia="Arial" w:hAnsi="Arial"/>
          <w:sz w:val="16"/>
          <w:szCs w:val="16"/>
          <w:color w:val="auto"/>
        </w:rPr>
      </w:pPr>
    </w:p>
    <w:p>
      <w:pPr>
        <w:jc w:val="both"/>
        <w:ind w:left="640" w:hanging="318"/>
        <w:spacing w:after="0" w:line="292"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October 28, 2021, the Company, through an indirect subsidiary, entered into an agreement with CEG to acquire the Class A membership interests in the Daggett 3 solar project upon the project meeting certain milestones. Daggett 3 is a 300 MW solar generating facility under development with a combined 144 MW and 576 MWh battery energy storage system located in San Bernardino, California. The Company expects to invest approximately $21 million, subject to closing adjustments. Commercial operations of the facility and the Company's investment are expected to occur in 2022.</w:t>
      </w:r>
    </w:p>
    <w:p>
      <w:pPr>
        <w:spacing w:after="0" w:line="106" w:lineRule="exact"/>
        <w:rPr>
          <w:rFonts w:ascii="Arial" w:cs="Arial" w:eastAsia="Arial" w:hAnsi="Arial"/>
          <w:sz w:val="16"/>
          <w:szCs w:val="16"/>
          <w:color w:val="auto"/>
        </w:rPr>
      </w:pPr>
    </w:p>
    <w:p>
      <w:pPr>
        <w:ind w:left="640" w:hanging="318"/>
        <w:spacing w:after="0"/>
        <w:tabs>
          <w:tab w:leader="none" w:pos="64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color w:val="auto"/>
        </w:rPr>
        <w:t>On August 2, 2021, the CEG ROFO Agreement was amended to remove the 100 MW Wildflower utility scale solar project from the ROFO pipeline.</w:t>
      </w:r>
    </w:p>
    <w:p>
      <w:pPr>
        <w:spacing w:after="0" w:line="185" w:lineRule="exact"/>
        <w:rPr>
          <w:rFonts w:ascii="Arial" w:cs="Arial" w:eastAsia="Arial" w:hAnsi="Arial"/>
          <w:sz w:val="16"/>
          <w:szCs w:val="16"/>
          <w:b w:val="1"/>
          <w:bCs w:val="1"/>
          <w:i w:val="1"/>
          <w:iCs w:val="1"/>
          <w:color w:val="auto"/>
        </w:rPr>
      </w:pPr>
    </w:p>
    <w:p>
      <w:pPr>
        <w:jc w:val="both"/>
        <w:ind w:left="640" w:hanging="318"/>
        <w:spacing w:after="0" w:line="24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24, 2021, the Company, through an indirect subsidiary, entered into agreements with CEG to acquire the Class A membership interests in the Mililani I and Waiawa solar projects upon the projects reaching certain milestones. Mililani I is a 39 MW solar generating facility under development with a combined 39 MW and 156 MWh battery energy storage system located in Honolulu, Hawaii. Waiawa is a 36 MW solar generating facility under development with a combined 36 MW and 144 MWh battery energy storage system located in Honolulu, Hawaii. The Company expects to invest approximately $39 million, subject to closing adjustments. Commercial operations of the facilities and the Company's investment are expected to occur in 2022.</w:t>
      </w:r>
    </w:p>
    <w:p>
      <w:pPr>
        <w:spacing w:after="0" w:line="141" w:lineRule="exact"/>
        <w:rPr>
          <w:rFonts w:ascii="Arial" w:cs="Arial" w:eastAsia="Arial" w:hAnsi="Arial"/>
          <w:sz w:val="18"/>
          <w:szCs w:val="18"/>
          <w:color w:val="auto"/>
        </w:rPr>
      </w:pPr>
    </w:p>
    <w:p>
      <w:pPr>
        <w:jc w:val="both"/>
        <w:ind w:left="640" w:hanging="318"/>
        <w:spacing w:after="0" w:line="287" w:lineRule="auto"/>
        <w:tabs>
          <w:tab w:leader="none" w:pos="636"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6"/>
          <w:szCs w:val="16"/>
          <w:color w:val="auto"/>
        </w:rPr>
        <w:t>On February 26, 2021, the Company, through an indirect subsidiary, entered into an amended partnership agreement with CEG to repower the Pinnacle wind project, a 54 MW wind facility located in Mineral County, West Virginia. The existing Pinnacle wind power purchase agreements will continue to run through 2031. On March 10, 2021, the Pinnacle wind project acquired equipment from CEG for $21 million in cash consideration. On December 14, 2021, the repowering project reached COD and on December 15, 2021, the Company funded $64 million in corporate capital, which was utilized in part to repay the Pinnacle Repowering Partnership Holdco LLC construction loan, along with proceeds from tax equity.</w:t>
      </w:r>
    </w:p>
    <w:p>
      <w:pPr>
        <w:spacing w:after="0" w:line="113" w:lineRule="exact"/>
        <w:rPr>
          <w:rFonts w:ascii="Arial" w:cs="Arial" w:eastAsia="Arial" w:hAnsi="Arial"/>
          <w:sz w:val="13"/>
          <w:szCs w:val="13"/>
          <w:b w:val="1"/>
          <w:bCs w:val="1"/>
          <w:i w:val="1"/>
          <w:iCs w:val="1"/>
          <w:color w:val="auto"/>
        </w:rPr>
      </w:pPr>
    </w:p>
    <w:p>
      <w:pPr>
        <w:jc w:val="both"/>
        <w:ind w:left="640" w:hanging="318"/>
        <w:spacing w:after="0" w:line="287"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12, 2021, the Company acquired 100% of CEG's equity interest and a third-party investor's minority interest in CWSP Rattlesnake Holding LLC for $132 million in cash consideration. CWSP Rattlesnake Holding LLC indirectly consolidates the Rattlesnake wind project, a 160 MW wind facility with 144 MW deliverable capacity located in Adams County, Washington that achieved commercial operations in December 2020. The Company's net capital commitment was $119 million after proceeds from a state sales and use tax refund, which was received in May 2021. The project has a 20-year PPA, which began when the facility reached commercial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Agreements</w:t>
      </w:r>
    </w:p>
    <w:p>
      <w:pPr>
        <w:spacing w:after="0" w:line="162" w:lineRule="exact"/>
        <w:rPr>
          <w:sz w:val="20"/>
          <w:szCs w:val="20"/>
          <w:color w:val="auto"/>
        </w:rPr>
      </w:pPr>
    </w:p>
    <w:p>
      <w:pPr>
        <w:ind w:left="640" w:hanging="318"/>
        <w:spacing w:after="0" w:line="26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28, 2021, Walnut Creek contracted with SCE to sell 483 MW of Resource Adequacy, which is the full net qualifying capacity of the plant, commencing in June 2023 and ending in December 2026.</w:t>
      </w:r>
    </w:p>
    <w:p>
      <w:pPr>
        <w:spacing w:after="0" w:line="128" w:lineRule="exact"/>
        <w:rPr>
          <w:rFonts w:ascii="Arial" w:cs="Arial" w:eastAsia="Arial" w:hAnsi="Arial"/>
          <w:sz w:val="18"/>
          <w:szCs w:val="18"/>
          <w:color w:val="auto"/>
        </w:rPr>
      </w:pPr>
    </w:p>
    <w:p>
      <w:pPr>
        <w:jc w:val="both"/>
        <w:ind w:left="640" w:hanging="318"/>
        <w:spacing w:after="0" w:line="250"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10, 2021, Marsh Landing contracted with PG&amp;E to sell approximately 500 MW of Resource Adequacy commencing in May 2023. The contract is for approximately three years. On May 3, 2021, Marsh Landing contracted with a California Load Serving Entity to sell 100 MW of Resource Adequacy commencing in May 2023. The contract is for approximately seven and a half years. Collectively, these contracts represent approximately 80% of the plant's net qualifying capacity.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62" w:lineRule="exact"/>
        <w:rPr>
          <w:sz w:val="20"/>
          <w:szCs w:val="20"/>
          <w:color w:val="auto"/>
        </w:rPr>
      </w:pPr>
    </w:p>
    <w:p>
      <w:pPr>
        <w:jc w:val="both"/>
        <w:ind w:left="640" w:hanging="318"/>
        <w:spacing w:after="0" w:line="249"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third-party equity investors, the Company recorded a reduction of approximately $50 million in revenue in the first quarter of 2021 to settle obligations for wind facilities during the extreme weather conditions. After factoring in third-party equity investor contributions, the cash impact to the Company during the first quarter of 2021 was approximately $25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6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i w:val="1"/>
          <w:iCs w:val="1"/>
          <w:color w:val="auto"/>
        </w:rPr>
        <w:t>Business, Regulatory Matters</w:t>
      </w:r>
      <w:r>
        <w:rPr>
          <w:rFonts w:ascii="Arial" w:cs="Arial" w:eastAsia="Arial" w:hAnsi="Arial"/>
          <w:sz w:val="18"/>
          <w:szCs w:val="18"/>
          <w:color w:val="auto"/>
        </w:rPr>
        <w:t xml:space="preserve">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pacing w:after="0" w:line="122" w:lineRule="exact"/>
        <w:rPr>
          <w:sz w:val="20"/>
          <w:szCs w:val="20"/>
          <w:color w:val="auto"/>
        </w:rPr>
      </w:pPr>
    </w:p>
    <w:p>
      <w:pPr>
        <w:ind w:right="4860"/>
        <w:spacing w:after="0" w:line="431" w:lineRule="auto"/>
        <w:rPr>
          <w:sz w:val="20"/>
          <w:szCs w:val="20"/>
          <w:color w:val="auto"/>
        </w:rPr>
      </w:pPr>
      <w:r>
        <w:rPr>
          <w:rFonts w:ascii="Arial" w:cs="Arial" w:eastAsia="Arial" w:hAnsi="Arial"/>
          <w:sz w:val="18"/>
          <w:szCs w:val="18"/>
          <w:b w:val="1"/>
          <w:bCs w:val="1"/>
          <w:color w:val="auto"/>
        </w:rPr>
        <w:t xml:space="preserve">Trends or Matters Affecting Results of Operations and Future Business Performance </w:t>
      </w:r>
      <w:r>
        <w:rPr>
          <w:rFonts w:ascii="Arial" w:cs="Arial" w:eastAsia="Arial" w:hAnsi="Arial"/>
          <w:sz w:val="18"/>
          <w:szCs w:val="18"/>
          <w:i w:val="1"/>
          <w:iCs w:val="1"/>
          <w:color w:val="auto"/>
        </w:rPr>
        <w:t>Wind and Solar Resource Availability</w:t>
      </w:r>
    </w:p>
    <w:p>
      <w:pPr>
        <w:spacing w:after="0" w:line="1"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01" w:lineRule="exact"/>
        <w:rPr>
          <w:sz w:val="20"/>
          <w:szCs w:val="20"/>
          <w:color w:val="auto"/>
        </w:rPr>
      </w:pPr>
    </w:p>
    <w:p>
      <w:pPr>
        <w:ind w:right="5140"/>
        <w:spacing w:after="0" w:line="431" w:lineRule="auto"/>
        <w:rPr>
          <w:sz w:val="20"/>
          <w:szCs w:val="20"/>
          <w:color w:val="auto"/>
        </w:rPr>
      </w:pPr>
      <w:r>
        <w:rPr>
          <w:rFonts w:ascii="Arial" w:cs="Arial" w:eastAsia="Arial" w:hAnsi="Arial"/>
          <w:sz w:val="18"/>
          <w:szCs w:val="18"/>
          <w:b w:val="1"/>
          <w:bCs w:val="1"/>
          <w:color w:val="auto"/>
        </w:rPr>
        <w:t xml:space="preserve">Recent Developments Affecting Industry Conditions and the Company's Business </w:t>
      </w:r>
      <w:r>
        <w:rPr>
          <w:rFonts w:ascii="Arial" w:cs="Arial" w:eastAsia="Arial" w:hAnsi="Arial"/>
          <w:sz w:val="18"/>
          <w:szCs w:val="18"/>
          <w:i w:val="1"/>
          <w:iCs w:val="1"/>
          <w:color w:val="auto"/>
        </w:rPr>
        <w:t>COVID-19</w:t>
      </w:r>
    </w:p>
    <w:p>
      <w:pPr>
        <w:spacing w:after="0" w:line="1"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continues to promote heightened awareness and vigilance, hygiene, and implementation of more stringent cleaning protocols across its facilities and operations and continues to evaluate these measures, response plans and business practices in light of the evolving effects of COVID-19 and its variants.</w:t>
      </w:r>
    </w:p>
    <w:p>
      <w:pPr>
        <w:spacing w:after="0" w:line="113"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December 31, 2021 are collectible. The Company will continue to assess collectability based on any future developments.</w:t>
      </w:r>
    </w:p>
    <w:p>
      <w:pPr>
        <w:spacing w:after="0" w:line="140"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The Company cannot predict the full impact that COVID-19 and its variants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6"/>
          <w:szCs w:val="16"/>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45"/>
        </w:trPr>
        <w:tc>
          <w:tcPr>
            <w:tcW w:w="6340" w:type="dxa"/>
            <w:vAlign w:val="bottom"/>
            <w:gridSpan w:val="3"/>
          </w:tcPr>
          <w:p>
            <w:pPr>
              <w:ind w:left="420"/>
              <w:spacing w:after="0" w:line="145"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900" w:type="dxa"/>
            <w:vAlign w:val="bottom"/>
          </w:tcPr>
          <w:p>
            <w:pPr>
              <w:jc w:val="right"/>
              <w:ind w:right="353"/>
              <w:spacing w:after="0" w:line="14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3"/>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ind w:right="293"/>
              <w:spacing w:after="0" w:line="14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4"/>
        </w:trPr>
        <w:tc>
          <w:tcPr>
            <w:tcW w:w="6340" w:type="dxa"/>
            <w:vAlign w:val="bottom"/>
            <w:gridSpan w:val="3"/>
            <w:shd w:val="clear" w:color="auto" w:fill="CCEEFF"/>
          </w:tcPr>
          <w:p>
            <w:pPr>
              <w:ind w:left="420"/>
              <w:spacing w:after="0" w:line="204" w:lineRule="exact"/>
              <w:rPr>
                <w:sz w:val="20"/>
                <w:szCs w:val="20"/>
                <w:color w:val="auto"/>
              </w:rPr>
            </w:pPr>
            <w:r>
              <w:rPr>
                <w:rFonts w:ascii="Arial" w:cs="Arial" w:eastAsia="Arial" w:hAnsi="Arial"/>
                <w:sz w:val="18"/>
                <w:szCs w:val="18"/>
                <w:b w:val="1"/>
                <w:bCs w:val="1"/>
                <w:color w:val="auto"/>
              </w:rPr>
              <w:t>Operating Revenues</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Energy and capacity revenues</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9"/>
                <w:szCs w:val="19"/>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Contract amortization</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7"/>
        </w:trPr>
        <w:tc>
          <w:tcPr>
            <w:tcW w:w="4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Borders>
              <w:top w:val="single" w:sz="8" w:color="auto"/>
              <w:bottom w:val="single" w:sz="8" w:color="auto"/>
            </w:tcBorders>
          </w:tcPr>
          <w:p>
            <w:pPr>
              <w:spacing w:after="0"/>
              <w:rPr>
                <w:sz w:val="18"/>
                <w:szCs w:val="18"/>
                <w:color w:val="auto"/>
              </w:rPr>
            </w:pPr>
          </w:p>
        </w:tc>
      </w:tr>
      <w:tr>
        <w:trPr>
          <w:trHeight w:val="205"/>
        </w:trPr>
        <w:tc>
          <w:tcPr>
            <w:tcW w:w="6340" w:type="dxa"/>
            <w:vAlign w:val="bottom"/>
            <w:gridSpan w:val="3"/>
            <w:shd w:val="clear" w:color="auto" w:fill="CCEEFF"/>
          </w:tcPr>
          <w:p>
            <w:pPr>
              <w:ind w:left="420"/>
              <w:spacing w:after="0" w:line="205" w:lineRule="exact"/>
              <w:rPr>
                <w:sz w:val="20"/>
                <w:szCs w:val="20"/>
                <w:color w:val="auto"/>
              </w:rPr>
            </w:pPr>
            <w:r>
              <w:rPr>
                <w:rFonts w:ascii="Arial" w:cs="Arial" w:eastAsia="Arial" w:hAnsi="Arial"/>
                <w:sz w:val="18"/>
                <w:szCs w:val="18"/>
                <w:b w:val="1"/>
                <w:bCs w:val="1"/>
                <w:color w:val="auto"/>
              </w:rPr>
              <w:t>Operating Costs and Expenses</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Cost of fuels</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Operations and maintenance</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9"/>
                <w:szCs w:val="19"/>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Other costs of operations</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9"/>
                <w:szCs w:val="19"/>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Impairment losses</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Transaction and integration costs</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19"/>
                <w:szCs w:val="19"/>
                <w:color w:val="auto"/>
              </w:rPr>
            </w:pPr>
          </w:p>
        </w:tc>
      </w:tr>
      <w:tr>
        <w:trPr>
          <w:trHeight w:val="217"/>
        </w:trPr>
        <w:tc>
          <w:tcPr>
            <w:tcW w:w="4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costs and expenses</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bottom w:val="single" w:sz="8" w:color="auto"/>
            </w:tcBorders>
          </w:tcPr>
          <w:p>
            <w:pPr>
              <w:spacing w:after="0"/>
              <w:rPr>
                <w:sz w:val="18"/>
                <w:szCs w:val="18"/>
                <w:color w:val="auto"/>
              </w:rPr>
            </w:pPr>
          </w:p>
        </w:tc>
      </w:tr>
      <w:tr>
        <w:trPr>
          <w:trHeight w:val="218"/>
        </w:trPr>
        <w:tc>
          <w:tcPr>
            <w:tcW w:w="63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bottom w:val="single" w:sz="8" w:color="auto"/>
            </w:tcBorders>
            <w:shd w:val="clear" w:color="auto" w:fill="CCEEFF"/>
          </w:tcPr>
          <w:p>
            <w:pPr>
              <w:spacing w:after="0"/>
              <w:rPr>
                <w:sz w:val="18"/>
                <w:szCs w:val="18"/>
                <w:color w:val="auto"/>
              </w:rPr>
            </w:pPr>
          </w:p>
        </w:tc>
      </w:tr>
      <w:tr>
        <w:trPr>
          <w:trHeight w:val="204"/>
        </w:trPr>
        <w:tc>
          <w:tcPr>
            <w:tcW w:w="6340" w:type="dxa"/>
            <w:vAlign w:val="bottom"/>
            <w:gridSpan w:val="3"/>
          </w:tcPr>
          <w:p>
            <w:pPr>
              <w:ind w:left="4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9"/>
                <w:szCs w:val="19"/>
                <w:color w:val="auto"/>
              </w:rPr>
            </w:pP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Impairment loss on investment</w:t>
            </w:r>
          </w:p>
        </w:tc>
        <w:tc>
          <w:tcPr>
            <w:tcW w:w="640" w:type="dxa"/>
            <w:vAlign w:val="bottom"/>
          </w:tcPr>
          <w:p>
            <w:pPr>
              <w:spacing w:after="0"/>
              <w:rPr>
                <w:sz w:val="19"/>
                <w:szCs w:val="19"/>
                <w:color w:val="auto"/>
              </w:rPr>
            </w:pPr>
          </w:p>
        </w:tc>
        <w:tc>
          <w:tcPr>
            <w:tcW w:w="13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Derivative interest income (expense)</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25"/>
        </w:trPr>
        <w:tc>
          <w:tcPr>
            <w:tcW w:w="4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interest expense</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r>
      <w:tr>
        <w:trPr>
          <w:trHeight w:val="217"/>
        </w:trPr>
        <w:tc>
          <w:tcPr>
            <w:tcW w:w="4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other expense, net</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w:t>
            </w:r>
          </w:p>
        </w:tc>
      </w:tr>
      <w:tr>
        <w:trPr>
          <w:trHeight w:val="218"/>
        </w:trPr>
        <w:tc>
          <w:tcPr>
            <w:tcW w:w="63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Loss Before Income Taxes</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24"/>
        </w:trPr>
        <w:tc>
          <w:tcPr>
            <w:tcW w:w="4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5"/>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8"/>
        </w:trPr>
        <w:tc>
          <w:tcPr>
            <w:tcW w:w="634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Net Loss</w:t>
            </w:r>
          </w:p>
        </w:tc>
        <w:tc>
          <w:tcPr>
            <w:tcW w:w="6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24"/>
        </w:trPr>
        <w:tc>
          <w:tcPr>
            <w:tcW w:w="4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43"/>
        </w:trPr>
        <w:tc>
          <w:tcPr>
            <w:tcW w:w="634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428"/>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Business metrics:</w:t>
            </w:r>
          </w:p>
        </w:tc>
        <w:tc>
          <w:tcPr>
            <w:tcW w:w="6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218"/>
        </w:trPr>
        <w:tc>
          <w:tcPr>
            <w:tcW w:w="6340" w:type="dxa"/>
            <w:vAlign w:val="bottom"/>
            <w:gridSpan w:val="3"/>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2"/>
                <w:szCs w:val="22"/>
                <w:color w:val="auto"/>
                <w:vertAlign w:val="superscript"/>
              </w:rPr>
              <w:t>(a)</w:t>
            </w: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6,584</w:t>
            </w:r>
          </w:p>
        </w:tc>
        <w:tc>
          <w:tcPr>
            <w:tcW w:w="60" w:type="dxa"/>
            <w:vAlign w:val="bottom"/>
          </w:tcPr>
          <w:p>
            <w:pPr>
              <w:spacing w:after="0"/>
              <w:rPr>
                <w:sz w:val="18"/>
                <w:szCs w:val="18"/>
                <w:color w:val="auto"/>
              </w:rPr>
            </w:pPr>
          </w:p>
        </w:tc>
      </w:tr>
      <w:tr>
        <w:trPr>
          <w:trHeight w:val="224"/>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Thermal MWt sold (in thousands)</w:t>
            </w:r>
          </w:p>
        </w:tc>
        <w:tc>
          <w:tcPr>
            <w:tcW w:w="640" w:type="dxa"/>
            <w:vAlign w:val="bottom"/>
          </w:tcPr>
          <w:p>
            <w:pPr>
              <w:spacing w:after="0"/>
              <w:rPr>
                <w:sz w:val="19"/>
                <w:szCs w:val="19"/>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r>
      <w:tr>
        <w:trPr>
          <w:trHeight w:val="225"/>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r>
      <w:tr>
        <w:trPr>
          <w:trHeight w:val="224"/>
        </w:trPr>
        <w:tc>
          <w:tcPr>
            <w:tcW w:w="6340" w:type="dxa"/>
            <w:vAlign w:val="bottom"/>
            <w:gridSpan w:val="3"/>
          </w:tcPr>
          <w:p>
            <w:pPr>
              <w:ind w:left="20"/>
              <w:spacing w:after="0" w:line="224"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2"/>
                <w:szCs w:val="22"/>
                <w:color w:val="auto"/>
                <w:vertAlign w:val="superscript"/>
              </w:rPr>
              <w:t>(a)(b)</w:t>
            </w:r>
          </w:p>
        </w:tc>
        <w:tc>
          <w:tcPr>
            <w:tcW w:w="640" w:type="dxa"/>
            <w:vAlign w:val="bottom"/>
          </w:tcPr>
          <w:p>
            <w:pPr>
              <w:spacing w:after="0"/>
              <w:rPr>
                <w:sz w:val="19"/>
                <w:szCs w:val="19"/>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1,095</w:t>
            </w:r>
          </w:p>
        </w:tc>
        <w:tc>
          <w:tcPr>
            <w:tcW w:w="60" w:type="dxa"/>
            <w:vAlign w:val="bottom"/>
          </w:tcPr>
          <w:p>
            <w:pPr>
              <w:spacing w:after="0"/>
              <w:rPr>
                <w:sz w:val="19"/>
                <w:szCs w:val="19"/>
                <w:color w:val="auto"/>
              </w:rPr>
            </w:pPr>
          </w:p>
        </w:tc>
      </w:tr>
      <w:tr>
        <w:trPr>
          <w:trHeight w:val="224"/>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1381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25" w:lineRule="exact"/>
        <w:rPr>
          <w:sz w:val="20"/>
          <w:szCs w:val="20"/>
          <w:color w:val="auto"/>
        </w:rPr>
      </w:pPr>
    </w:p>
    <w:p>
      <w:pPr>
        <w:ind w:left="120" w:hanging="114"/>
        <w:spacing w:after="0"/>
        <w:tabs>
          <w:tab w:leader="none" w:pos="12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Volumes do not include the MWh generated/sold by the Company's equity method investments.</w:t>
      </w:r>
    </w:p>
    <w:p>
      <w:pPr>
        <w:spacing w:after="0" w:line="9" w:lineRule="exact"/>
        <w:rPr>
          <w:rFonts w:ascii="Arial" w:cs="Arial" w:eastAsia="Arial" w:hAnsi="Arial"/>
          <w:sz w:val="14"/>
          <w:szCs w:val="14"/>
          <w:color w:val="auto"/>
          <w:vertAlign w:val="superscript"/>
        </w:rPr>
      </w:pPr>
    </w:p>
    <w:p>
      <w:pPr>
        <w:ind w:left="140" w:hanging="134"/>
        <w:spacing w:after="0" w:line="218"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Volumes generated are not sold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4" w:name="page45"/>
    <w:bookmarkEnd w:id="44"/>
    <w:p>
      <w:pPr>
        <w:ind w:right="3620"/>
        <w:spacing w:after="0" w:line="431"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2021 and 2020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Operating revenues increased by $87 million for the year ended December 31, 2021, compared to the same period in 2020, due to a combination of the drivers summarized in the table below:</w:t>
      </w:r>
    </w:p>
    <w:p>
      <w:pPr>
        <w:sectPr>
          <w:pgSz w:w="11900" w:h="16838" w:orient="portrait"/>
          <w:cols w:equalWidth="0" w:num="1">
            <w:col w:w="11240"/>
          </w:cols>
          <w:pgMar w:left="320" w:top="873" w:right="339" w:bottom="1440" w:gutter="0" w:footer="0" w:header="0"/>
        </w:sect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540" w:type="dxa"/>
            <w:vAlign w:val="bottom"/>
          </w:tcPr>
          <w:p>
            <w:pPr>
              <w:ind w:left="320"/>
              <w:spacing w:after="0"/>
              <w:rPr>
                <w:sz w:val="20"/>
                <w:szCs w:val="20"/>
                <w:color w:val="auto"/>
              </w:rPr>
            </w:pPr>
            <w:r>
              <w:rPr>
                <w:rFonts w:ascii="Arial" w:cs="Arial" w:eastAsia="Arial" w:hAnsi="Arial"/>
                <w:sz w:val="18"/>
                <w:szCs w:val="18"/>
                <w:color w:val="auto"/>
                <w:w w:val="91"/>
              </w:rPr>
              <w:t>Increase due to the acquisitions of Agua Caliente, Mt. Storm, Mesquite Star, Rattlesnake, Langford</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7540" w:type="dxa"/>
            <w:vAlign w:val="bottom"/>
          </w:tcPr>
          <w:p>
            <w:pPr>
              <w:ind w:left="320"/>
              <w:spacing w:after="0" w:line="171" w:lineRule="exact"/>
              <w:rPr>
                <w:sz w:val="20"/>
                <w:szCs w:val="20"/>
                <w:color w:val="auto"/>
              </w:rPr>
            </w:pPr>
            <w:r>
              <w:rPr>
                <w:rFonts w:ascii="Arial" w:cs="Arial" w:eastAsia="Arial" w:hAnsi="Arial"/>
                <w:sz w:val="18"/>
                <w:szCs w:val="18"/>
                <w:color w:val="auto"/>
                <w:w w:val="95"/>
              </w:rPr>
              <w:t>and Rosamond Central, and the consolidation of the DGPV investments as well as higher wind</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7540" w:type="dxa"/>
            <w:vAlign w:val="bottom"/>
          </w:tcPr>
          <w:p>
            <w:pPr>
              <w:ind w:left="320"/>
              <w:spacing w:after="0" w:line="171" w:lineRule="exact"/>
              <w:rPr>
                <w:sz w:val="20"/>
                <w:szCs w:val="20"/>
                <w:color w:val="auto"/>
              </w:rPr>
            </w:pPr>
            <w:r>
              <w:rPr>
                <w:rFonts w:ascii="Arial" w:cs="Arial" w:eastAsia="Arial" w:hAnsi="Arial"/>
                <w:sz w:val="18"/>
                <w:szCs w:val="18"/>
                <w:color w:val="auto"/>
                <w:w w:val="93"/>
              </w:rPr>
              <w:t>production at Alta, partially offset by $50 million of net settlements of obligations for wind facilities</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7540" w:type="dxa"/>
            <w:vAlign w:val="bottom"/>
          </w:tcPr>
          <w:p>
            <w:pPr>
              <w:ind w:left="320"/>
              <w:spacing w:after="0" w:line="171" w:lineRule="exact"/>
              <w:rPr>
                <w:sz w:val="20"/>
                <w:szCs w:val="20"/>
                <w:color w:val="auto"/>
              </w:rPr>
            </w:pPr>
            <w:r>
              <w:rPr>
                <w:rFonts w:ascii="Arial" w:cs="Arial" w:eastAsia="Arial" w:hAnsi="Arial"/>
                <w:sz w:val="18"/>
                <w:szCs w:val="18"/>
                <w:color w:val="auto"/>
                <w:w w:val="95"/>
              </w:rPr>
              <w:t>that were unable to produce the required output during extreme weather conditions in Texas in</w:t>
            </w:r>
          </w:p>
        </w:tc>
        <w:tc>
          <w:tcPr>
            <w:tcW w:w="0" w:type="dxa"/>
            <w:vAlign w:val="bottom"/>
          </w:tcPr>
          <w:p>
            <w:pPr>
              <w:spacing w:after="0"/>
              <w:rPr>
                <w:sz w:val="1"/>
                <w:szCs w:val="1"/>
                <w:color w:val="auto"/>
              </w:rPr>
            </w:pPr>
          </w:p>
        </w:tc>
      </w:tr>
      <w:tr>
        <w:trPr>
          <w:trHeight w:val="223"/>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540" w:type="dxa"/>
            <w:vAlign w:val="bottom"/>
          </w:tcPr>
          <w:p>
            <w:pPr>
              <w:ind w:left="320"/>
              <w:spacing w:after="0"/>
              <w:rPr>
                <w:sz w:val="20"/>
                <w:szCs w:val="20"/>
                <w:color w:val="auto"/>
              </w:rPr>
            </w:pPr>
            <w:r>
              <w:rPr>
                <w:rFonts w:ascii="Arial" w:cs="Arial" w:eastAsia="Arial" w:hAnsi="Arial"/>
                <w:sz w:val="18"/>
                <w:szCs w:val="18"/>
                <w:color w:val="auto"/>
              </w:rPr>
              <w:t>February 2021</w:t>
            </w: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540" w:type="dxa"/>
            <w:vAlign w:val="bottom"/>
          </w:tcPr>
          <w:p>
            <w:pPr>
              <w:ind w:left="320"/>
              <w:spacing w:after="0" w:line="173" w:lineRule="exact"/>
              <w:rPr>
                <w:sz w:val="20"/>
                <w:szCs w:val="20"/>
                <w:color w:val="auto"/>
              </w:rPr>
            </w:pPr>
            <w:r>
              <w:rPr>
                <w:rFonts w:ascii="Arial" w:cs="Arial" w:eastAsia="Arial" w:hAnsi="Arial"/>
                <w:sz w:val="18"/>
                <w:szCs w:val="18"/>
                <w:color w:val="auto"/>
                <w:w w:val="93"/>
              </w:rPr>
              <w:t>Increase primarily driven by higher volumes and higher gas prices passed through to customers,</w:t>
            </w:r>
          </w:p>
        </w:tc>
        <w:tc>
          <w:tcPr>
            <w:tcW w:w="0" w:type="dxa"/>
            <w:vAlign w:val="bottom"/>
          </w:tcPr>
          <w:p>
            <w:pPr>
              <w:spacing w:after="0"/>
              <w:rPr>
                <w:sz w:val="1"/>
                <w:szCs w:val="1"/>
                <w:color w:val="auto"/>
              </w:rPr>
            </w:pPr>
          </w:p>
        </w:tc>
      </w:tr>
      <w:tr>
        <w:trPr>
          <w:trHeight w:val="223"/>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540" w:type="dxa"/>
            <w:vAlign w:val="bottom"/>
          </w:tcPr>
          <w:p>
            <w:pPr>
              <w:ind w:left="320"/>
              <w:spacing w:after="0"/>
              <w:rPr>
                <w:sz w:val="20"/>
                <w:szCs w:val="20"/>
                <w:color w:val="auto"/>
              </w:rPr>
            </w:pPr>
            <w:r>
              <w:rPr>
                <w:rFonts w:ascii="Arial" w:cs="Arial" w:eastAsia="Arial" w:hAnsi="Arial"/>
                <w:sz w:val="18"/>
                <w:szCs w:val="18"/>
                <w:color w:val="auto"/>
              </w:rPr>
              <w:t>partially offset by a sales-type lease recognized in September 2020</w:t>
            </w:r>
          </w:p>
        </w:tc>
        <w:tc>
          <w:tcPr>
            <w:tcW w:w="0" w:type="dxa"/>
            <w:vAlign w:val="bottom"/>
          </w:tcPr>
          <w:p>
            <w:pPr>
              <w:spacing w:after="0"/>
              <w:rPr>
                <w:sz w:val="1"/>
                <w:szCs w:val="1"/>
                <w:color w:val="auto"/>
              </w:rPr>
            </w:pPr>
          </w:p>
        </w:tc>
      </w:tr>
      <w:tr>
        <w:trPr>
          <w:trHeight w:val="220"/>
        </w:trPr>
        <w:tc>
          <w:tcPr>
            <w:tcW w:w="2300" w:type="dxa"/>
            <w:vAlign w:val="bottom"/>
            <w:vMerge w:val="continue"/>
          </w:tcPr>
          <w:p>
            <w:pPr>
              <w:spacing w:after="0"/>
              <w:rPr>
                <w:sz w:val="19"/>
                <w:szCs w:val="19"/>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Increase primarily due to improved availability at the California natural gas portfolio</w:t>
            </w:r>
          </w:p>
        </w:tc>
        <w:tc>
          <w:tcPr>
            <w:tcW w:w="0" w:type="dxa"/>
            <w:vAlign w:val="bottom"/>
          </w:tcPr>
          <w:p>
            <w:pPr>
              <w:spacing w:after="0"/>
              <w:rPr>
                <w:sz w:val="1"/>
                <w:szCs w:val="1"/>
                <w:color w:val="auto"/>
              </w:rPr>
            </w:pPr>
          </w:p>
        </w:tc>
      </w:tr>
      <w:tr>
        <w:trPr>
          <w:trHeight w:val="177"/>
        </w:trPr>
        <w:tc>
          <w:tcPr>
            <w:tcW w:w="2300" w:type="dxa"/>
            <w:vAlign w:val="bottom"/>
          </w:tcPr>
          <w:p>
            <w:pPr>
              <w:spacing w:after="0" w:line="176" w:lineRule="exact"/>
              <w:rPr>
                <w:sz w:val="20"/>
                <w:szCs w:val="20"/>
                <w:color w:val="auto"/>
              </w:rPr>
            </w:pPr>
            <w:r>
              <w:rPr>
                <w:rFonts w:ascii="Arial" w:cs="Arial" w:eastAsia="Arial" w:hAnsi="Arial"/>
                <w:sz w:val="18"/>
                <w:szCs w:val="18"/>
                <w:b w:val="1"/>
                <w:bCs w:val="1"/>
                <w:color w:val="auto"/>
              </w:rPr>
              <w:t>Mark-to-market economic</w:t>
            </w:r>
          </w:p>
        </w:tc>
        <w:tc>
          <w:tcPr>
            <w:tcW w:w="7540" w:type="dxa"/>
            <w:vAlign w:val="bottom"/>
          </w:tcPr>
          <w:p>
            <w:pPr>
              <w:ind w:left="320"/>
              <w:spacing w:after="0" w:line="176" w:lineRule="exact"/>
              <w:rPr>
                <w:sz w:val="20"/>
                <w:szCs w:val="20"/>
                <w:color w:val="auto"/>
              </w:rPr>
            </w:pPr>
            <w:r>
              <w:rPr>
                <w:rFonts w:ascii="Arial" w:cs="Arial" w:eastAsia="Arial" w:hAnsi="Arial"/>
                <w:sz w:val="18"/>
                <w:szCs w:val="18"/>
                <w:color w:val="auto"/>
                <w:w w:val="90"/>
              </w:rPr>
              <w:t>Increase in unrealized losses from changes in the fair value of commodity contracts, primarily driven</w:t>
            </w:r>
          </w:p>
        </w:tc>
        <w:tc>
          <w:tcPr>
            <w:tcW w:w="0" w:type="dxa"/>
            <w:vAlign w:val="bottom"/>
          </w:tcPr>
          <w:p>
            <w:pPr>
              <w:spacing w:after="0"/>
              <w:rPr>
                <w:sz w:val="1"/>
                <w:szCs w:val="1"/>
                <w:color w:val="auto"/>
              </w:rPr>
            </w:pPr>
          </w:p>
        </w:tc>
      </w:tr>
      <w:tr>
        <w:trPr>
          <w:trHeight w:val="172"/>
        </w:trPr>
        <w:tc>
          <w:tcPr>
            <w:tcW w:w="2300" w:type="dxa"/>
            <w:vAlign w:val="bottom"/>
          </w:tcPr>
          <w:p>
            <w:pPr>
              <w:spacing w:after="0" w:line="172" w:lineRule="exact"/>
              <w:rPr>
                <w:sz w:val="20"/>
                <w:szCs w:val="20"/>
                <w:color w:val="auto"/>
              </w:rPr>
            </w:pPr>
            <w:r>
              <w:rPr>
                <w:rFonts w:ascii="Arial" w:cs="Arial" w:eastAsia="Arial" w:hAnsi="Arial"/>
                <w:sz w:val="18"/>
                <w:szCs w:val="18"/>
                <w:b w:val="1"/>
                <w:bCs w:val="1"/>
                <w:color w:val="auto"/>
              </w:rPr>
              <w:t>hedging activities</w:t>
            </w:r>
          </w:p>
        </w:tc>
        <w:tc>
          <w:tcPr>
            <w:tcW w:w="7540" w:type="dxa"/>
            <w:vAlign w:val="bottom"/>
          </w:tcPr>
          <w:p>
            <w:pPr>
              <w:ind w:left="320"/>
              <w:spacing w:after="0" w:line="172" w:lineRule="exact"/>
              <w:rPr>
                <w:sz w:val="20"/>
                <w:szCs w:val="20"/>
                <w:color w:val="auto"/>
              </w:rPr>
            </w:pPr>
            <w:r>
              <w:rPr>
                <w:rFonts w:ascii="Arial" w:cs="Arial" w:eastAsia="Arial" w:hAnsi="Arial"/>
                <w:sz w:val="18"/>
                <w:szCs w:val="18"/>
                <w:color w:val="auto"/>
                <w:w w:val="93"/>
              </w:rPr>
              <w:t>by the acquisitions of Mesquite Star and Mt. Storm, and increases in forward commodity prices in</w:t>
            </w:r>
          </w:p>
        </w:tc>
        <w:tc>
          <w:tcPr>
            <w:tcW w:w="0" w:type="dxa"/>
            <w:vAlign w:val="bottom"/>
          </w:tcPr>
          <w:p>
            <w:pPr>
              <w:spacing w:after="0"/>
              <w:rPr>
                <w:sz w:val="1"/>
                <w:szCs w:val="1"/>
                <w:color w:val="auto"/>
              </w:rPr>
            </w:pPr>
          </w:p>
        </w:tc>
      </w:tr>
      <w:tr>
        <w:trPr>
          <w:trHeight w:val="223"/>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Contract amortization</w:t>
            </w:r>
          </w:p>
        </w:tc>
        <w:tc>
          <w:tcPr>
            <w:tcW w:w="7540" w:type="dxa"/>
            <w:vAlign w:val="bottom"/>
          </w:tcPr>
          <w:p>
            <w:pPr>
              <w:ind w:left="320"/>
              <w:spacing w:after="0"/>
              <w:rPr>
                <w:sz w:val="20"/>
                <w:szCs w:val="20"/>
                <w:color w:val="auto"/>
              </w:rPr>
            </w:pPr>
            <w:r>
              <w:rPr>
                <w:rFonts w:ascii="Arial" w:cs="Arial" w:eastAsia="Arial" w:hAnsi="Arial"/>
                <w:sz w:val="18"/>
                <w:szCs w:val="18"/>
                <w:color w:val="auto"/>
              </w:rPr>
              <w:t>ERCOT and PJM</w:t>
            </w: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540" w:type="dxa"/>
            <w:vAlign w:val="bottom"/>
          </w:tcPr>
          <w:p>
            <w:pPr>
              <w:ind w:left="320"/>
              <w:spacing w:after="0" w:line="173" w:lineRule="exact"/>
              <w:rPr>
                <w:sz w:val="20"/>
                <w:szCs w:val="20"/>
                <w:color w:val="auto"/>
              </w:rPr>
            </w:pPr>
            <w:r>
              <w:rPr>
                <w:rFonts w:ascii="Arial" w:cs="Arial" w:eastAsia="Arial" w:hAnsi="Arial"/>
                <w:sz w:val="18"/>
                <w:szCs w:val="18"/>
                <w:color w:val="auto"/>
                <w:w w:val="93"/>
              </w:rPr>
              <w:t>Increase primarily driven by amortization of the intangible asset for power purchase agreement in</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connection with the acquisition of Agua Caliente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-752475</wp:posOffset>
            </wp:positionV>
            <wp:extent cx="7135495" cy="142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-250190</wp:posOffset>
            </wp:positionV>
            <wp:extent cx="7135495" cy="251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2514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-1581785</wp:posOffset>
            </wp:positionV>
            <wp:extent cx="7135495" cy="577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577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hanging="101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217</w:t>
      </w:r>
    </w:p>
    <w:p>
      <w:pPr>
        <w:spacing w:after="0" w:line="18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w:t>
      </w:r>
    </w:p>
    <w:p>
      <w:pPr>
        <w:spacing w:after="0" w:line="36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(87)</w:t>
      </w:r>
    </w:p>
    <w:p>
      <w:pPr>
        <w:spacing w:after="0" w:line="18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712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10" w:lineRule="exact"/>
        <w:rPr>
          <w:sz w:val="20"/>
          <w:szCs w:val="20"/>
          <w:color w:val="auto"/>
        </w:rPr>
      </w:pPr>
    </w:p>
    <w:p>
      <w:pPr>
        <w:ind w:left="1120" w:hanging="1112"/>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712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71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8712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20"/>
            <w:col w:w="1360"/>
          </w:cols>
          <w:pgMar w:left="320" w:top="873"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Operations and maintenance expense increased by $60 million during the year ended December 31, 2021 compared to the same period in 2020, primarily from the acquisition of solar and wind projects during the second half of 2020 and the first half of 2021 as well as the consolidation of the DGPV investments on November 2,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Other costs of operations expense, which primarily consists of insurance and property taxes, increased by $23 million during the year ended December 31, 2021, compared to the same period in 2020. This was largely due to a net increase in the Renewables segment primarily from the acquisition of solar and wind projects during the second half of 2020 and the first half of 2021, in addition to refunds of property taxes received in 2020.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16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Depreciation, amortization and accretion expense increased by $81 million during the year ended December 31, 2021, compared to the same period in 2020, primarily due to a $90 million increase in the Renewables segment, offset slightly by a $9 million decrease in the Thermal segment, as a result of the Thermal Business assets being reclassified to held for sale in the fourth quarter of 2021, as further described in Item 15 —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The increase in the Renewables segment was driven by the acquisition of solar and wind projects during the second half of 2020 and the first half</w:t>
      </w:r>
      <w:r>
        <w:rPr>
          <w:rFonts w:ascii="Arial" w:cs="Arial" w:eastAsia="Arial" w:hAnsi="Arial"/>
          <w:sz w:val="16"/>
          <w:szCs w:val="16"/>
          <w:i w:val="1"/>
          <w:iCs w:val="1"/>
          <w:color w:val="auto"/>
        </w:rPr>
        <w:t xml:space="preserve"> </w:t>
      </w:r>
      <w:r>
        <w:rPr>
          <w:rFonts w:ascii="Arial" w:cs="Arial" w:eastAsia="Arial" w:hAnsi="Arial"/>
          <w:sz w:val="16"/>
          <w:szCs w:val="16"/>
          <w:color w:val="auto"/>
        </w:rPr>
        <w:t>of 2021, as well as the consolidation of the DGPV investments on November 2, 2020, resulting in a cumulative increase of $65 million. In addition, approximately $34 million of accelerated depreciation was recorded in 2021, related to the repowering of the Pinnacle wind facility, which is an increase of $25 million compared to the same period in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6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 xml:space="preserve">The Company recorded impairment losses of $6 million and $24 million, for the years ended December 31, 2021 and 2020, respectively, primarily related to several wind projects within the Renewables segment, as further described in Item 15 — Note 9, </w:t>
      </w:r>
      <w:r>
        <w:rPr>
          <w:rFonts w:ascii="Arial" w:cs="Arial" w:eastAsia="Arial" w:hAnsi="Arial"/>
          <w:sz w:val="16"/>
          <w:szCs w:val="16"/>
          <w:i w:val="1"/>
          <w:iCs w:val="1"/>
          <w:color w:val="auto"/>
        </w:rPr>
        <w:t>Asset Impairments</w:t>
      </w:r>
      <w:r>
        <w:rPr>
          <w:rFonts w:ascii="Arial" w:cs="Arial" w:eastAsia="Arial" w:hAnsi="Arial"/>
          <w:sz w:val="16"/>
          <w:szCs w:val="16"/>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General and administrative expenses increased by $5 million during the year ended December 31, 2021 compared to the same period in 2020, primarily due to an increase in net MSA fees charged by CEG, personnel costs and various consulting fees.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62"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Equity in earnings of unconsolidated affiliates increased by $25 million during the year ended December 31, 2021 compared to the same period in 2020, primarily driven by increased earnings from Desert Sunlight and Avenal in 2021, the acquisition of Mesquite Star on September 1, 2020, which had losses in</w:t>
      </w:r>
    </w:p>
    <w:p>
      <w:pPr>
        <w:jc w:val="both"/>
        <w:spacing w:after="0" w:line="253" w:lineRule="auto"/>
        <w:rPr>
          <w:sz w:val="20"/>
          <w:szCs w:val="20"/>
          <w:color w:val="auto"/>
        </w:rPr>
      </w:pPr>
      <w:r>
        <w:rPr>
          <w:rFonts w:ascii="Arial" w:cs="Arial" w:eastAsia="Arial" w:hAnsi="Arial"/>
          <w:sz w:val="18"/>
          <w:szCs w:val="18"/>
          <w:color w:val="auto"/>
        </w:rPr>
        <w:t>2020, and the consolidation of the DGPV investments on November 2, 2020, which had losses in 2020. These increases were partially offset by the absence of equity in earnings for Agua Caliente, which was consolidated due to the acquisition of an additional interest in February 2021, and the sale of the interests in RPV Holdco in May 2020, which had earnings in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Investment</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The Company recorded an $8 million impairment loss during the year ended December 31, 2020 related to San Juan Mesa, an equity method investment within the Renewables segment, as further described in Item 15 — Note 9,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On May 14, 2020, the Company sold its interests in RPV Holdco to a third-party, which resulted in a gain on sale of investment of approximately $49 million, as further described in Item 15 — Note 3, </w:t>
      </w:r>
      <w:r>
        <w:rPr>
          <w:rFonts w:ascii="Arial" w:cs="Arial" w:eastAsia="Arial" w:hAnsi="Arial"/>
          <w:sz w:val="18"/>
          <w:szCs w:val="18"/>
          <w:i w:val="1"/>
          <w:iCs w:val="1"/>
          <w:color w:val="auto"/>
        </w:rPr>
        <w:t>Acquisition and Dispositions.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The Company recorded loss on debt extinguishment of $53 million during the year ended December 31, 2021 primarily driven by the write-off of previously deferred finance costs and payment of premiums related to the redemption of the 2026 Senior Notes and the 2025 Senior Notes in 2021, as further described in Item 15 — Note 10, </w:t>
      </w:r>
      <w:r>
        <w:rPr>
          <w:rFonts w:ascii="Arial" w:cs="Arial" w:eastAsia="Arial" w:hAnsi="Arial"/>
          <w:sz w:val="18"/>
          <w:szCs w:val="18"/>
          <w:i w:val="1"/>
          <w:iCs w:val="1"/>
          <w:color w:val="auto"/>
        </w:rPr>
        <w:t>Long-term Debt.</w:t>
      </w:r>
    </w:p>
    <w:p>
      <w:pPr>
        <w:spacing w:after="0" w:line="13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The Company recorded loss on debt extinguishment of $24 million during the year ended December 31, 2020, which reflects the write-off of previously deferred debt issuance costs, primarily related to the repayment of debt and related refinancing activities in the Renewables segment, as further described in Item 15 — Note 10, </w:t>
      </w:r>
      <w:r>
        <w:rPr>
          <w:rFonts w:ascii="Arial" w:cs="Arial" w:eastAsia="Arial" w:hAnsi="Arial"/>
          <w:sz w:val="18"/>
          <w:szCs w:val="18"/>
          <w:i w:val="1"/>
          <w:iCs w:val="1"/>
          <w:color w:val="auto"/>
        </w:rPr>
        <w:t>Long-term Debt.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decreased by $102 million during the year ended December 31, 2021 compared to the same period in 2020 primarily due to:</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4"/>
        </w:trPr>
        <w:tc>
          <w:tcPr>
            <w:tcW w:w="9860" w:type="dxa"/>
            <w:vAlign w:val="bottom"/>
          </w:tcPr>
          <w:p>
            <w:pPr>
              <w:ind w:left="20"/>
              <w:spacing w:after="0"/>
              <w:rPr>
                <w:sz w:val="20"/>
                <w:szCs w:val="20"/>
                <w:color w:val="auto"/>
              </w:rPr>
            </w:pPr>
            <w:r>
              <w:rPr>
                <w:rFonts w:ascii="Arial" w:cs="Arial" w:eastAsia="Arial" w:hAnsi="Arial"/>
                <w:sz w:val="18"/>
                <w:szCs w:val="18"/>
                <w:color w:val="auto"/>
                <w:w w:val="94"/>
              </w:rPr>
              <w:t>Increase in interest expense due to a net increase in project level debt primarily related to acquisitions in the Renewables segment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3"/>
        </w:trPr>
        <w:tc>
          <w:tcPr>
            <w:tcW w:w="98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Increase in Corporate interest expense due to additional issuances of the 2028 Senior Notes in May 2020, 2031 Senior Notes in March</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87"/>
              </w:rPr>
              <w:t>2021 and 2032 Senior Notes in October 2021, as well as an increase in interest expense related to the intercompany note between Clearway</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0"/>
              </w:rPr>
              <w:t>Operating LLC and Clearway, Inc.; partially offset by the repurchases of the 2025 Senior Notes in March 2021 and 2026 Senior Notes in</w:t>
            </w:r>
          </w:p>
        </w:tc>
        <w:tc>
          <w:tcPr>
            <w:tcW w:w="8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6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During the year ended December 31, 2021, the Company recorded an income tax expense of $2 million on pretax loss of $61 million. The Company is classified as a partnership for federal and state income tax purposes. Therefore, federal and most state income taxes are assessed at the partner level. The franchise tax imposed by the state of Texas, however, is being assessed at the level of certain project subsidiaries of the Company, and therefore reflected as an income tax expense of the Company.</w:t>
      </w:r>
    </w:p>
    <w:p>
      <w:pPr>
        <w:spacing w:after="0" w:line="140"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62"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For the year ended December 31, 2021, the Company had a loss of $173 million attributable to noncontrolling interests and redeemable interests comprised of the following:</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r>
      <w:tr>
        <w:trPr>
          <w:trHeight w:val="218"/>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HLBV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4"/>
        </w:trPr>
        <w:tc>
          <w:tcPr>
            <w:tcW w:w="9880" w:type="dxa"/>
            <w:vAlign w:val="bottom"/>
          </w:tcPr>
          <w:p>
            <w:pPr>
              <w:ind w:left="20"/>
              <w:spacing w:after="0"/>
              <w:rPr>
                <w:sz w:val="20"/>
                <w:szCs w:val="20"/>
                <w:color w:val="auto"/>
              </w:rPr>
            </w:pPr>
            <w:r>
              <w:rPr>
                <w:rFonts w:ascii="Arial" w:cs="Arial" w:eastAsia="Arial" w:hAnsi="Arial"/>
                <w:sz w:val="18"/>
                <w:szCs w:val="18"/>
                <w:color w:val="auto"/>
              </w:rPr>
              <w:t>Losses attributable to CEG's interest in partnerships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9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9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For the year ended December 31, 2020, the Company had a loss of $113 million attributable to noncontrolling interests and redeemable interests comprised of the following:</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r>
      <w:tr>
        <w:trPr>
          <w:trHeight w:val="218"/>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HLBV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4"/>
        </w:trPr>
        <w:tc>
          <w:tcPr>
            <w:tcW w:w="9880" w:type="dxa"/>
            <w:vAlign w:val="bottom"/>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4"/>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CEG's interest in partnerships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9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6"/>
          <w:szCs w:val="16"/>
          <w:color w:val="000000"/>
        </w:rPr>
        <w:t>As a normal part of the Company's business, depending on market conditions, the Company</w:t>
      </w:r>
      <w:r>
        <w:rPr>
          <w:rFonts w:ascii="Arial" w:cs="Arial" w:eastAsia="Arial" w:hAnsi="Arial"/>
          <w:sz w:val="16"/>
          <w:szCs w:val="16"/>
          <w:color w:val="231F20"/>
        </w:rPr>
        <w:t xml:space="preserve"> </w:t>
      </w:r>
      <w:r>
        <w:rPr>
          <w:rFonts w:ascii="Arial" w:cs="Arial" w:eastAsia="Arial" w:hAnsi="Arial"/>
          <w:sz w:val="16"/>
          <w:szCs w:val="16"/>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2021</w:t>
      </w:r>
      <w:r>
        <w:rPr>
          <w:rFonts w:ascii="Arial" w:cs="Arial" w:eastAsia="Arial" w:hAnsi="Arial"/>
          <w:sz w:val="18"/>
          <w:szCs w:val="18"/>
          <w:color w:val="231F20"/>
        </w:rPr>
        <w:t xml:space="preserve"> and 2020, the Company's liquidity was approximately $821 million and $894 million, respectively, comprised of cash, restricted cash and availability under the Company's revolving credit facility.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0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Borders>
              <w:bottom w:val="single" w:sz="8" w:color="auto"/>
            </w:tcBorders>
          </w:tcPr>
          <w:p>
            <w:pPr>
              <w:spacing w:after="0"/>
              <w:rPr>
                <w:sz w:val="16"/>
                <w:szCs w:val="16"/>
                <w:color w:val="auto"/>
              </w:rPr>
            </w:pPr>
          </w:p>
        </w:tc>
      </w:tr>
      <w:tr>
        <w:trPr>
          <w:trHeight w:val="183"/>
        </w:trPr>
        <w:tc>
          <w:tcPr>
            <w:tcW w:w="8500" w:type="dxa"/>
            <w:vAlign w:val="bottom"/>
          </w:tcPr>
          <w:p>
            <w:pPr>
              <w:spacing w:after="0"/>
              <w:rPr>
                <w:sz w:val="15"/>
                <w:szCs w:val="15"/>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178"/>
        </w:trPr>
        <w:tc>
          <w:tcPr>
            <w:tcW w:w="85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5"/>
                <w:szCs w:val="15"/>
                <w:color w:val="auto"/>
              </w:rPr>
            </w:pPr>
          </w:p>
        </w:tc>
      </w:tr>
      <w:tr>
        <w:trPr>
          <w:trHeight w:val="192"/>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08"/>
        </w:trPr>
        <w:tc>
          <w:tcPr>
            <w:tcW w:w="8500" w:type="dxa"/>
            <w:vAlign w:val="bottom"/>
          </w:tcPr>
          <w:p>
            <w:pPr>
              <w:ind w:left="220"/>
              <w:spacing w:after="0"/>
              <w:rPr>
                <w:sz w:val="20"/>
                <w:szCs w:val="20"/>
                <w:color w:val="auto"/>
              </w:rPr>
            </w:pPr>
            <w:r>
              <w:rPr>
                <w:rFonts w:ascii="Arial" w:cs="Arial" w:eastAsia="Arial" w:hAnsi="Arial"/>
                <w:sz w:val="16"/>
                <w:szCs w:val="16"/>
                <w:color w:val="auto"/>
              </w:rPr>
              <w:t>Clearway Energy LLC, excluding subsidiaries</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8"/>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4"/>
        </w:trPr>
        <w:tc>
          <w:tcPr>
            <w:tcW w:w="8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accounts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8"/>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8"/>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08"/>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Revolving credit facility availability</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3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231F20"/>
        </w:rPr>
        <w:t xml:space="preserve">The Company's liquidity includes $475 million and $197 million of restricted cash balances as of December 31, 2021 and </w:t>
      </w:r>
      <w:r>
        <w:rPr>
          <w:rFonts w:ascii="Arial" w:cs="Arial" w:eastAsia="Arial" w:hAnsi="Arial"/>
          <w:sz w:val="16"/>
          <w:szCs w:val="16"/>
          <w:color w:val="000000"/>
        </w:rPr>
        <w:t>2020</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December 31, 2021, these restricted funds were comprised of $246 million designated to fund operating expenses, approximately $34 million</w:t>
      </w:r>
      <w:r>
        <w:rPr>
          <w:rFonts w:ascii="Arial" w:cs="Arial" w:eastAsia="Arial" w:hAnsi="Arial"/>
          <w:sz w:val="16"/>
          <w:szCs w:val="16"/>
          <w:color w:val="231F20"/>
        </w:rPr>
        <w:t xml:space="preserve"> </w:t>
      </w:r>
      <w:r>
        <w:rPr>
          <w:rFonts w:ascii="Arial" w:cs="Arial" w:eastAsia="Arial" w:hAnsi="Arial"/>
          <w:sz w:val="16"/>
          <w:szCs w:val="16"/>
          <w:color w:val="000000"/>
        </w:rPr>
        <w:t>designated for current debt service payments, and $131 million restricted for reserves including debt service, performance obligations and other reserves, as well as capital expenditures. The remaining $64 million is held in distribution reserve accounts.</w:t>
      </w:r>
    </w:p>
    <w:p>
      <w:pPr>
        <w:spacing w:after="0" w:line="113"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of December 31, 2021, the Company had $245 million of outstanding borrowings under the revolving credit facility and $83 million in letters of credit outstanding. During the year ended December 31, 2021, the Company borrowed $622 million under the revolving credit facility, and subsequently repaid $377 million utilizing cash on hand and the proceeds from the issuance of the 2031 Senior Notes.</w:t>
      </w:r>
    </w:p>
    <w:p>
      <w:pPr>
        <w:spacing w:after="0" w:line="137"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2021, the Company's 2028 Senior Notes, 2031 Senior Notes and 2032 Senior Notes are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62" w:lineRule="exact"/>
        <w:rPr>
          <w:sz w:val="20"/>
          <w:szCs w:val="20"/>
          <w:color w:val="auto"/>
        </w:rPr>
      </w:pPr>
    </w:p>
    <w:p>
      <w:pPr>
        <w:jc w:val="both"/>
        <w:ind w:firstLine="396"/>
        <w:spacing w:after="0" w:line="316" w:lineRule="auto"/>
        <w:rPr>
          <w:sz w:val="20"/>
          <w:szCs w:val="20"/>
          <w:color w:val="auto"/>
        </w:rPr>
      </w:pPr>
      <w:r>
        <w:rPr>
          <w:rFonts w:ascii="Arial" w:cs="Arial" w:eastAsia="Arial" w:hAnsi="Arial"/>
          <w:sz w:val="15"/>
          <w:szCs w:val="15"/>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Arial" w:cs="Arial" w:eastAsia="Arial" w:hAnsi="Arial"/>
          <w:sz w:val="15"/>
          <w:szCs w:val="15"/>
          <w:color w:val="000000"/>
        </w:rPr>
        <w:t>Item 15 — Note 10</w:t>
      </w:r>
      <w:r>
        <w:rPr>
          <w:rFonts w:ascii="Arial" w:cs="Arial" w:eastAsia="Arial" w:hAnsi="Arial"/>
          <w:sz w:val="15"/>
          <w:szCs w:val="15"/>
          <w:color w:val="231F20"/>
        </w:rPr>
        <w:t xml:space="preserve">, </w:t>
      </w:r>
      <w:r>
        <w:rPr>
          <w:rFonts w:ascii="Arial" w:cs="Arial" w:eastAsia="Arial" w:hAnsi="Arial"/>
          <w:sz w:val="15"/>
          <w:szCs w:val="15"/>
          <w:i w:val="1"/>
          <w:iCs w:val="1"/>
          <w:color w:val="000000"/>
        </w:rPr>
        <w:t>Long-term Debt</w:t>
      </w:r>
      <w:r>
        <w:rPr>
          <w:rFonts w:ascii="Arial" w:cs="Arial" w:eastAsia="Arial" w:hAnsi="Arial"/>
          <w:sz w:val="15"/>
          <w:szCs w:val="15"/>
          <w:color w:val="231F20"/>
        </w:rPr>
        <w:t>, the Company's financing arrangements consist of corporate level debt, which includes Senior Notes, intercompany borrowings with Clearway, Inc., and the revolving credit facility, the ATM Programs, and project-level financings for its various assets.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Thermal Disposition</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On October 22, 2021, Clearway Energy Operating LLC entered into a binding agreement to sell the Thermal Business to KKR for total consideration of $1.9 billion, subject to customary closing adjustments. Based on current estimates, the Company expects total net cash proceeds of approximately $1.35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Revolving Credit Facility</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231F20"/>
        </w:rPr>
        <w:t>The Company has a total of $167 million available under the revolving credit facility as of December 31, 2021. The facility will continue to be used for general corporate purposes including financing of future acquisitions and posting letters of credit.</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Bridge Loan Agreement</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On November 30, 2021, Clearway Energy Operating LLC entered into a senior secured bridge credit agreement, or the Bridge Loan Agreement, that provides for a term loan facility in an aggregate principal amount of $335 million that will mature no later than November 29, 2022. The Company intends to use proceeds from the Thermal Disposition to repay the outstanding principal balance of the term loans under the Bridge Loan Agreement. The borrowings under the Bridge Loan Facility were used to acquire the Utah Solar Portfolio on December 1, 2021, as described below.</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2032 Senior Notes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and to reimburse Clearway Renew LLC for equipment purchases and pay vendor invoices and fees. On December 15, 2021, the Company repaid the outstanding principal amount of $117 million utilizing existing corporate liquidity, along with proceeds from tax equity.</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2031 Senior Notes</w:t>
      </w:r>
    </w:p>
    <w:p>
      <w:pPr>
        <w:spacing w:after="0" w:line="162"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9" w:name="page50"/>
    <w:bookmarkEnd w:id="49"/>
    <w:p>
      <w:pPr>
        <w:ind w:left="400"/>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December 31, 2021, $20 million of the $49 million has been utilized to offset invoiced amounts under the projects' PPAs.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8"/>
          <w:szCs w:val="18"/>
          <w:color w:val="000000"/>
        </w:rPr>
        <w:t>—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off-balance sheet arrangements; (iv) acquisitions and investments; and (v)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0" w:name="page51"/>
    <w:bookmarkEnd w:id="50"/>
    <w:p>
      <w:pPr>
        <w:ind w:left="400"/>
        <w:spacing w:after="0"/>
        <w:rPr>
          <w:sz w:val="20"/>
          <w:szCs w:val="20"/>
          <w:color w:val="auto"/>
        </w:rPr>
      </w:pPr>
      <w:r>
        <w:rPr>
          <w:rFonts w:ascii="Arial" w:cs="Arial" w:eastAsia="Arial" w:hAnsi="Arial"/>
          <w:sz w:val="18"/>
          <w:szCs w:val="18"/>
          <w:b w:val="1"/>
          <w:bCs w:val="1"/>
          <w:i w:val="1"/>
          <w:iCs w:val="1"/>
          <w:color w:val="auto"/>
        </w:rPr>
        <w:t>Debt Service Obligations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payments on debt as of December 31, 2021, are due in the following periods: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1"/>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There- after</w:t>
            </w:r>
          </w:p>
        </w:tc>
        <w:tc>
          <w:tcPr>
            <w:tcW w:w="180" w:type="dxa"/>
            <w:vAlign w:val="bottom"/>
          </w:tcPr>
          <w:p>
            <w:pPr>
              <w:spacing w:after="0"/>
              <w:rPr>
                <w:sz w:val="16"/>
                <w:szCs w:val="16"/>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Intercompany Note with Clearway Energy, Inc.</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Clearway Energy Operating LLC Senior Notes, due 2028</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Clearway Energy Operating LLC Senior Notes, due 2031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Clearway Energy Operating LLC Senior Notes, due 2032</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65"/>
        </w:trPr>
        <w:tc>
          <w:tcPr>
            <w:tcW w:w="514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Clearway Energy LLC and Clearway Energy Operating LLC Revolving Credit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8"/>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Facility, due 2023</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Bridge Loan, due 2022</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Corporate-level debt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Project-level debt: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Agua Caliente Solar LLC, due 2037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Alta Wind Asset Management LLC</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Borrego, due 2024 and 2038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Buckthorn Solar, due 2025</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Carlsbad Holdco, due 2038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Carlsbad Energy Holdings LLC, due 2027</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2038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CVSR, due 2037</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DG-CS Master Borrower LLC, due 2040</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Duquesne, due 2059 </w:t>
            </w:r>
            <w:r>
              <w:rPr>
                <w:rFonts w:ascii="Arial" w:cs="Arial" w:eastAsia="Arial" w:hAnsi="Arial"/>
                <w:sz w:val="20"/>
                <w:szCs w:val="20"/>
                <w:color w:val="auto"/>
                <w:vertAlign w:val="superscript"/>
              </w:rPr>
              <w:t>(a)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El Segundo Energy Center, due 2023</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line="214" w:lineRule="exact"/>
              <w:rPr>
                <w:sz w:val="20"/>
                <w:szCs w:val="20"/>
                <w:color w:val="auto"/>
              </w:rPr>
            </w:pPr>
            <w:r>
              <w:rPr>
                <w:rFonts w:ascii="Arial" w:cs="Arial" w:eastAsia="Arial" w:hAnsi="Arial"/>
                <w:sz w:val="16"/>
                <w:szCs w:val="16"/>
                <w:color w:val="auto"/>
                <w:w w:val="97"/>
              </w:rPr>
              <w:t xml:space="preserve">Energy Center Minneapolis Series D, E, F, G, H Notes, due 2025-2037 </w:t>
            </w:r>
            <w:r>
              <w:rPr>
                <w:rFonts w:ascii="Arial" w:cs="Arial" w:eastAsia="Arial" w:hAnsi="Arial"/>
                <w:sz w:val="20"/>
                <w:szCs w:val="20"/>
                <w:color w:val="auto"/>
                <w:w w:val="97"/>
                <w:vertAlign w:val="superscript"/>
              </w:rPr>
              <w:t>(a)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Kawailoa Solar Portfolio LLC, due 2026</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Laredo Ridge, due 2028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Marsh Landing, due 2023</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NIMH Solar, due 2024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Oahu Solar Holdings LLC, due 2026</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Rosie Class B, due 2027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Tapestry, due 2031</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Utah Solar Holdings, due 2036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Walnut Creek, due 2023</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WCEP Holdings, LLC due 2023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project-level debt</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208"/>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422</w:t>
            </w:r>
          </w:p>
        </w:tc>
        <w:tc>
          <w:tcPr>
            <w:tcW w:w="40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5,537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160" w:hanging="154"/>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1"/>
          <w:szCs w:val="11"/>
          <w:color w:val="auto"/>
        </w:rPr>
        <w:t>Principal debt payments relate to Thermal Business long-term debt reclassified to held for sale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Capital Expenditures</w:t>
      </w:r>
    </w:p>
    <w:p>
      <w:pPr>
        <w:spacing w:after="0" w:line="168" w:lineRule="exact"/>
        <w:rPr>
          <w:sz w:val="20"/>
          <w:szCs w:val="20"/>
          <w:color w:val="auto"/>
        </w:rPr>
      </w:pPr>
    </w:p>
    <w:p>
      <w:pPr>
        <w:jc w:val="both"/>
        <w:ind w:firstLine="396"/>
        <w:spacing w:after="0" w:line="328" w:lineRule="auto"/>
        <w:rPr>
          <w:sz w:val="20"/>
          <w:szCs w:val="20"/>
          <w:color w:val="auto"/>
        </w:rPr>
      </w:pPr>
      <w:r>
        <w:rPr>
          <w:rFonts w:ascii="Arial" w:cs="Arial" w:eastAsia="Arial" w:hAnsi="Arial"/>
          <w:sz w:val="15"/>
          <w:szCs w:val="15"/>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84"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231F20"/>
        </w:rPr>
        <w:t xml:space="preserve">For the years ended </w:t>
      </w:r>
      <w:r>
        <w:rPr>
          <w:rFonts w:ascii="Arial" w:cs="Arial" w:eastAsia="Arial" w:hAnsi="Arial"/>
          <w:sz w:val="16"/>
          <w:szCs w:val="16"/>
          <w:color w:val="000000"/>
        </w:rPr>
        <w:t>December 31, 2021</w:t>
      </w:r>
      <w:r>
        <w:rPr>
          <w:rFonts w:ascii="Arial" w:cs="Arial" w:eastAsia="Arial" w:hAnsi="Arial"/>
          <w:sz w:val="16"/>
          <w:szCs w:val="16"/>
          <w:color w:val="231F20"/>
        </w:rPr>
        <w:t xml:space="preserve"> and 2020, the Company used approximately $151 million, and $124 million, respectively, to fund capital expenditures, including </w:t>
      </w:r>
      <w:r>
        <w:rPr>
          <w:rFonts w:ascii="Arial" w:cs="Arial" w:eastAsia="Arial" w:hAnsi="Arial"/>
          <w:sz w:val="16"/>
          <w:szCs w:val="16"/>
          <w:color w:val="000000"/>
        </w:rPr>
        <w:t>maintenance capital</w:t>
      </w:r>
      <w:r>
        <w:rPr>
          <w:rFonts w:ascii="Arial" w:cs="Arial" w:eastAsia="Arial" w:hAnsi="Arial"/>
          <w:sz w:val="16"/>
          <w:szCs w:val="16"/>
          <w:color w:val="231F20"/>
        </w:rPr>
        <w:t xml:space="preserve"> expenditures </w:t>
      </w:r>
      <w:r>
        <w:rPr>
          <w:rFonts w:ascii="Arial" w:cs="Arial" w:eastAsia="Arial" w:hAnsi="Arial"/>
          <w:sz w:val="16"/>
          <w:szCs w:val="16"/>
          <w:color w:val="000000"/>
        </w:rPr>
        <w:t>of $25 million and $23 million, respectively.</w:t>
      </w:r>
      <w:r>
        <w:rPr>
          <w:rFonts w:ascii="Arial" w:cs="Arial" w:eastAsia="Arial" w:hAnsi="Arial"/>
          <w:sz w:val="16"/>
          <w:szCs w:val="16"/>
          <w:color w:val="231F20"/>
        </w:rPr>
        <w:t xml:space="preserve"> Growth capital expenditures in 2021 include $96 million </w:t>
      </w:r>
      <w:r>
        <w:rPr>
          <w:rFonts w:ascii="Arial" w:cs="Arial" w:eastAsia="Arial" w:hAnsi="Arial"/>
          <w:sz w:val="16"/>
          <w:szCs w:val="16"/>
          <w:color w:val="000000"/>
        </w:rPr>
        <w:t>in the Renewables segment, $43 million incurred in connection with the repowering of the Pinnacle wind project, $19 million incurred in</w:t>
      </w:r>
      <w:r>
        <w:rPr>
          <w:rFonts w:ascii="Arial" w:cs="Arial" w:eastAsia="Arial" w:hAnsi="Arial"/>
          <w:sz w:val="16"/>
          <w:szCs w:val="16"/>
          <w:color w:val="231F20"/>
        </w:rPr>
        <w:t xml:space="preserve"> </w:t>
      </w:r>
      <w:r>
        <w:rPr>
          <w:rFonts w:ascii="Arial" w:cs="Arial" w:eastAsia="Arial" w:hAnsi="Arial"/>
          <w:sz w:val="16"/>
          <w:szCs w:val="16"/>
          <w:color w:val="000000"/>
        </w:rPr>
        <w:t>connection with the Rattlesnake wind project, $18 million incurred in connection with the Rosamond Central solar project, $13 million incurred in connection with the Mesquite Star wind project and $3 million incurred by other wind projects. The Company also incurred $30 million of growth capital expenditures in the Thermal and Conventional segments in connection with various development projects.</w:t>
      </w:r>
    </w:p>
    <w:p>
      <w:pPr>
        <w:spacing w:after="0" w:line="11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231F20"/>
        </w:rPr>
        <w:t xml:space="preserve">The Company estimates $36 million of maintenance capital expenditures for 2022, which includes the Thermal segment for all of 2022. </w:t>
      </w:r>
      <w:r>
        <w:rPr>
          <w:rFonts w:ascii="Arial" w:cs="Arial" w:eastAsia="Arial" w:hAnsi="Arial"/>
          <w:sz w:val="18"/>
          <w:szCs w:val="18"/>
          <w:color w:val="000000"/>
        </w:rPr>
        <w:t>These estimates</w:t>
      </w:r>
      <w:r>
        <w:rPr>
          <w:rFonts w:ascii="Arial" w:cs="Arial" w:eastAsia="Arial" w:hAnsi="Arial"/>
          <w:sz w:val="18"/>
          <w:szCs w:val="18"/>
          <w:color w:val="231F20"/>
        </w:rPr>
        <w:t xml:space="preserve"> </w:t>
      </w:r>
      <w:r>
        <w:rPr>
          <w:rFonts w:ascii="Arial" w:cs="Arial" w:eastAsia="Arial" w:hAnsi="Arial"/>
          <w:sz w:val="18"/>
          <w:szCs w:val="18"/>
          <w:color w:val="000000"/>
        </w:rPr>
        <w:t>are subject to continuing review and adjustment and actual capital expenditures may vary from these estimates.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Off-Balance Sheet Arrangements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The Company may enter into guarantee arrangements in the normal course of business to facilitate commercial transactions with third parties.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36"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December 31, 2021, the Company has several investments with an ownership interest percentage of 50%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less. GenConn is a variable interest entity for which the Company is not the primary beneficiary. The Company's pro-rata share of non-recourse debt held by unconsolidated affiliates was approximately $345 million as of December 31, 2021. This indebtedness may restrict the ability of these subsidiaries to issue dividends or distributions to the Company. See also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w:t>
      </w:r>
      <w:r>
        <w:rPr>
          <w:rFonts w:ascii="Arial" w:cs="Arial" w:eastAsia="Arial" w:hAnsi="Arial"/>
          <w:sz w:val="18"/>
          <w:szCs w:val="18"/>
          <w:i w:val="1"/>
          <w:iCs w:val="1"/>
          <w:color w:val="auto"/>
        </w:rPr>
        <w:t>—</w:t>
      </w:r>
      <w:r>
        <w:rPr>
          <w:rFonts w:ascii="Arial" w:cs="Arial" w:eastAsia="Arial" w:hAnsi="Arial"/>
          <w:sz w:val="18"/>
          <w:szCs w:val="18"/>
          <w:color w:val="auto"/>
        </w:rPr>
        <w:t xml:space="preserve"> Note 10</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Note 14</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and Note 15</w:t>
      </w:r>
      <w:r>
        <w:rPr>
          <w:rFonts w:ascii="Arial" w:cs="Arial" w:eastAsia="Arial" w:hAnsi="Arial"/>
          <w:sz w:val="18"/>
          <w:szCs w:val="18"/>
          <w:i w:val="1"/>
          <w:iCs w:val="1"/>
          <w:color w:val="auto"/>
        </w:rPr>
        <w:t>, Leases,</w:t>
      </w:r>
      <w:r>
        <w:rPr>
          <w:rFonts w:ascii="Arial" w:cs="Arial" w:eastAsia="Arial" w:hAnsi="Arial"/>
          <w:sz w:val="18"/>
          <w:szCs w:val="18"/>
          <w:color w:val="auto"/>
        </w:rPr>
        <w:t xml:space="preserve"> for additional discussion.</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Contractual Cash Obligations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Long-term debt (including estimated interest) </w:t>
      </w:r>
      <w:r>
        <w:rPr>
          <w:rFonts w:ascii="Arial" w:cs="Arial" w:eastAsia="Arial" w:hAnsi="Arial"/>
          <w:sz w:val="19"/>
          <w:szCs w:val="19"/>
          <w:color w:val="auto"/>
          <w:vertAlign w:val="superscript"/>
        </w:rPr>
        <w:t>(a)</w:t>
      </w:r>
    </w:p>
    <w:p>
      <w:pPr>
        <w:ind w:left="20"/>
        <w:spacing w:after="0" w:line="231" w:lineRule="auto"/>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2"/>
          <w:szCs w:val="22"/>
          <w:color w:val="auto"/>
          <w:vertAlign w:val="superscript"/>
        </w:rPr>
        <w:t>(b)</w:t>
      </w:r>
    </w:p>
    <w:p>
      <w:pPr>
        <w:ind w:left="20" w:right="560"/>
        <w:spacing w:after="0" w:line="254" w:lineRule="auto"/>
        <w:rPr>
          <w:sz w:val="20"/>
          <w:szCs w:val="20"/>
          <w:color w:val="auto"/>
        </w:rPr>
      </w:pPr>
      <w:r>
        <w:rPr>
          <w:rFonts w:ascii="Arial" w:cs="Arial" w:eastAsia="Arial" w:hAnsi="Arial"/>
          <w:sz w:val="18"/>
          <w:szCs w:val="18"/>
          <w:color w:val="auto"/>
        </w:rPr>
        <w:t xml:space="preserve">Fuel purchase and transportation obligations Other liabilities </w:t>
      </w:r>
      <w:r>
        <w:rPr>
          <w:rFonts w:ascii="Arial" w:cs="Arial" w:eastAsia="Arial" w:hAnsi="Arial"/>
          <w:sz w:val="22"/>
          <w:szCs w:val="22"/>
          <w:color w:val="auto"/>
          <w:vertAlign w:val="superscript"/>
        </w:rPr>
        <w:t>(c)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By Remaining Maturity at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6"/>
        </w:trPr>
        <w:tc>
          <w:tcPr>
            <w:tcW w:w="220" w:type="dxa"/>
            <w:vAlign w:val="bottom"/>
          </w:tcPr>
          <w:p>
            <w:pPr>
              <w:spacing w:after="0"/>
              <w:rPr>
                <w:sz w:val="10"/>
                <w:szCs w:val="10"/>
                <w:color w:val="auto"/>
              </w:rPr>
            </w:pPr>
          </w:p>
        </w:tc>
        <w:tc>
          <w:tcPr>
            <w:tcW w:w="94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Under</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0"/>
                <w:szCs w:val="10"/>
                <w:color w:val="auto"/>
              </w:rPr>
            </w:pPr>
          </w:p>
        </w:tc>
        <w:tc>
          <w:tcPr>
            <w:tcW w:w="94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3"/>
              </w:rPr>
              <w:t>Over</w:t>
            </w:r>
          </w:p>
        </w:tc>
        <w:tc>
          <w:tcPr>
            <w:tcW w:w="24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7"/>
        </w:trPr>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-753110</wp:posOffset>
            </wp:positionV>
            <wp:extent cx="7135495"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-468630</wp:posOffset>
            </wp:positionV>
            <wp:extent cx="7135495" cy="142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-183515</wp:posOffset>
            </wp:positionV>
            <wp:extent cx="7135495" cy="167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6764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700" w:space="720"/>
            <w:col w:w="6820"/>
          </w:cols>
          <w:pgMar w:left="320" w:top="873" w:right="339" w:bottom="1440" w:gutter="0" w:footer="0" w:header="0"/>
          <w:type w:val="continuous"/>
        </w:sectPr>
      </w:pPr>
    </w:p>
    <w:p>
      <w:pPr>
        <w:ind w:firstLine="6"/>
        <w:spacing w:after="0" w:line="273" w:lineRule="auto"/>
        <w:tabs>
          <w:tab w:leader="none" w:pos="13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Remaining maturities of Thermal Business long-term debt reclassified to held for sale in the fourth quarter of 2021 are $19 million, $40 million, $57 million and $596 million due under 1 Year, 1-3 Years, 3-5 Years and Over 5 Years, respectively.</w:t>
      </w:r>
    </w:p>
    <w:p>
      <w:pPr>
        <w:spacing w:after="0" w:line="16" w:lineRule="exact"/>
        <w:rPr>
          <w:rFonts w:ascii="Arial" w:cs="Arial" w:eastAsia="Arial" w:hAnsi="Arial"/>
          <w:sz w:val="15"/>
          <w:szCs w:val="15"/>
          <w:color w:val="auto"/>
          <w:vertAlign w:val="superscript"/>
        </w:rPr>
      </w:pPr>
    </w:p>
    <w:p>
      <w:pPr>
        <w:ind w:firstLine="6"/>
        <w:spacing w:after="0" w:line="267" w:lineRule="auto"/>
        <w:tabs>
          <w:tab w:leader="none" w:pos="142"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Remaining maturities of Thermal Business operating leases reclassified to held for sale in the fourth quarter of 2021 are $1 million, $2 million, $2 million and $31 million due under 1 Year, 1-3 Years, 3-5 Years and Over 5 Years, respectively.</w:t>
      </w:r>
    </w:p>
    <w:p>
      <w:pPr>
        <w:ind w:left="140" w:hanging="134"/>
        <w:spacing w:after="0"/>
        <w:tabs>
          <w:tab w:leader="none" w:pos="140"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Includes water right agreements, service and maintenance agreements, and LTSA commitments.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2" w:name="page53"/>
    <w:bookmarkEnd w:id="52"/>
    <w:p>
      <w:pPr>
        <w:ind w:left="40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62" w:lineRule="exact"/>
        <w:rPr>
          <w:sz w:val="20"/>
          <w:szCs w:val="20"/>
          <w:color w:val="auto"/>
        </w:rPr>
      </w:pPr>
    </w:p>
    <w:p>
      <w:pPr>
        <w:jc w:val="both"/>
        <w:ind w:firstLine="396"/>
        <w:spacing w:after="0" w:line="363" w:lineRule="auto"/>
        <w:rPr>
          <w:sz w:val="20"/>
          <w:szCs w:val="20"/>
          <w:color w:val="auto"/>
        </w:rPr>
      </w:pPr>
      <w:r>
        <w:rPr>
          <w:rFonts w:ascii="Arial" w:cs="Arial" w:eastAsia="Arial" w:hAnsi="Arial"/>
          <w:sz w:val="15"/>
          <w:szCs w:val="15"/>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59"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i w:val="1"/>
          <w:iCs w:val="1"/>
          <w:color w:val="auto"/>
        </w:rPr>
        <w:t xml:space="preserve">Black Rock Drop Down </w:t>
      </w:r>
      <w:r>
        <w:rPr>
          <w:rFonts w:ascii="Arial" w:cs="Arial" w:eastAsia="Arial" w:hAnsi="Arial"/>
          <w:sz w:val="16"/>
          <w:szCs w:val="16"/>
          <w:color w:val="auto"/>
        </w:rPr>
        <w:t>— On December 29, 2021, the Company, through its indirect subsidiary Lighthouse Renewable Holding Sub LLC, acquired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Black Rock Wind Holding LLC is the primary beneficiary and consolidates its interest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The investment was funded with existing sources of liquidity.</w:t>
      </w:r>
    </w:p>
    <w:p>
      <w:pPr>
        <w:spacing w:after="0" w:line="117"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i w:val="1"/>
          <w:iCs w:val="1"/>
          <w:color w:val="auto"/>
        </w:rPr>
        <w:t xml:space="preserve">Mesquite Sky Drop Down </w:t>
      </w:r>
      <w:r>
        <w:rPr>
          <w:rFonts w:ascii="Arial" w:cs="Arial" w:eastAsia="Arial" w:hAnsi="Arial"/>
          <w:sz w:val="18"/>
          <w:szCs w:val="18"/>
          <w:color w:val="auto"/>
        </w:rPr>
        <w:t>— On December 17, 2021, the Company, through its indirect subsidiary Lighthouse Renewable Holdco 2 LLC, acquired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membership interests of Mesquite Sky Holding LLC from Clearway Renew LLC, a subsidiary of CEG for $61 million in cash consideration. Lighthouse Renewable Holdco 2 LLC is a partnership between the Company and a third-party investor. Mesquite Sky Holding LLC, through its subsidiary, is the primary beneficiary and consolidates its interest in a tax equity fund, Mesquite Sky TE Holdco LLC, that holds the Mesquite Sky wind project, a 340 MW utility scale wind project located in Callahan County, Texas, which achieved commercial operations in December 2021. The investment was funded with existing sources of liquidity.</w:t>
      </w:r>
    </w:p>
    <w:p>
      <w:pPr>
        <w:spacing w:after="0" w:line="14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i w:val="1"/>
          <w:iCs w:val="1"/>
          <w:color w:val="auto"/>
        </w:rPr>
        <w:t xml:space="preserve">Utah Portfolio Acquisition </w:t>
      </w:r>
      <w:r>
        <w:rPr>
          <w:rFonts w:ascii="Arial" w:cs="Arial" w:eastAsia="Arial" w:hAnsi="Arial"/>
          <w:sz w:val="18"/>
          <w:szCs w:val="18"/>
          <w:color w:val="auto"/>
        </w:rPr>
        <w:t>— On December 1, 2021, the Company acquired the remaining 50% equity interest in the Utah Solar Portfolio from</w:t>
      </w:r>
      <w:r>
        <w:rPr>
          <w:rFonts w:ascii="Arial" w:cs="Arial" w:eastAsia="Arial" w:hAnsi="Arial"/>
          <w:sz w:val="18"/>
          <w:szCs w:val="18"/>
          <w:i w:val="1"/>
          <w:iCs w:val="1"/>
          <w:color w:val="auto"/>
        </w:rPr>
        <w:t xml:space="preserve"> </w:t>
      </w:r>
      <w:r>
        <w:rPr>
          <w:rFonts w:ascii="Arial" w:cs="Arial" w:eastAsia="Arial" w:hAnsi="Arial"/>
          <w:sz w:val="18"/>
          <w:szCs w:val="18"/>
          <w:color w:val="auto"/>
        </w:rPr>
        <w:t>Dominion Solar Projects III, Inc., for approximately $335 million before working capital and purchase price adjustments in the net amount of $5 million, representing total net consideration of $330 million. The Utah Solar Portfolio consists of seven utility-scale solar farms located in Utah, representing 530 MW of capacity. Borrowings under the Bridge Loan Agreement were used to fund the acquisition.</w:t>
      </w:r>
    </w:p>
    <w:p>
      <w:pPr>
        <w:spacing w:after="0" w:line="140"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i w:val="1"/>
          <w:iCs w:val="1"/>
          <w:color w:val="auto"/>
        </w:rPr>
        <w:t xml:space="preserve">Mt. Storm Acquisition </w:t>
      </w:r>
      <w:r>
        <w:rPr>
          <w:rFonts w:ascii="Arial" w:cs="Arial" w:eastAsia="Arial" w:hAnsi="Arial"/>
          <w:sz w:val="16"/>
          <w:szCs w:val="16"/>
          <w:color w:val="auto"/>
        </w:rPr>
        <w:t>— On April 23, 2021, the Company acquired 100% of the equity interests in NedPower Mount Storm LLC, or Mt. Storm, from</w:t>
      </w:r>
      <w:r>
        <w:rPr>
          <w:rFonts w:ascii="Arial" w:cs="Arial" w:eastAsia="Arial" w:hAnsi="Arial"/>
          <w:sz w:val="16"/>
          <w:szCs w:val="16"/>
          <w:i w:val="1"/>
          <w:iCs w:val="1"/>
          <w:color w:val="auto"/>
        </w:rPr>
        <w:t xml:space="preserve"> </w:t>
      </w:r>
      <w:r>
        <w:rPr>
          <w:rFonts w:ascii="Arial" w:cs="Arial" w:eastAsia="Arial" w:hAnsi="Arial"/>
          <w:sz w:val="16"/>
          <w:szCs w:val="16"/>
          <w:color w:val="auto"/>
        </w:rPr>
        <w:t>Castleton Commodities International for approximately $96 million before working capital and purchase price adjustments in the net amount of $4 million, representing a total net consideration of $100 million. Mt. Storm is a 264 MW wind project located in Grant County, West Virginia.</w:t>
      </w:r>
    </w:p>
    <w:p>
      <w:pPr>
        <w:spacing w:after="0" w:line="10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i w:val="1"/>
          <w:iCs w:val="1"/>
          <w:color w:val="auto"/>
        </w:rPr>
        <w:t xml:space="preserve">Pinnacle Wind Repowering </w:t>
      </w:r>
      <w:r>
        <w:rPr>
          <w:rFonts w:ascii="Arial" w:cs="Arial" w:eastAsia="Arial" w:hAnsi="Arial"/>
          <w:sz w:val="18"/>
          <w:szCs w:val="18"/>
          <w:color w:val="auto"/>
        </w:rPr>
        <w:t>— On February 26, 2021, the Company, through an indirect subsidiary, entered into an amended partnership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CEG to repower the Pinnacle wind project, a 54 MW wind facility located in Mineral County, West Virginia. On March 10, 2021, the Pinnacle wind project acquired equipment from CEG for $21 million in cash consideration. On December 14, 2021, the repowering project reached COD and on December 15, 2021, the Company funded $64 million in existing corporate liquidity, which was utilized in part to repay the Pinnacle Repowering Partnership Holdco LLC construction loan, along with proceeds from tax equity.</w:t>
      </w:r>
    </w:p>
    <w:p>
      <w:pPr>
        <w:spacing w:after="0" w:line="14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 NRG</w:t>
      </w:r>
      <w:r>
        <w:rPr>
          <w:rFonts w:ascii="Arial" w:cs="Arial" w:eastAsia="Arial" w:hAnsi="Arial"/>
          <w:sz w:val="18"/>
          <w:szCs w:val="18"/>
          <w:i w:val="1"/>
          <w:iCs w:val="1"/>
          <w:color w:val="auto"/>
        </w:rPr>
        <w:t xml:space="preserve"> </w:t>
      </w:r>
      <w:r>
        <w:rPr>
          <w:rFonts w:ascii="Arial" w:cs="Arial" w:eastAsia="Arial" w:hAnsi="Arial"/>
          <w:sz w:val="18"/>
          <w:szCs w:val="18"/>
          <w:color w:val="auto"/>
        </w:rPr>
        <w:t>Energy, Inc. for $202 million. Agua Caliente is a 290 MW solar project located in Dateland, Arizona in which the Company previously owned a 16% equity interest.</w:t>
      </w:r>
    </w:p>
    <w:p>
      <w:pPr>
        <w:spacing w:after="0" w:line="13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i w:val="1"/>
          <w:iCs w:val="1"/>
          <w:color w:val="auto"/>
        </w:rPr>
        <w:t xml:space="preserve">Rattlesnake Drop Down — </w:t>
      </w:r>
      <w:r>
        <w:rPr>
          <w:rFonts w:ascii="Arial" w:cs="Arial" w:eastAsia="Arial" w:hAnsi="Arial"/>
          <w:sz w:val="16"/>
          <w:szCs w:val="16"/>
          <w:color w:val="auto"/>
        </w:rPr>
        <w:t>On January 12, 2021, the Company acquired 100% of CEG's equity interest and a third-party investor's minority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CWSP Rattlesnake Holding LLC for $132 million in cash consideration. CWSP Rattlesnake Holding LLC indirectly consolidates the Rattlesnake wind project, a 160 MW wind facility located in Adams County, Washington that achieved commercial operations in December 2020. The Company's net capital commitment was $119 million after proceeds from a state sales and use tax refund, which was received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3" w:name="page54"/>
    <w:bookmarkEnd w:id="53"/>
    <w:p>
      <w:pPr>
        <w:ind w:left="400"/>
        <w:spacing w:after="0"/>
        <w:rPr>
          <w:sz w:val="20"/>
          <w:szCs w:val="20"/>
          <w:color w:val="auto"/>
        </w:rPr>
      </w:pPr>
      <w:r>
        <w:rPr>
          <w:rFonts w:ascii="Arial" w:cs="Arial" w:eastAsia="Arial" w:hAnsi="Arial"/>
          <w:sz w:val="18"/>
          <w:szCs w:val="18"/>
          <w:i w:val="1"/>
          <w:iCs w:val="1"/>
          <w:color w:val="auto"/>
        </w:rPr>
        <w:t>Debt Repurchases</w:t>
      </w:r>
    </w:p>
    <w:p>
      <w:pPr>
        <w:spacing w:after="0" w:line="149"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i w:val="1"/>
          <w:iCs w:val="1"/>
          <w:color w:val="auto"/>
        </w:rPr>
        <w:t xml:space="preserve">2026 Senior Notes Tender Offer and Redemption — </w:t>
      </w:r>
      <w:r>
        <w:rPr>
          <w:rFonts w:ascii="Arial" w:cs="Arial" w:eastAsia="Arial" w:hAnsi="Arial"/>
          <w:sz w:val="16"/>
          <w:szCs w:val="16"/>
          <w:color w:val="auto"/>
        </w:rPr>
        <w:t>In October 2021, the Company repurchased and redeemed an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113"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i w:val="1"/>
          <w:iCs w:val="1"/>
          <w:color w:val="auto"/>
        </w:rPr>
        <w:t xml:space="preserve">2025 Senior Notes Tender Offer and Redemption — </w:t>
      </w:r>
      <w:r>
        <w:rPr>
          <w:rFonts w:ascii="Arial" w:cs="Arial" w:eastAsia="Arial" w:hAnsi="Arial"/>
          <w:sz w:val="16"/>
          <w:szCs w:val="16"/>
          <w:color w:val="auto"/>
        </w:rPr>
        <w:t>In March 2021, the Company repurchased and redeemed an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Distributions to Clearway, Inc. and CEG</w:t>
      </w:r>
    </w:p>
    <w:p>
      <w:pPr>
        <w:spacing w:after="0" w:line="16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Distributions on units </w:t>
      </w:r>
      <w:r>
        <w:rPr>
          <w:rFonts w:ascii="Arial" w:cs="Arial" w:eastAsia="Arial" w:hAnsi="Arial"/>
          <w:sz w:val="16"/>
          <w:szCs w:val="16"/>
          <w:color w:val="000000"/>
        </w:rPr>
        <w:t>are subject to available capital, market conditions, and compliance with associated laws, regulations and other contractual obligations.</w:t>
      </w:r>
      <w:r>
        <w:rPr>
          <w:rFonts w:ascii="Arial" w:cs="Arial" w:eastAsia="Arial" w:hAnsi="Arial"/>
          <w:sz w:val="16"/>
          <w:szCs w:val="16"/>
          <w:color w:val="231F20"/>
        </w:rPr>
        <w:t xml:space="preserve"> </w:t>
      </w:r>
      <w:r>
        <w:rPr>
          <w:rFonts w:ascii="Arial" w:cs="Arial" w:eastAsia="Arial" w:hAnsi="Arial"/>
          <w:sz w:val="16"/>
          <w:szCs w:val="16"/>
          <w:color w:val="000000"/>
        </w:rPr>
        <w:t>The Company expects that, based on current circumstances, comparable distributions will continue to be paid in the foreseeable future.</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 2021</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Third Quarter 2021</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Second Quarter 2021</w:t>
            </w: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First Quarter 2021</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Pr>
          <w:p>
            <w:pPr>
              <w:spacing w:after="0"/>
              <w:rPr>
                <w:sz w:val="19"/>
                <w:szCs w:val="19"/>
                <w:color w:val="auto"/>
              </w:rPr>
            </w:pPr>
          </w:p>
        </w:tc>
        <w:tc>
          <w:tcPr>
            <w:tcW w:w="460" w:type="dxa"/>
            <w:vAlign w:val="bottom"/>
          </w:tcPr>
          <w:p>
            <w:pPr>
              <w:jc w:val="right"/>
              <w:ind w:right="25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Pr>
          <w:p>
            <w:pPr>
              <w:spacing w:after="0"/>
              <w:rPr>
                <w:sz w:val="19"/>
                <w:szCs w:val="19"/>
                <w:color w:val="auto"/>
              </w:rPr>
            </w:pPr>
          </w:p>
        </w:tc>
        <w:tc>
          <w:tcPr>
            <w:tcW w:w="440" w:type="dxa"/>
            <w:vAlign w:val="bottom"/>
          </w:tcPr>
          <w:p>
            <w:pPr>
              <w:jc w:val="right"/>
              <w:ind w:right="25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62"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On February 17, 2022, the Company declared a quarterly distribution on its Class A, Class B, Class C and Class D units of $0.3468 per unit payable on 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Cash Flow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reflects the changes in cash flows for the year ended December 31, 2021 compared to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6"/>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6"/>
              </w:rPr>
              <w:t>701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293"/>
              <w:spacing w:after="0"/>
              <w:rPr>
                <w:sz w:val="20"/>
                <w:szCs w:val="20"/>
                <w:color w:val="auto"/>
              </w:rPr>
            </w:pPr>
            <w:r>
              <w:rPr>
                <w:rFonts w:ascii="Arial" w:cs="Arial" w:eastAsia="Arial" w:hAnsi="Arial"/>
                <w:sz w:val="18"/>
                <w:szCs w:val="18"/>
                <w:color w:val="auto"/>
                <w:w w:val="86"/>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760" w:type="dxa"/>
            <w:vAlign w:val="bottom"/>
          </w:tcPr>
          <w:p>
            <w:pPr>
              <w:jc w:val="center"/>
              <w:ind w:left="56"/>
              <w:spacing w:after="0"/>
              <w:rPr>
                <w:sz w:val="20"/>
                <w:szCs w:val="20"/>
                <w:color w:val="auto"/>
              </w:rPr>
            </w:pPr>
            <w:r>
              <w:rPr>
                <w:rFonts w:ascii="Arial" w:cs="Arial" w:eastAsia="Arial" w:hAnsi="Arial"/>
                <w:sz w:val="18"/>
                <w:szCs w:val="18"/>
                <w:color w:val="auto"/>
                <w:w w:val="90"/>
              </w:rPr>
              <w:t>(865)</w:t>
            </w: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800" w:type="dxa"/>
            <w:vAlign w:val="bottom"/>
            <w:gridSpan w:val="2"/>
          </w:tcPr>
          <w:p>
            <w:pPr>
              <w:jc w:val="center"/>
              <w:ind w:left="253"/>
              <w:spacing w:after="0"/>
              <w:rPr>
                <w:sz w:val="20"/>
                <w:szCs w:val="20"/>
                <w:color w:val="auto"/>
              </w:rPr>
            </w:pPr>
            <w:r>
              <w:rPr>
                <w:rFonts w:ascii="Arial" w:cs="Arial" w:eastAsia="Arial" w:hAnsi="Arial"/>
                <w:sz w:val="18"/>
                <w:szCs w:val="18"/>
                <w:color w:val="auto"/>
                <w:w w:val="90"/>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6"/>
              </w:rPr>
              <w:t>367</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293"/>
              <w:spacing w:after="0"/>
              <w:rPr>
                <w:sz w:val="20"/>
                <w:szCs w:val="20"/>
                <w:color w:val="auto"/>
              </w:rPr>
            </w:pPr>
            <w:r>
              <w:rPr>
                <w:rFonts w:ascii="Arial" w:cs="Arial" w:eastAsia="Arial" w:hAnsi="Arial"/>
                <w:sz w:val="18"/>
                <w:szCs w:val="18"/>
                <w:color w:val="auto"/>
                <w:w w:val="86"/>
              </w:rPr>
              <w:t>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60" w:type="dxa"/>
            <w:vAlign w:val="bottom"/>
          </w:tcPr>
          <w:p>
            <w:pPr>
              <w:ind w:left="40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operating income adjusted for non-cash items</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040" w:type="dxa"/>
            <w:vAlign w:val="bottom"/>
            <w:gridSpan w:val="3"/>
          </w:tcPr>
          <w:p>
            <w:pPr>
              <w:ind w:left="20"/>
              <w:spacing w:after="0"/>
              <w:rPr>
                <w:sz w:val="20"/>
                <w:szCs w:val="20"/>
                <w:color w:val="auto"/>
              </w:rPr>
            </w:pPr>
            <w:r>
              <w:rPr>
                <w:rFonts w:ascii="Arial" w:cs="Arial" w:eastAsia="Arial" w:hAnsi="Arial"/>
                <w:sz w:val="18"/>
                <w:szCs w:val="18"/>
                <w:color w:val="auto"/>
                <w:w w:val="89"/>
              </w:rPr>
              <w:t>Increase in working capital primarily driven by the timing of accounts receivable collections and payments of accounts payable</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distributions from unconsolidated affiliates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7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60" w:type="dxa"/>
            <w:vAlign w:val="bottom"/>
          </w:tcPr>
          <w:p>
            <w:pPr>
              <w:ind w:left="400"/>
              <w:spacing w:after="0"/>
              <w:rPr>
                <w:sz w:val="20"/>
                <w:szCs w:val="20"/>
                <w:color w:val="auto"/>
              </w:rPr>
            </w:pPr>
            <w:r>
              <w:rPr>
                <w:rFonts w:ascii="Arial" w:cs="Arial" w:eastAsia="Arial" w:hAnsi="Arial"/>
                <w:sz w:val="18"/>
                <w:szCs w:val="18"/>
                <w:color w:val="auto"/>
              </w:rPr>
              <w:t>Changes to net cash used in investing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Utah Solar Portfolio, Agua Caliente and Mt. Storm acquisitions, net of cash acquired, in 2021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Changes in cash paid for Drop Down assets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Proceeds received from the sale of RPV Holdco, Energy Center Dover LLC and Energy Center Smyrna LLC in 2020</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Changes in capital expenditures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return of investment from unconsolidated affiliates, net of investments paid</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Cash paid to CEG in 2021 for equipment for the Pinnacle wind project repowering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Consolidation of DGPV Holdco 3 in 2020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60" w:type="dxa"/>
            <w:vAlign w:val="bottom"/>
          </w:tcPr>
          <w:p>
            <w:pPr>
              <w:ind w:left="400"/>
              <w:spacing w:after="0"/>
              <w:rPr>
                <w:sz w:val="20"/>
                <w:szCs w:val="20"/>
                <w:color w:val="auto"/>
              </w:rPr>
            </w:pPr>
            <w:r>
              <w:rPr>
                <w:rFonts w:ascii="Arial" w:cs="Arial" w:eastAsia="Arial" w:hAnsi="Arial"/>
                <w:sz w:val="18"/>
                <w:szCs w:val="18"/>
                <w:color w:val="auto"/>
              </w:rPr>
              <w:t>Changes in net cash used in financing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contributions from CEG and noncontrolling interest members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Increase in net proceeds under the revolving line of credit</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Payment to buy out CEG's noncontrolling interest in Repowering Partnership II LLC on May 11, 2020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200" w:type="dxa"/>
            <w:vAlign w:val="bottom"/>
            <w:gridSpan w:val="6"/>
          </w:tcPr>
          <w:p>
            <w:pPr>
              <w:ind w:left="20"/>
              <w:spacing w:after="0" w:line="172" w:lineRule="exact"/>
              <w:rPr>
                <w:sz w:val="20"/>
                <w:szCs w:val="20"/>
                <w:color w:val="auto"/>
              </w:rPr>
            </w:pPr>
            <w:r>
              <w:rPr>
                <w:rFonts w:ascii="Arial" w:cs="Arial" w:eastAsia="Arial" w:hAnsi="Arial"/>
                <w:sz w:val="18"/>
                <w:szCs w:val="18"/>
                <w:color w:val="auto"/>
                <w:w w:val="92"/>
              </w:rPr>
              <w:t>Increase in payments for long-term debt, net of proceeds from issuance of long-term debt, primarily due to issuance of the 2031 and 2032</w:t>
            </w:r>
          </w:p>
        </w:tc>
        <w:tc>
          <w:tcPr>
            <w:tcW w:w="220" w:type="dxa"/>
            <w:vAlign w:val="bottom"/>
          </w:tcPr>
          <w:p>
            <w:pPr>
              <w:spacing w:after="0"/>
              <w:rPr>
                <w:sz w:val="14"/>
                <w:szCs w:val="14"/>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Senior Notes, Bridge Loan Agreement and the Pinnacle financing agreement in 2021</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net proceeds received from equity issuance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8"/>
                <w:szCs w:val="18"/>
                <w:color w:val="auto"/>
              </w:rPr>
              <w:t>Increase in distributions paid to unit holders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6"/>
          <w:szCs w:val="16"/>
          <w:color w:val="000000"/>
        </w:rPr>
        <w:t>December 31, 2021</w:t>
      </w:r>
      <w:r>
        <w:rPr>
          <w:rFonts w:ascii="Arial" w:cs="Arial" w:eastAsia="Arial" w:hAnsi="Arial"/>
          <w:sz w:val="16"/>
          <w:szCs w:val="16"/>
          <w:color w:val="231F20"/>
        </w:rPr>
        <w:t xml:space="preserve">, based on their level within the fair value hierarchy defined in ASC 820; and indicate the maturities of contracts at </w:t>
      </w:r>
      <w:r>
        <w:rPr>
          <w:rFonts w:ascii="Arial" w:cs="Arial" w:eastAsia="Arial" w:hAnsi="Arial"/>
          <w:sz w:val="16"/>
          <w:szCs w:val="16"/>
          <w:color w:val="000000"/>
        </w:rPr>
        <w:t>December 31, 2021</w:t>
      </w:r>
      <w:r>
        <w:rPr>
          <w:rFonts w:ascii="Arial" w:cs="Arial" w:eastAsia="Arial" w:hAnsi="Arial"/>
          <w:sz w:val="16"/>
          <w:szCs w:val="16"/>
          <w:color w:val="231F20"/>
        </w:rPr>
        <w:t xml:space="preserve">. For a full discussion of the Company's valuation methodology of its contracts, see </w:t>
      </w:r>
      <w:r>
        <w:rPr>
          <w:rFonts w:ascii="Arial" w:cs="Arial" w:eastAsia="Arial" w:hAnsi="Arial"/>
          <w:sz w:val="16"/>
          <w:szCs w:val="16"/>
          <w:i w:val="1"/>
          <w:iCs w:val="1"/>
          <w:color w:val="231F20"/>
        </w:rPr>
        <w:t>Derivative Fair Value Measurements</w:t>
      </w:r>
      <w:r>
        <w:rPr>
          <w:rFonts w:ascii="Arial" w:cs="Arial" w:eastAsia="Arial" w:hAnsi="Arial"/>
          <w:sz w:val="16"/>
          <w:szCs w:val="16"/>
          <w:color w:val="231F20"/>
        </w:rPr>
        <w:t xml:space="preserve"> in Item 15 </w:t>
      </w:r>
      <w:r>
        <w:rPr>
          <w:rFonts w:ascii="Arial" w:cs="Arial" w:eastAsia="Arial" w:hAnsi="Arial"/>
          <w:sz w:val="16"/>
          <w:szCs w:val="16"/>
          <w:color w:val="000000"/>
        </w:rPr>
        <w:t>— 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4"/>
          </w:tcPr>
          <w:p>
            <w:pPr>
              <w:ind w:left="20"/>
              <w:spacing w:after="0"/>
              <w:rPr>
                <w:sz w:val="20"/>
                <w:szCs w:val="20"/>
                <w:color w:val="auto"/>
              </w:rPr>
            </w:pPr>
            <w:r>
              <w:rPr>
                <w:rFonts w:ascii="Arial" w:cs="Arial" w:eastAsia="Arial" w:hAnsi="Arial"/>
                <w:sz w:val="14"/>
                <w:szCs w:val="14"/>
                <w:b w:val="1"/>
                <w:bCs w:val="1"/>
                <w:color w:val="auto"/>
              </w:rPr>
              <w:t>Derivative Activity ( Losses)/Gains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Fair value of contracts as of December 31, 2020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w w:val="98"/>
              </w:rPr>
              <w:t>Contracts realized or otherwise settled during the period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Contracts acquired during the period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4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Fair value of contracts as of December 31, 2021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89"/>
              </w:rPr>
              <w:t>Fair value of contracts as of December 31, 2021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 Year or Less</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Greater Than</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Greater Than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1"/>
        </w:trPr>
        <w:tc>
          <w:tcPr>
            <w:tcW w:w="46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3"/>
          </w:tcPr>
          <w:p>
            <w:pPr>
              <w:jc w:val="center"/>
              <w:ind w:right="140"/>
              <w:spacing w:after="0" w:line="121" w:lineRule="exact"/>
              <w:rPr>
                <w:sz w:val="20"/>
                <w:szCs w:val="20"/>
                <w:color w:val="auto"/>
              </w:rPr>
            </w:pPr>
            <w:r>
              <w:rPr>
                <w:rFonts w:ascii="Arial" w:cs="Arial" w:eastAsia="Arial" w:hAnsi="Arial"/>
                <w:sz w:val="14"/>
                <w:szCs w:val="14"/>
                <w:b w:val="1"/>
                <w:bCs w:val="1"/>
                <w:color w:val="auto"/>
                <w:w w:val="88"/>
              </w:rPr>
              <w:t>1 Year to 3 Years</w:t>
            </w:r>
          </w:p>
        </w:tc>
        <w:tc>
          <w:tcPr>
            <w:tcW w:w="1340" w:type="dxa"/>
            <w:vAlign w:val="bottom"/>
            <w:gridSpan w:val="3"/>
          </w:tcPr>
          <w:p>
            <w:pPr>
              <w:jc w:val="center"/>
              <w:ind w:right="120"/>
              <w:spacing w:after="0" w:line="121" w:lineRule="exact"/>
              <w:rPr>
                <w:sz w:val="20"/>
                <w:szCs w:val="20"/>
                <w:color w:val="auto"/>
              </w:rPr>
            </w:pPr>
            <w:r>
              <w:rPr>
                <w:rFonts w:ascii="Arial" w:cs="Arial" w:eastAsia="Arial" w:hAnsi="Arial"/>
                <w:sz w:val="14"/>
                <w:szCs w:val="14"/>
                <w:b w:val="1"/>
                <w:bCs w:val="1"/>
                <w:color w:val="auto"/>
                <w:w w:val="87"/>
              </w:rPr>
              <w:t>3 Years to 5 Years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21" w:lineRule="exact"/>
              <w:rPr>
                <w:sz w:val="20"/>
                <w:szCs w:val="20"/>
                <w:color w:val="auto"/>
              </w:rPr>
            </w:pPr>
            <w:r>
              <w:rPr>
                <w:rFonts w:ascii="Arial" w:cs="Arial" w:eastAsia="Arial" w:hAnsi="Arial"/>
                <w:sz w:val="14"/>
                <w:szCs w:val="14"/>
                <w:b w:val="1"/>
                <w:bCs w:val="1"/>
                <w:color w:val="auto"/>
                <w:w w:val="88"/>
              </w:rPr>
              <w:t>5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57"/>
              <w:spacing w:after="0" w:line="121"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4"/>
        </w:trPr>
        <w:tc>
          <w:tcPr>
            <w:tcW w:w="46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the Company </w:t>
      </w:r>
      <w:r>
        <w:rPr>
          <w:rFonts w:ascii="Arial" w:cs="Arial" w:eastAsia="Arial" w:hAnsi="Arial"/>
          <w:sz w:val="16"/>
          <w:szCs w:val="16"/>
          <w:color w:val="000000"/>
        </w:rPr>
        <w:t>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8"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9"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40"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Hypothetical Liquidation at Book Value, or HLBV, and acquisition accounting.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tbl>
      <w:tblPr>
        <w:tblLayout w:type="fixed"/>
        <w:tblInd w:w="2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309"/>
        </w:trPr>
        <w:tc>
          <w:tcPr>
            <w:tcW w:w="5960" w:type="dxa"/>
            <w:vAlign w:val="bottom"/>
            <w:gridSpan w:val="2"/>
          </w:tcPr>
          <w:p>
            <w:pPr>
              <w:spacing w:after="0"/>
              <w:rPr>
                <w:sz w:val="20"/>
                <w:szCs w:val="20"/>
                <w:color w:val="auto"/>
              </w:rPr>
            </w:pPr>
            <w:r>
              <w:rPr>
                <w:rFonts w:ascii="Arial" w:cs="Arial" w:eastAsia="Arial" w:hAnsi="Arial"/>
                <w:sz w:val="18"/>
                <w:szCs w:val="18"/>
                <w:color w:val="auto"/>
              </w:rPr>
              <w:t>Hypothetical Liquidation at Book Value (HLBV)</w:t>
            </w:r>
          </w:p>
        </w:tc>
        <w:tc>
          <w:tcPr>
            <w:tcW w:w="5240" w:type="dxa"/>
            <w:vAlign w:val="bottom"/>
          </w:tcPr>
          <w:p>
            <w:pPr>
              <w:ind w:left="20"/>
              <w:spacing w:after="0"/>
              <w:rPr>
                <w:sz w:val="20"/>
                <w:szCs w:val="20"/>
                <w:color w:val="auto"/>
              </w:rPr>
            </w:pPr>
            <w:r>
              <w:rPr>
                <w:rFonts w:ascii="Arial" w:cs="Arial" w:eastAsia="Arial" w:hAnsi="Arial"/>
                <w:sz w:val="18"/>
                <w:szCs w:val="18"/>
                <w:color w:val="auto"/>
              </w:rPr>
              <w:t>Estimates of taxable income (loss) and tax capital accounts</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Estimated calculation of specified target investor returns</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liquidation provisions of operating agreements</w:t>
            </w: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Acquisition Accounting</w:t>
            </w:r>
          </w:p>
        </w:tc>
        <w:tc>
          <w:tcPr>
            <w:tcW w:w="5240" w:type="dxa"/>
            <w:vAlign w:val="bottom"/>
          </w:tcPr>
          <w:p>
            <w:pPr>
              <w:ind w:left="20"/>
              <w:spacing w:after="0"/>
              <w:rPr>
                <w:sz w:val="20"/>
                <w:szCs w:val="20"/>
                <w:color w:val="auto"/>
              </w:rPr>
            </w:pPr>
            <w:r>
              <w:rPr>
                <w:rFonts w:ascii="Arial" w:cs="Arial" w:eastAsia="Arial" w:hAnsi="Arial"/>
                <w:sz w:val="18"/>
                <w:szCs w:val="18"/>
                <w:color w:val="auto"/>
              </w:rPr>
              <w:t>Identification of assets acquired</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Inputs for fair values of assets and liabilities acquired</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appropriate fair value methodologies</w:t>
            </w:r>
          </w:p>
        </w:tc>
      </w:tr>
    </w:tbl>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Hypothetical Liquidation at Book Value (HLBV)</w:t>
      </w:r>
    </w:p>
    <w:p>
      <w:pPr>
        <w:spacing w:after="0" w:line="162"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to finance the cost of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operations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operations.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 xml:space="preserve">The Company applies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fair value.</w:t>
      </w:r>
    </w:p>
    <w:p>
      <w:pPr>
        <w:spacing w:after="0" w:line="140"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 xml:space="preserve">Accounting for Derivative Instruments and Hedging Activities, </w:t>
      </w:r>
      <w:r>
        <w:rPr>
          <w:rFonts w:ascii="Arial" w:cs="Arial" w:eastAsia="Arial" w:hAnsi="Arial"/>
          <w:sz w:val="16"/>
          <w:szCs w:val="16"/>
          <w:color w:val="000000"/>
        </w:rPr>
        <w:t>for more information.</w:t>
      </w:r>
    </w:p>
    <w:p>
      <w:pPr>
        <w:spacing w:after="0" w:line="113"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231F20"/>
        </w:rPr>
        <w:t xml:space="preserve">Based on a sensitivity analysis using simplified assumptions, the impact of a $0.50 per MMBtu decrease in natural gas prices across the term of the derivative contracts would cause an increase of approximately $1 million to the net value of natural gas derivatives, and an increase of $0.50 MMBtu in natural gas prices across the term of the derivative contracts would cause an increase of approximately $3 million to the net value of natural gas derivatives as of </w:t>
      </w:r>
      <w:r>
        <w:rPr>
          <w:rFonts w:ascii="Arial" w:cs="Arial" w:eastAsia="Arial" w:hAnsi="Arial"/>
          <w:sz w:val="16"/>
          <w:szCs w:val="16"/>
          <w:color w:val="000000"/>
        </w:rPr>
        <w:t>December 31, 2021</w:t>
      </w:r>
      <w:r>
        <w:rPr>
          <w:rFonts w:ascii="Arial" w:cs="Arial" w:eastAsia="Arial" w:hAnsi="Arial"/>
          <w:sz w:val="16"/>
          <w:szCs w:val="16"/>
          <w:color w:val="231F20"/>
        </w:rPr>
        <w:t>. The impact of a $0.50 per MWh increase or decrease in power prices across the term of the derivative contracts would cause a change of</w:t>
      </w:r>
      <w:r>
        <w:rPr>
          <w:rFonts w:ascii="Arial" w:cs="Arial" w:eastAsia="Arial" w:hAnsi="Arial"/>
          <w:sz w:val="16"/>
          <w:szCs w:val="16"/>
          <w:color w:val="000000"/>
        </w:rPr>
        <w:t xml:space="preserve"> </w:t>
      </w:r>
      <w:r>
        <w:rPr>
          <w:rFonts w:ascii="Arial" w:cs="Arial" w:eastAsia="Arial" w:hAnsi="Arial"/>
          <w:sz w:val="16"/>
          <w:szCs w:val="16"/>
          <w:color w:val="231F20"/>
        </w:rPr>
        <w:t>approximately $7 million to the net value of power derivatives as of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Accounting for Derivative Instruments and Hedging Activities</w:t>
      </w:r>
      <w:r>
        <w:rPr>
          <w:rFonts w:ascii="Arial" w:cs="Arial" w:eastAsia="Arial" w:hAnsi="Arial"/>
          <w:sz w:val="16"/>
          <w:szCs w:val="16"/>
          <w:color w:val="231F20"/>
        </w:rPr>
        <w:t>, for more information.</w:t>
      </w:r>
    </w:p>
    <w:p>
      <w:pPr>
        <w:spacing w:after="0" w:line="107"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6"/>
          <w:szCs w:val="16"/>
          <w:color w:val="000000"/>
        </w:rPr>
        <w:t>Note 10</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for more information about interest rate swaps of the Company's project subsidiaries.</w:t>
      </w:r>
    </w:p>
    <w:p>
      <w:pPr>
        <w:spacing w:after="0" w:line="8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2021</w:t>
      </w:r>
      <w:r>
        <w:rPr>
          <w:rFonts w:ascii="Arial" w:cs="Arial" w:eastAsia="Arial" w:hAnsi="Arial"/>
          <w:sz w:val="18"/>
          <w:szCs w:val="18"/>
          <w:color w:val="231F20"/>
        </w:rPr>
        <w:t>, the Company would have owed the counterparties $63 million. Based on the credit ratings of the counterparties, the Company believes its exposure to credit risk due to nonperformance by counterparties to its hedge contracts to be insignificant.</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color w:val="231F20"/>
        </w:rPr>
        <w:t>, a 1% change in interest rates would result in an approximately $6 million change in interest expense on a rolling twelve-month basis.</w:t>
      </w:r>
    </w:p>
    <w:p>
      <w:pPr>
        <w:spacing w:after="0" w:line="15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2021</w:t>
      </w:r>
      <w:r>
        <w:rPr>
          <w:rFonts w:ascii="Arial" w:cs="Arial" w:eastAsia="Arial" w:hAnsi="Arial"/>
          <w:sz w:val="18"/>
          <w:szCs w:val="18"/>
          <w:color w:val="231F20"/>
        </w:rPr>
        <w:t>, the fair value of the Company's debt was $7,998 million and the carrying value was $7,783 million. The Company estimates that a 1% decrease in market interest rates would have increased the fair value of its long-term debt by $540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Liquidity risk arises from the general funding needs of the Company's activities and in the management of the Company's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6"/>
          <w:szCs w:val="16"/>
          <w:color w:val="000000"/>
        </w:rPr>
        <w:t>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financial statements and schedules are listed in Part IV, Item 15 of this Form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6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As previously reported in the Company's Current Report on Form 8-K filed on March 15, 2021, on March 9, 2021, the Audit Committee of the Board of Directors of the Company dismissed KPMG LLP as the Company's independent registered public accounting firm and appointed Ernst &amp; Young LLP (PCAOB ID:42), an independent registered public accounting firm, to audit the consolidated financial statements of the Company and its subsidiaries for the fiscal year ending December 31, 2021. For more information, please refer to the Company's Current Report on Form 8-K filed on March 15,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6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December 31, 2021, that materially affected, or are reasonably likely to materially affect, the Company's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37" w:lineRule="exact"/>
        <w:rPr>
          <w:sz w:val="20"/>
          <w:szCs w:val="20"/>
          <w:color w:val="auto"/>
        </w:rPr>
      </w:pPr>
    </w:p>
    <w:p>
      <w:pPr>
        <w:ind w:left="580" w:hanging="17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85" w:lineRule="exact"/>
        <w:rPr>
          <w:rFonts w:ascii="Arial" w:cs="Arial" w:eastAsia="Arial" w:hAnsi="Arial"/>
          <w:sz w:val="16"/>
          <w:szCs w:val="16"/>
          <w:color w:val="auto"/>
        </w:rPr>
      </w:pPr>
    </w:p>
    <w:p>
      <w:pPr>
        <w:ind w:firstLine="401"/>
        <w:spacing w:after="0" w:line="325"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2" w:lineRule="exact"/>
        <w:rPr>
          <w:rFonts w:ascii="Arial" w:cs="Arial" w:eastAsia="Arial" w:hAnsi="Arial"/>
          <w:sz w:val="16"/>
          <w:szCs w:val="16"/>
          <w:color w:val="auto"/>
        </w:rPr>
      </w:pPr>
    </w:p>
    <w:p>
      <w:pPr>
        <w:ind w:firstLine="401"/>
        <w:spacing w:after="0" w:line="262" w:lineRule="auto"/>
        <w:tabs>
          <w:tab w:leader="none" w:pos="5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2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the Company's evaluation under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the Company's management concluded that its internal control over financial reporting was effective as of December 31, 2021.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9B — Other Information</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31"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6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information for the Company's executive officers. Executive officers serve until their successors are duly appointed or elected.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56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b w:val="1"/>
                <w:bCs w:val="1"/>
                <w:color w:val="auto"/>
                <w:w w:val="85"/>
              </w:rPr>
              <w:t>Age</w:t>
            </w:r>
          </w:p>
        </w:tc>
        <w:tc>
          <w:tcPr>
            <w:tcW w:w="7280" w:type="dxa"/>
            <w:vAlign w:val="bottom"/>
            <w:tcBorders>
              <w:bottom w:val="single" w:sz="8" w:color="auto"/>
            </w:tcBorders>
          </w:tcPr>
          <w:p>
            <w:pPr>
              <w:ind w:left="3580"/>
              <w:spacing w:after="0"/>
              <w:rPr>
                <w:sz w:val="20"/>
                <w:szCs w:val="20"/>
                <w:color w:val="auto"/>
              </w:rPr>
            </w:pPr>
            <w:r>
              <w:rPr>
                <w:rFonts w:ascii="Arial" w:cs="Arial" w:eastAsia="Arial" w:hAnsi="Arial"/>
                <w:sz w:val="16"/>
                <w:szCs w:val="16"/>
                <w:b w:val="1"/>
                <w:bCs w:val="1"/>
                <w:color w:val="auto"/>
              </w:rPr>
              <w:t>Title</w:t>
            </w:r>
          </w:p>
        </w:tc>
      </w:tr>
      <w:tr>
        <w:trPr>
          <w:trHeight w:val="208"/>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Christopher S. Sotos</w:t>
            </w:r>
          </w:p>
        </w:tc>
        <w:tc>
          <w:tcPr>
            <w:tcW w:w="156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9"/>
              </w:rPr>
              <w:t>50</w:t>
            </w:r>
          </w:p>
        </w:tc>
        <w:tc>
          <w:tcPr>
            <w:tcW w:w="7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President and Chief Executive Officer</w:t>
            </w:r>
          </w:p>
        </w:tc>
      </w:tr>
      <w:tr>
        <w:trPr>
          <w:trHeight w:val="208"/>
        </w:trPr>
        <w:tc>
          <w:tcPr>
            <w:tcW w:w="2400" w:type="dxa"/>
            <w:vAlign w:val="bottom"/>
          </w:tcPr>
          <w:p>
            <w:pPr>
              <w:ind w:left="20"/>
              <w:spacing w:after="0"/>
              <w:rPr>
                <w:sz w:val="20"/>
                <w:szCs w:val="20"/>
                <w:color w:val="auto"/>
              </w:rPr>
            </w:pPr>
            <w:r>
              <w:rPr>
                <w:rFonts w:ascii="Arial" w:cs="Arial" w:eastAsia="Arial" w:hAnsi="Arial"/>
                <w:sz w:val="16"/>
                <w:szCs w:val="16"/>
                <w:color w:val="auto"/>
              </w:rPr>
              <w:t>Chad Plotkin</w:t>
            </w:r>
          </w:p>
        </w:tc>
        <w:tc>
          <w:tcPr>
            <w:tcW w:w="1560" w:type="dxa"/>
            <w:vAlign w:val="bottom"/>
          </w:tcPr>
          <w:p>
            <w:pPr>
              <w:jc w:val="center"/>
              <w:ind w:left="801"/>
              <w:spacing w:after="0"/>
              <w:rPr>
                <w:sz w:val="20"/>
                <w:szCs w:val="20"/>
                <w:color w:val="auto"/>
              </w:rPr>
            </w:pPr>
            <w:r>
              <w:rPr>
                <w:rFonts w:ascii="Arial" w:cs="Arial" w:eastAsia="Arial" w:hAnsi="Arial"/>
                <w:sz w:val="16"/>
                <w:szCs w:val="16"/>
                <w:color w:val="auto"/>
                <w:w w:val="89"/>
              </w:rPr>
              <w:t>46</w:t>
            </w:r>
          </w:p>
        </w:tc>
        <w:tc>
          <w:tcPr>
            <w:tcW w:w="7280" w:type="dxa"/>
            <w:vAlign w:val="bottom"/>
          </w:tcPr>
          <w:p>
            <w:pPr>
              <w:ind w:left="200"/>
              <w:spacing w:after="0"/>
              <w:rPr>
                <w:sz w:val="20"/>
                <w:szCs w:val="20"/>
                <w:color w:val="auto"/>
              </w:rPr>
            </w:pPr>
            <w:r>
              <w:rPr>
                <w:rFonts w:ascii="Arial" w:cs="Arial" w:eastAsia="Arial" w:hAnsi="Arial"/>
                <w:sz w:val="16"/>
                <w:szCs w:val="16"/>
                <w:color w:val="auto"/>
              </w:rPr>
              <w:t>Senior Vice President and Chief Financial Officer</w:t>
            </w:r>
          </w:p>
        </w:tc>
      </w:tr>
      <w:tr>
        <w:trPr>
          <w:trHeight w:val="214"/>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Kevin P. Malcarney</w:t>
            </w:r>
          </w:p>
        </w:tc>
        <w:tc>
          <w:tcPr>
            <w:tcW w:w="156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9"/>
              </w:rPr>
              <w:t>55</w:t>
            </w:r>
          </w:p>
        </w:tc>
        <w:tc>
          <w:tcPr>
            <w:tcW w:w="7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General Counsel and Corporate Secretary</w:t>
            </w:r>
          </w:p>
        </w:tc>
      </w:tr>
    </w:tbl>
    <w:p>
      <w:pPr>
        <w:spacing w:after="0" w:line="238"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i w:val="1"/>
          <w:iCs w:val="1"/>
          <w:color w:val="auto"/>
        </w:rPr>
        <w:t xml:space="preserve">Christopher S. Sotos </w:t>
      </w:r>
      <w:r>
        <w:rPr>
          <w:rFonts w:ascii="Arial" w:cs="Arial" w:eastAsia="Arial" w:hAnsi="Arial"/>
          <w:sz w:val="16"/>
          <w:szCs w:val="16"/>
          <w:color w:val="auto"/>
        </w:rPr>
        <w:t>has served as President and Chief Executive Officer since May 2016, and as a member of the Board of Clearway, Inc.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Board of Clearway, Inc. with management’s perspective regarding the Company’s day to day operations and overall strategic plan. Mr. Sotos also brings strong financial and accounting skills to the Board of Clearway, Inc.</w:t>
      </w:r>
    </w:p>
    <w:p>
      <w:pPr>
        <w:spacing w:after="0" w:line="11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i w:val="1"/>
          <w:iCs w:val="1"/>
          <w:color w:val="auto"/>
        </w:rPr>
        <w:t xml:space="preserve">Chad Plotkin </w:t>
      </w:r>
      <w:r>
        <w:rPr>
          <w:rFonts w:ascii="Arial" w:cs="Arial" w:eastAsia="Arial" w:hAnsi="Arial"/>
          <w:sz w:val="16"/>
          <w:szCs w:val="16"/>
          <w:color w:val="auto"/>
        </w:rPr>
        <w:t>has served as the Company’s Chief Financial Officer since November 2016 and was promoted from Senior Vice President to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in January 2022. From January 2016 until his appointment as Senior Vice President and Chief Financial Officer in November 2016,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1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i w:val="1"/>
          <w:iCs w:val="1"/>
          <w:color w:val="auto"/>
        </w:rPr>
        <w:t xml:space="preserve">Kevin P. Malcarney </w:t>
      </w:r>
      <w:r>
        <w:rPr>
          <w:rFonts w:ascii="Arial" w:cs="Arial" w:eastAsia="Arial" w:hAnsi="Arial"/>
          <w:sz w:val="18"/>
          <w:szCs w:val="18"/>
          <w:color w:val="auto"/>
        </w:rPr>
        <w:t>has served as the Company’s General Counsel and Corporate Secretary since May 11, 2018, and was promoted from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to Executive Vice President 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 xml:space="preserve">The Company has not adopted a separate code of ethics because all of the officers of the Company are subject to the Code of Conduct adopted by the Board of Clearway, Inc. The Code of Conduct of Clearway, Inc. applies to all of its directors and employees, including its and the Company's officers (e.g., the Company's CEO, CFO, and Principal Accounting Officer). Clearway, Inc.’s Code of Conduct is available on its website, </w:t>
      </w:r>
      <w:r>
        <w:rPr>
          <w:rFonts w:ascii="Arial" w:cs="Arial" w:eastAsia="Arial" w:hAnsi="Arial"/>
          <w:sz w:val="16"/>
          <w:szCs w:val="16"/>
          <w:i w:val="1"/>
          <w:iCs w:val="1"/>
          <w:color w:val="auto"/>
        </w:rPr>
        <w:t>www.clearwayenergy.com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0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of the Board of Clearway, Inc. (the “Compensation Committee”)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Ferrell P. McClean, Chair</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42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Brian R. Ford</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42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E. Stanley O'Neal</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Program</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Clearway, Inc. is a publicly-traded energy infrastructure investor and owner of modern, sustainable and long-term contracted assets across North America. GIP, through its portfolio company, CEG, holds all of Clearway, Inc.’s Class B common stock and Class D common stock, and thus has the majority voting interest in the Company. This Compensation Discussion and Analysis (this “CD&amp;A”) describes the philosophy, elements, implementation and results of the Clearway, Inc.'s 2021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11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Compensation Committee’s objectives are to design a simple yet competitive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incentives are comprised of 67% Relative Performance Stock Units (“RPSUs”), which vest based on relative TSR measured over three years and 33% Restricted Stock Units (“RSUs”), which vest based on continued service over three years. The program incorporates many best practices in compensation design, while being tailored to our business needs and compensation objectives.</w:t>
      </w:r>
    </w:p>
    <w:p>
      <w:pPr>
        <w:spacing w:after="0" w:line="11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2021, the Compensation Committee reviewed and did not modify its philosophy related to the compensation program. Thus, NEO compensation continued to be delivered through a mix of (i) base salary, (ii) an annual incentive bonus opportunity under the AIP and (iii) long-term incentive compensation under our Amended and Restated 2013 Equity Incentive Plan (“LTIP”) in the form of RPSUs and RSUs.</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At our 2021 Annual Meeting of Stockholders, we received approximately 99% support for our say on pay proposal. We believe these results demonstrate our stockholders support our pay practices and that our compensation program is aligned with their interests.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Key Governance Features of Our Executive Compensation Program</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ind w:left="2340"/>
              <w:spacing w:after="0"/>
              <w:rPr>
                <w:sz w:val="20"/>
                <w:szCs w:val="20"/>
                <w:color w:val="auto"/>
              </w:rPr>
            </w:pPr>
            <w:r>
              <w:rPr>
                <w:rFonts w:ascii="Arial" w:cs="Arial" w:eastAsia="Arial" w:hAnsi="Arial"/>
                <w:sz w:val="14"/>
                <w:szCs w:val="14"/>
                <w:b w:val="1"/>
                <w:bCs w:val="1"/>
                <w:color w:val="auto"/>
              </w:rPr>
              <w:t>What We Do:</w:t>
            </w:r>
          </w:p>
        </w:tc>
        <w:tc>
          <w:tcPr>
            <w:tcW w:w="5780" w:type="dxa"/>
            <w:vAlign w:val="bottom"/>
          </w:tcPr>
          <w:p>
            <w:pPr>
              <w:ind w:left="2320"/>
              <w:spacing w:after="0"/>
              <w:rPr>
                <w:sz w:val="20"/>
                <w:szCs w:val="20"/>
                <w:color w:val="auto"/>
              </w:rPr>
            </w:pPr>
            <w:r>
              <w:rPr>
                <w:rFonts w:ascii="Arial" w:cs="Arial" w:eastAsia="Arial" w:hAnsi="Arial"/>
                <w:sz w:val="14"/>
                <w:szCs w:val="14"/>
                <w:b w:val="1"/>
                <w:bCs w:val="1"/>
                <w:color w:val="auto"/>
              </w:rPr>
              <w:t>What We Don’t Do:</w:t>
            </w:r>
          </w:p>
        </w:tc>
      </w:tr>
      <w:tr>
        <w:trPr>
          <w:trHeight w:val="178"/>
        </w:trPr>
        <w:tc>
          <w:tcPr>
            <w:tcW w:w="5460" w:type="dxa"/>
            <w:vAlign w:val="bottom"/>
            <w:shd w:val="clear" w:color="auto" w:fill="CCEEFF"/>
          </w:tcPr>
          <w:p>
            <w:pPr>
              <w:ind w:left="340"/>
              <w:spacing w:after="0" w:line="177" w:lineRule="exact"/>
              <w:rPr>
                <w:sz w:val="20"/>
                <w:szCs w:val="20"/>
                <w:color w:val="auto"/>
              </w:rPr>
            </w:pPr>
            <w:r>
              <w:rPr>
                <w:rFonts w:ascii="Arial" w:cs="Arial" w:eastAsia="Arial" w:hAnsi="Arial"/>
                <w:sz w:val="18"/>
                <w:szCs w:val="18"/>
                <w:color w:val="auto"/>
                <w:w w:val="98"/>
              </w:rPr>
              <w:t>•   Pay for performance by delivering a substantial majority of our</w:t>
            </w:r>
          </w:p>
        </w:tc>
        <w:tc>
          <w:tcPr>
            <w:tcW w:w="5780" w:type="dxa"/>
            <w:vAlign w:val="bottom"/>
            <w:shd w:val="clear" w:color="auto" w:fill="CCEEFF"/>
          </w:tcPr>
          <w:p>
            <w:pPr>
              <w:ind w:left="380"/>
              <w:spacing w:after="0" w:line="177" w:lineRule="exact"/>
              <w:rPr>
                <w:sz w:val="20"/>
                <w:szCs w:val="20"/>
                <w:color w:val="auto"/>
              </w:rPr>
            </w:pPr>
            <w:r>
              <w:rPr>
                <w:rFonts w:ascii="Arial" w:cs="Arial" w:eastAsia="Arial" w:hAnsi="Arial"/>
                <w:sz w:val="18"/>
                <w:szCs w:val="18"/>
                <w:color w:val="auto"/>
                <w:w w:val="97"/>
              </w:rPr>
              <w:t>•   No excise tax gross</w:t>
            </w:r>
            <w:r>
              <w:rPr>
                <w:rFonts w:ascii="MS PGothic" w:cs="MS PGothic" w:eastAsia="MS PGothic" w:hAnsi="MS PGothic"/>
                <w:sz w:val="18"/>
                <w:szCs w:val="18"/>
                <w:color w:val="auto"/>
                <w:w w:val="97"/>
              </w:rPr>
              <w:t>‑</w:t>
            </w:r>
            <w:r>
              <w:rPr>
                <w:rFonts w:ascii="Arial" w:cs="Arial" w:eastAsia="Arial" w:hAnsi="Arial"/>
                <w:sz w:val="18"/>
                <w:szCs w:val="18"/>
                <w:color w:val="auto"/>
                <w:w w:val="97"/>
              </w:rPr>
              <w:t>ups on change</w:t>
            </w:r>
            <w:r>
              <w:rPr>
                <w:rFonts w:ascii="MS PGothic" w:cs="MS PGothic" w:eastAsia="MS PGothic" w:hAnsi="MS PGothic"/>
                <w:sz w:val="18"/>
                <w:szCs w:val="18"/>
                <w:color w:val="auto"/>
                <w:w w:val="97"/>
              </w:rPr>
              <w:t>‑</w:t>
            </w:r>
            <w:r>
              <w:rPr>
                <w:rFonts w:ascii="Arial" w:cs="Arial" w:eastAsia="Arial" w:hAnsi="Arial"/>
                <w:sz w:val="18"/>
                <w:szCs w:val="18"/>
                <w:color w:val="auto"/>
                <w:w w:val="97"/>
              </w:rPr>
              <w:t>in</w:t>
            </w:r>
            <w:r>
              <w:rPr>
                <w:rFonts w:ascii="MS PGothic" w:cs="MS PGothic" w:eastAsia="MS PGothic" w:hAnsi="MS PGothic"/>
                <w:sz w:val="18"/>
                <w:szCs w:val="18"/>
                <w:color w:val="auto"/>
                <w:w w:val="97"/>
              </w:rPr>
              <w:t>‑</w:t>
            </w:r>
            <w:r>
              <w:rPr>
                <w:rFonts w:ascii="Arial" w:cs="Arial" w:eastAsia="Arial" w:hAnsi="Arial"/>
                <w:sz w:val="18"/>
                <w:szCs w:val="18"/>
                <w:color w:val="auto"/>
                <w:w w:val="97"/>
              </w:rPr>
              <w:t>control payments and no tax</w:t>
            </w:r>
          </w:p>
        </w:tc>
      </w:tr>
      <w:tr>
        <w:trPr>
          <w:trHeight w:val="223"/>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President and CEO’s compensation through equity</w:t>
            </w:r>
          </w:p>
        </w:tc>
        <w:tc>
          <w:tcPr>
            <w:tcW w:w="5780" w:type="dxa"/>
            <w:vAlign w:val="bottom"/>
            <w:shd w:val="clear" w:color="auto" w:fill="CCEEFF"/>
          </w:tcPr>
          <w:p>
            <w:pPr>
              <w:ind w:left="700"/>
              <w:spacing w:after="0" w:line="207" w:lineRule="exact"/>
              <w:rPr>
                <w:sz w:val="20"/>
                <w:szCs w:val="20"/>
                <w:color w:val="auto"/>
              </w:rPr>
            </w:pPr>
            <w:r>
              <w:rPr>
                <w:rFonts w:ascii="Arial" w:cs="Arial" w:eastAsia="Arial" w:hAnsi="Arial"/>
                <w:sz w:val="18"/>
                <w:szCs w:val="18"/>
                <w:color w:val="auto"/>
              </w:rPr>
              <w:t>gross</w:t>
            </w:r>
            <w:r>
              <w:rPr>
                <w:rFonts w:ascii="MS PGothic" w:cs="MS PGothic" w:eastAsia="MS PGothic" w:hAnsi="MS PGothic"/>
                <w:sz w:val="18"/>
                <w:szCs w:val="18"/>
                <w:color w:val="auto"/>
              </w:rPr>
              <w:t>‑</w:t>
            </w:r>
            <w:r>
              <w:rPr>
                <w:rFonts w:ascii="Arial" w:cs="Arial" w:eastAsia="Arial" w:hAnsi="Arial"/>
                <w:sz w:val="18"/>
                <w:szCs w:val="18"/>
                <w:color w:val="auto"/>
              </w:rPr>
              <w:t>ups on perquisites or benefits</w:t>
            </w:r>
          </w:p>
        </w:tc>
      </w:tr>
    </w:tbl>
    <w:p>
      <w:pPr>
        <w:ind w:left="660" w:hanging="320"/>
        <w:spacing w:after="0" w:line="21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large majority of our equity compensation for Senior Vice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4980" w:type="dxa"/>
            <w:vAlign w:val="bottom"/>
          </w:tcPr>
          <w:p>
            <w:pPr>
              <w:ind w:left="140"/>
              <w:spacing w:after="0" w:line="207" w:lineRule="exact"/>
              <w:rPr>
                <w:sz w:val="20"/>
                <w:szCs w:val="20"/>
                <w:color w:val="auto"/>
              </w:rPr>
            </w:pPr>
            <w:r>
              <w:rPr>
                <w:rFonts w:ascii="Arial" w:cs="Arial" w:eastAsia="Arial" w:hAnsi="Arial"/>
                <w:sz w:val="18"/>
                <w:szCs w:val="18"/>
                <w:color w:val="auto"/>
              </w:rPr>
              <w:t>Presidents and above is performance</w:t>
            </w:r>
            <w:r>
              <w:rPr>
                <w:rFonts w:ascii="MS PGothic" w:cs="MS PGothic" w:eastAsia="MS PGothic" w:hAnsi="MS PGothic"/>
                <w:sz w:val="18"/>
                <w:szCs w:val="18"/>
                <w:color w:val="auto"/>
              </w:rPr>
              <w:t>‑</w:t>
            </w:r>
            <w:r>
              <w:rPr>
                <w:rFonts w:ascii="Arial" w:cs="Arial" w:eastAsia="Arial" w:hAnsi="Arial"/>
                <w:sz w:val="18"/>
                <w:szCs w:val="18"/>
                <w:color w:val="auto"/>
              </w:rPr>
              <w:t>based</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4"/>
              </w:rPr>
              <w:t>•   No pledging or hedging of the Company’s stock by NEOs or directors</w:t>
            </w:r>
          </w:p>
        </w:tc>
        <w:tc>
          <w:tcPr>
            <w:tcW w:w="0" w:type="dxa"/>
            <w:vAlign w:val="bottom"/>
          </w:tcPr>
          <w:p>
            <w:pPr>
              <w:spacing w:after="0"/>
              <w:rPr>
                <w:sz w:val="1"/>
                <w:szCs w:val="1"/>
                <w:color w:val="auto"/>
              </w:rPr>
            </w:pPr>
          </w:p>
        </w:tc>
      </w:tr>
      <w:tr>
        <w:trPr>
          <w:trHeight w:val="172"/>
        </w:trPr>
        <w:tc>
          <w:tcPr>
            <w:tcW w:w="5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9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Target our peer group median for total direct compensation</w:t>
            </w:r>
          </w:p>
        </w:tc>
        <w:tc>
          <w:tcPr>
            <w:tcW w:w="5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w:t>
            </w:r>
          </w:p>
        </w:tc>
        <w:tc>
          <w:tcPr>
            <w:tcW w:w="52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89"/>
              </w:rPr>
              <w:t>No employment agreements for executive officers with the exception of</w:t>
            </w:r>
          </w:p>
        </w:tc>
        <w:tc>
          <w:tcPr>
            <w:tcW w:w="0" w:type="dxa"/>
            <w:vAlign w:val="bottom"/>
          </w:tcPr>
          <w:p>
            <w:pPr>
              <w:spacing w:after="0"/>
              <w:rPr>
                <w:sz w:val="1"/>
                <w:szCs w:val="1"/>
                <w:color w:val="auto"/>
              </w:rPr>
            </w:pPr>
          </w:p>
        </w:tc>
      </w:tr>
      <w:tr>
        <w:trPr>
          <w:trHeight w:val="223"/>
        </w:trPr>
        <w:tc>
          <w:tcPr>
            <w:tcW w:w="520" w:type="dxa"/>
            <w:vAlign w:val="bottom"/>
            <w:vMerge w:val="continue"/>
            <w:shd w:val="clear" w:color="auto" w:fill="CCEEFF"/>
          </w:tcPr>
          <w:p>
            <w:pPr>
              <w:spacing w:after="0"/>
              <w:rPr>
                <w:sz w:val="19"/>
                <w:szCs w:val="19"/>
                <w:color w:val="auto"/>
              </w:rPr>
            </w:pPr>
          </w:p>
        </w:tc>
        <w:tc>
          <w:tcPr>
            <w:tcW w:w="498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our President and CEO</w:t>
            </w:r>
          </w:p>
        </w:tc>
        <w:tc>
          <w:tcPr>
            <w:tcW w:w="0" w:type="dxa"/>
            <w:vAlign w:val="bottom"/>
          </w:tcPr>
          <w:p>
            <w:pPr>
              <w:spacing w:after="0"/>
              <w:rPr>
                <w:sz w:val="1"/>
                <w:szCs w:val="1"/>
                <w:color w:val="auto"/>
              </w:rPr>
            </w:pPr>
          </w:p>
        </w:tc>
      </w:tr>
      <w:tr>
        <w:trPr>
          <w:trHeight w:val="172"/>
        </w:trPr>
        <w:tc>
          <w:tcPr>
            <w:tcW w:w="520" w:type="dxa"/>
            <w:vAlign w:val="bottom"/>
          </w:tcPr>
          <w:p>
            <w:pPr>
              <w:ind w:left="340"/>
              <w:spacing w:after="0" w:line="172" w:lineRule="exact"/>
              <w:rPr>
                <w:sz w:val="20"/>
                <w:szCs w:val="20"/>
                <w:color w:val="auto"/>
              </w:rPr>
            </w:pPr>
            <w:r>
              <w:rPr>
                <w:rFonts w:ascii="Arial" w:cs="Arial" w:eastAsia="Arial" w:hAnsi="Arial"/>
                <w:sz w:val="18"/>
                <w:szCs w:val="18"/>
                <w:color w:val="auto"/>
              </w:rPr>
              <w:t>•</w:t>
            </w:r>
          </w:p>
        </w:tc>
        <w:tc>
          <w:tcPr>
            <w:tcW w:w="4980" w:type="dxa"/>
            <w:vAlign w:val="bottom"/>
          </w:tcPr>
          <w:p>
            <w:pPr>
              <w:ind w:left="140"/>
              <w:spacing w:after="0" w:line="172" w:lineRule="exact"/>
              <w:rPr>
                <w:sz w:val="20"/>
                <w:szCs w:val="20"/>
                <w:color w:val="auto"/>
              </w:rPr>
            </w:pPr>
            <w:r>
              <w:rPr>
                <w:rFonts w:ascii="Arial" w:cs="Arial" w:eastAsia="Arial" w:hAnsi="Arial"/>
                <w:sz w:val="18"/>
                <w:szCs w:val="18"/>
                <w:color w:val="auto"/>
                <w:w w:val="95"/>
              </w:rPr>
              <w:t>Require a double trigger for the acceleration of equity vesting in</w:t>
            </w:r>
          </w:p>
        </w:tc>
        <w:tc>
          <w:tcPr>
            <w:tcW w:w="5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5220" w:type="dxa"/>
            <w:vAlign w:val="bottom"/>
            <w:vMerge w:val="restart"/>
          </w:tcPr>
          <w:p>
            <w:pPr>
              <w:ind w:left="140"/>
              <w:spacing w:after="0"/>
              <w:rPr>
                <w:sz w:val="20"/>
                <w:szCs w:val="20"/>
                <w:color w:val="auto"/>
              </w:rPr>
            </w:pPr>
            <w:r>
              <w:rPr>
                <w:rFonts w:ascii="Arial" w:cs="Arial" w:eastAsia="Arial" w:hAnsi="Arial"/>
                <w:sz w:val="18"/>
                <w:szCs w:val="18"/>
                <w:color w:val="auto"/>
              </w:rPr>
              <w:t>No guaranteed bonus payments for our NEOs</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980" w:type="dxa"/>
            <w:vAlign w:val="bottom"/>
          </w:tcPr>
          <w:p>
            <w:pPr>
              <w:ind w:left="140"/>
              <w:spacing w:after="0" w:line="207" w:lineRule="exact"/>
              <w:rPr>
                <w:sz w:val="20"/>
                <w:szCs w:val="20"/>
                <w:color w:val="auto"/>
              </w:rPr>
            </w:pPr>
            <w:r>
              <w:rPr>
                <w:rFonts w:ascii="Arial" w:cs="Arial" w:eastAsia="Arial" w:hAnsi="Arial"/>
                <w:sz w:val="18"/>
                <w:szCs w:val="18"/>
                <w:color w:val="auto"/>
              </w:rPr>
              <w:t>connection with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tc>
        <w:tc>
          <w:tcPr>
            <w:tcW w:w="520" w:type="dxa"/>
            <w:vAlign w:val="bottom"/>
            <w:vMerge w:val="continue"/>
          </w:tcPr>
          <w:p>
            <w:pPr>
              <w:spacing w:after="0"/>
              <w:rPr>
                <w:sz w:val="19"/>
                <w:szCs w:val="19"/>
                <w:color w:val="auto"/>
              </w:rPr>
            </w:pPr>
          </w:p>
        </w:tc>
        <w:tc>
          <w:tcPr>
            <w:tcW w:w="5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5495" cy="251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251460"/>
                    </a:xfrm>
                    <a:prstGeom prst="rect">
                      <a:avLst/>
                    </a:prstGeom>
                    <a:noFill/>
                  </pic:spPr>
                </pic:pic>
              </a:graphicData>
            </a:graphic>
          </wp:anchor>
        </w:drawing>
      </w:r>
    </w:p>
    <w:p>
      <w:pPr>
        <w:ind w:left="660" w:hanging="32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 undue risk taking in our compensation practices and engage</w:t>
      </w:r>
    </w:p>
    <w:p>
      <w:pPr>
        <w:sectPr>
          <w:pgSz w:w="11900" w:h="16838" w:orient="portrait"/>
          <w:cols w:equalWidth="0" w:num="1">
            <w:col w:w="11240"/>
          </w:cols>
          <w:pgMar w:left="320" w:top="879"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Arial" w:cs="Arial" w:eastAsia="Arial" w:hAnsi="Arial"/>
          <w:sz w:val="18"/>
          <w:szCs w:val="18"/>
          <w:color w:val="auto"/>
        </w:rPr>
        <w:t>in robust risk monitoring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Include clawback policies in our compensation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133985</wp:posOffset>
            </wp:positionV>
            <wp:extent cx="7135495" cy="142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Arial" w:cs="Arial" w:eastAsia="Arial" w:hAnsi="Arial"/>
          <w:sz w:val="18"/>
          <w:szCs w:val="18"/>
          <w:color w:val="auto"/>
        </w:rPr>
        <w:t>No supplemental executive retirement plans</w:t>
      </w:r>
    </w:p>
    <w:p>
      <w:pPr>
        <w:spacing w:after="0" w:line="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 re</w:t>
      </w:r>
      <w:r>
        <w:rPr>
          <w:rFonts w:ascii="MS PGothic" w:cs="MS PGothic" w:eastAsia="MS PGothic" w:hAnsi="MS PGothic"/>
          <w:sz w:val="16"/>
          <w:szCs w:val="16"/>
          <w:color w:val="auto"/>
        </w:rPr>
        <w:t>‑</w:t>
      </w:r>
      <w:r>
        <w:rPr>
          <w:rFonts w:ascii="Arial" w:cs="Arial" w:eastAsia="Arial" w:hAnsi="Arial"/>
          <w:sz w:val="16"/>
          <w:szCs w:val="16"/>
          <w:color w:val="auto"/>
        </w:rPr>
        <w:t>pricing of underwater stock options and no stock option grants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an exercise price below 100% of fair market value</w:t>
      </w:r>
    </w:p>
    <w:p>
      <w:pPr>
        <w:spacing w:after="0" w:line="3" w:lineRule="exact"/>
        <w:rPr>
          <w:sz w:val="20"/>
          <w:szCs w:val="20"/>
          <w:color w:val="auto"/>
        </w:rPr>
      </w:pPr>
    </w:p>
    <w:p>
      <w:pPr>
        <w:sectPr>
          <w:pgSz w:w="11900" w:h="16838" w:orient="portrait"/>
          <w:cols w:equalWidth="0" w:num="4">
            <w:col w:w="400" w:space="260"/>
            <w:col w:w="4460" w:space="720"/>
            <w:col w:w="60" w:space="260"/>
            <w:col w:w="5080"/>
          </w:cols>
          <w:pgMar w:left="320" w:top="879" w:right="339" w:bottom="1440" w:gutter="0" w:footer="0" w:header="0"/>
          <w:type w:val="continuous"/>
        </w:sectPr>
      </w:pPr>
    </w:p>
    <w:p>
      <w:pPr>
        <w:ind w:left="660" w:hanging="32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robust stock ownership guidelines for our NEOs</w:t>
      </w:r>
    </w:p>
    <w:p>
      <w:pPr>
        <w:spacing w:after="0" w:line="17" w:lineRule="exact"/>
        <w:rPr>
          <w:rFonts w:ascii="Arial" w:cs="Arial" w:eastAsia="Arial" w:hAnsi="Arial"/>
          <w:sz w:val="18"/>
          <w:szCs w:val="18"/>
          <w:color w:val="auto"/>
        </w:rPr>
      </w:pPr>
    </w:p>
    <w:p>
      <w:pPr>
        <w:ind w:left="660" w:hanging="320"/>
        <w:spacing w:after="0" w:line="207" w:lineRule="exact"/>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market</w:t>
      </w:r>
      <w:r>
        <w:rPr>
          <w:rFonts w:ascii="MS PGothic" w:cs="MS PGothic" w:eastAsia="MS PGothic" w:hAnsi="MS PGothic"/>
          <w:sz w:val="18"/>
          <w:szCs w:val="18"/>
          <w:color w:val="auto"/>
        </w:rPr>
        <w:t>‑</w:t>
      </w:r>
      <w:r>
        <w:rPr>
          <w:rFonts w:ascii="Arial" w:cs="Arial" w:eastAsia="Arial" w:hAnsi="Arial"/>
          <w:sz w:val="18"/>
          <w:szCs w:val="18"/>
          <w:color w:val="auto"/>
        </w:rPr>
        <w:t>level retirement benefits and limited perquisites</w:t>
      </w:r>
    </w:p>
    <w:p>
      <w:pPr>
        <w:spacing w:after="0" w:line="17" w:lineRule="exact"/>
        <w:rPr>
          <w:rFonts w:ascii="Arial" w:cs="Arial" w:eastAsia="Arial" w:hAnsi="Arial"/>
          <w:sz w:val="18"/>
          <w:szCs w:val="18"/>
          <w:color w:val="auto"/>
        </w:rPr>
      </w:pPr>
    </w:p>
    <w:p>
      <w:pPr>
        <w:jc w:val="both"/>
        <w:ind w:left="660" w:right="5900" w:hanging="320"/>
        <w:spacing w:after="0" w:line="218" w:lineRule="auto"/>
        <w:tabs>
          <w:tab w:leader="none" w:pos="6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an independent compensation consultant to provide advice to the Compensation Committee with respect to our compensation program</w:t>
      </w:r>
    </w:p>
    <w:p>
      <w:pPr>
        <w:spacing w:after="0" w:line="3" w:lineRule="exact"/>
        <w:rPr>
          <w:rFonts w:ascii="Arial" w:cs="Arial" w:eastAsia="Arial" w:hAnsi="Arial"/>
          <w:sz w:val="18"/>
          <w:szCs w:val="18"/>
          <w:color w:val="auto"/>
        </w:rPr>
      </w:pPr>
    </w:p>
    <w:p>
      <w:pPr>
        <w:ind w:left="660" w:hanging="32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 an 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-491490</wp:posOffset>
            </wp:positionV>
            <wp:extent cx="7135495" cy="360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3600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and Company Performance</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execution of the Company’s business strategy produced the following results in 2021:</w:t>
      </w:r>
    </w:p>
    <w:p>
      <w:pPr>
        <w:spacing w:after="0" w:line="162" w:lineRule="exact"/>
        <w:rPr>
          <w:sz w:val="20"/>
          <w:szCs w:val="20"/>
          <w:color w:val="auto"/>
        </w:rPr>
      </w:pPr>
    </w:p>
    <w:p>
      <w:pPr>
        <w:ind w:left="640" w:hanging="318"/>
        <w:spacing w:after="0" w:line="325" w:lineRule="auto"/>
        <w:tabs>
          <w:tab w:leader="none" w:pos="6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Raised approximately $1.61 billion in new capital formation for growth investments and liability management, which included corporate level debt and equity financings, the optimization of non-recourse project level debt, and the recycling of non-strategic assets</w:t>
      </w:r>
    </w:p>
    <w:p>
      <w:pPr>
        <w:spacing w:after="0" w:line="29" w:lineRule="exact"/>
        <w:rPr>
          <w:rFonts w:ascii="Arial" w:cs="Arial" w:eastAsia="Arial" w:hAnsi="Arial"/>
          <w:sz w:val="16"/>
          <w:szCs w:val="16"/>
          <w:color w:val="auto"/>
        </w:rPr>
      </w:pPr>
    </w:p>
    <w:p>
      <w:pPr>
        <w:ind w:left="640" w:hanging="31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Invested or committed approximately $165 million in new growth investments with CEG</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Closed the acquisition of an additional 35% equity interest in the Agua Caliente solar project from NRG Energy, Inc., for $202 million</w:t>
      </w:r>
    </w:p>
    <w:p>
      <w:pPr>
        <w:spacing w:after="0" w:line="103" w:lineRule="exact"/>
        <w:rPr>
          <w:rFonts w:ascii="Arial" w:cs="Arial" w:eastAsia="Arial" w:hAnsi="Arial"/>
          <w:sz w:val="18"/>
          <w:szCs w:val="18"/>
          <w:color w:val="auto"/>
        </w:rPr>
      </w:pPr>
    </w:p>
    <w:p>
      <w:pPr>
        <w:ind w:left="640" w:hanging="318"/>
        <w:spacing w:after="0"/>
        <w:tabs>
          <w:tab w:leader="none" w:pos="640" w:val="left"/>
        </w:tabs>
        <w:numPr>
          <w:ilvl w:val="0"/>
          <w:numId w:val="34"/>
        </w:numPr>
        <w:rPr>
          <w:rFonts w:ascii="Arial" w:cs="Arial" w:eastAsia="Arial" w:hAnsi="Arial"/>
          <w:sz w:val="21"/>
          <w:szCs w:val="21"/>
          <w:color w:val="auto"/>
        </w:rPr>
      </w:pPr>
      <w:r>
        <w:rPr>
          <w:rFonts w:ascii="Arial" w:cs="Arial" w:eastAsia="Arial" w:hAnsi="Arial"/>
          <w:sz w:val="18"/>
          <w:szCs w:val="18"/>
          <w:color w:val="auto"/>
        </w:rPr>
        <w:t>Entered into an agreement to sell its Thermal Business to KKR, which sale is expected to close in the first half of 2022</w:t>
      </w:r>
    </w:p>
    <w:p>
      <w:pPr>
        <w:spacing w:after="0" w:line="75" w:lineRule="exact"/>
        <w:rPr>
          <w:rFonts w:ascii="Arial" w:cs="Arial" w:eastAsia="Arial" w:hAnsi="Arial"/>
          <w:sz w:val="21"/>
          <w:szCs w:val="21"/>
          <w:color w:val="auto"/>
        </w:rPr>
      </w:pPr>
    </w:p>
    <w:p>
      <w:pPr>
        <w:ind w:left="640" w:hanging="318"/>
        <w:spacing w:after="0"/>
        <w:tabs>
          <w:tab w:leader="none" w:pos="640" w:val="left"/>
        </w:tabs>
        <w:numPr>
          <w:ilvl w:val="0"/>
          <w:numId w:val="34"/>
        </w:numPr>
        <w:rPr>
          <w:rFonts w:ascii="Arial" w:cs="Arial" w:eastAsia="Arial" w:hAnsi="Arial"/>
          <w:sz w:val="21"/>
          <w:szCs w:val="21"/>
          <w:color w:val="auto"/>
        </w:rPr>
      </w:pPr>
      <w:r>
        <w:rPr>
          <w:rFonts w:ascii="Arial" w:cs="Arial" w:eastAsia="Arial" w:hAnsi="Arial"/>
          <w:sz w:val="18"/>
          <w:szCs w:val="18"/>
          <w:color w:val="auto"/>
        </w:rPr>
        <w:t>Closed the acquisition of Rattlesnake, Mesquite Sky and Black Rock wind projects from CEG</w:t>
      </w:r>
    </w:p>
    <w:p>
      <w:pPr>
        <w:spacing w:after="0" w:line="75" w:lineRule="exact"/>
        <w:rPr>
          <w:rFonts w:ascii="Arial" w:cs="Arial" w:eastAsia="Arial" w:hAnsi="Arial"/>
          <w:sz w:val="21"/>
          <w:szCs w:val="21"/>
          <w:color w:val="auto"/>
        </w:rPr>
      </w:pPr>
    </w:p>
    <w:p>
      <w:pPr>
        <w:ind w:left="640" w:hanging="318"/>
        <w:spacing w:after="0"/>
        <w:tabs>
          <w:tab w:leader="none" w:pos="640" w:val="left"/>
        </w:tabs>
        <w:numPr>
          <w:ilvl w:val="0"/>
          <w:numId w:val="34"/>
        </w:numPr>
        <w:rPr>
          <w:rFonts w:ascii="Arial" w:cs="Arial" w:eastAsia="Arial" w:hAnsi="Arial"/>
          <w:sz w:val="21"/>
          <w:szCs w:val="21"/>
          <w:color w:val="auto"/>
        </w:rPr>
      </w:pPr>
      <w:r>
        <w:rPr>
          <w:rFonts w:ascii="Arial" w:cs="Arial" w:eastAsia="Arial" w:hAnsi="Arial"/>
          <w:sz w:val="18"/>
          <w:szCs w:val="18"/>
          <w:color w:val="auto"/>
        </w:rPr>
        <w:t>Completed the repowering of the Pinnacle Wind Farm</w:t>
      </w:r>
    </w:p>
    <w:p>
      <w:pPr>
        <w:spacing w:after="0" w:line="93" w:lineRule="exact"/>
        <w:rPr>
          <w:rFonts w:ascii="Arial" w:cs="Arial" w:eastAsia="Arial" w:hAnsi="Arial"/>
          <w:sz w:val="21"/>
          <w:szCs w:val="21"/>
          <w:color w:val="auto"/>
        </w:rPr>
      </w:pPr>
    </w:p>
    <w:p>
      <w:pPr>
        <w:ind w:left="640" w:right="100" w:hanging="318"/>
        <w:spacing w:after="0" w:line="217"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Signed and closed acquisitions of an additional 50% equity interest in Utah Solar from Dominion Energy for $335 million and a 100% equity interest in Mt. Storm Wind from Castleton Commodities International for $96 million</w:t>
      </w:r>
    </w:p>
    <w:p>
      <w:pPr>
        <w:spacing w:after="0" w:line="56" w:lineRule="exact"/>
        <w:rPr>
          <w:rFonts w:ascii="Arial" w:cs="Arial" w:eastAsia="Arial" w:hAnsi="Arial"/>
          <w:sz w:val="21"/>
          <w:szCs w:val="21"/>
          <w:color w:val="auto"/>
        </w:rPr>
      </w:pPr>
    </w:p>
    <w:p>
      <w:pPr>
        <w:ind w:left="640" w:hanging="31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Entered into resource adequacy contracts at Marsh Landing and Walnut Creek to extend the contracted term of both assets</w:t>
      </w:r>
    </w:p>
    <w:p>
      <w:pPr>
        <w:spacing w:after="0" w:line="83"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Such results were taken into account by the Compensation Committee in making determinations with respect to the compensation for our NEOs under the 2021 compensation program.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Executive Compensation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Named Executive Officers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This CD&amp;A describes the material components of our compensation program for our NEOs in 2021. For the year ending December 31, 2021, our NEOs included the following individuals: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NEO</w:t>
            </w:r>
          </w:p>
        </w:tc>
        <w:tc>
          <w:tcPr>
            <w:tcW w:w="100" w:type="dxa"/>
            <w:vAlign w:val="bottom"/>
            <w:tcBorders>
              <w:bottom w:val="single" w:sz="8" w:color="CCEEFF"/>
            </w:tcBorders>
          </w:tcPr>
          <w:p>
            <w:pPr>
              <w:spacing w:after="0"/>
              <w:rPr>
                <w:sz w:val="16"/>
                <w:szCs w:val="16"/>
                <w:color w:val="auto"/>
              </w:rPr>
            </w:pPr>
          </w:p>
        </w:tc>
        <w:tc>
          <w:tcPr>
            <w:tcW w:w="6880" w:type="dxa"/>
            <w:vAlign w:val="bottom"/>
            <w:tcBorders>
              <w:bottom w:val="single" w:sz="8" w:color="auto"/>
            </w:tcBorders>
          </w:tcPr>
          <w:p>
            <w:pPr>
              <w:ind w:left="3140"/>
              <w:spacing w:after="0"/>
              <w:rPr>
                <w:sz w:val="20"/>
                <w:szCs w:val="20"/>
                <w:color w:val="auto"/>
              </w:rPr>
            </w:pPr>
            <w:r>
              <w:rPr>
                <w:rFonts w:ascii="Arial" w:cs="Arial" w:eastAsia="Arial" w:hAnsi="Arial"/>
                <w:sz w:val="14"/>
                <w:szCs w:val="14"/>
                <w:b w:val="1"/>
                <w:bCs w:val="1"/>
                <w:color w:val="auto"/>
              </w:rPr>
              <w:t>2021 Title</w:t>
            </w:r>
          </w:p>
        </w:tc>
      </w:tr>
      <w:tr>
        <w:trPr>
          <w:trHeight w:val="223"/>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Christopher S. Sotos</w:t>
            </w: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Chad Plotkin</w:t>
            </w:r>
          </w:p>
        </w:tc>
        <w:tc>
          <w:tcPr>
            <w:tcW w:w="68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25"/>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Kevin P. Malcarney</w:t>
            </w: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Goals and Objectives of the Program</w:t>
      </w:r>
    </w:p>
    <w:p>
      <w:pPr>
        <w:spacing w:after="0" w:line="136"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41" w:lineRule="exact"/>
        <w:rPr>
          <w:sz w:val="20"/>
          <w:szCs w:val="20"/>
          <w:color w:val="auto"/>
        </w:rPr>
      </w:pPr>
    </w:p>
    <w:p>
      <w:pPr>
        <w:ind w:left="640" w:hanging="318"/>
        <w:spacing w:after="0" w:line="262"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closely aligns our executive compensation with stockholder value creation, avoiding plans that encourage executives to take excessive risk, while driving long-term value to stockholders;</w:t>
      </w:r>
    </w:p>
    <w:p>
      <w:pPr>
        <w:spacing w:after="0" w:line="75"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supports the Company’s long-term business strategy, while rewarding our executive team for their individual accomplishments with tailored individual executive compensation metrics and incentives; and</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aligning with market standards for compensation.</w:t>
      </w:r>
    </w:p>
    <w:p>
      <w:pPr>
        <w:spacing w:after="0" w:line="228"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Process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2021. As part of its work with the Compensation Committee, Pay Governance provided reports to the Compensation Committee containing research, market data, survey information and information regarding trends and developments in executive and director compensation. Pay Governance reported directly to the Compensation Committee. Neither Pay Governance, nor any of their affiliates provided any other services for us or any of our affiliates in 2021.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Peer Group Analysis</w:t>
      </w:r>
    </w:p>
    <w:p>
      <w:pPr>
        <w:spacing w:after="0" w:line="162"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6"/>
          <w:szCs w:val="16"/>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w:t>
      </w:r>
      <w:r>
        <w:rPr>
          <w:rFonts w:ascii="MS PGothic" w:cs="MS PGothic" w:eastAsia="MS PGothic" w:hAnsi="MS PGothic"/>
          <w:sz w:val="16"/>
          <w:szCs w:val="16"/>
          <w:color w:val="auto"/>
        </w:rPr>
        <w:t>‑</w:t>
      </w:r>
      <w:r>
        <w:rPr>
          <w:rFonts w:ascii="Arial" w:cs="Arial" w:eastAsia="Arial" w:hAnsi="Arial"/>
          <w:sz w:val="16"/>
          <w:szCs w:val="16"/>
          <w:color w:val="auto"/>
        </w:rPr>
        <w:t>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2021 (the “Compensation Peer Group”).</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5" w:name="page66"/>
    <w:bookmarkEnd w:id="65"/>
    <w:p>
      <w:pPr>
        <w:ind w:left="400"/>
        <w:spacing w:after="0"/>
        <w:rPr>
          <w:sz w:val="20"/>
          <w:szCs w:val="20"/>
          <w:color w:val="auto"/>
        </w:rPr>
      </w:pPr>
      <w:r>
        <w:rPr>
          <w:rFonts w:ascii="Arial" w:cs="Arial" w:eastAsia="Arial" w:hAnsi="Arial"/>
          <w:sz w:val="16"/>
          <w:szCs w:val="16"/>
          <w:color w:val="auto"/>
        </w:rPr>
        <w:t>For these purposes, the Compensation Peer Group, comprised of similarly sized publicly-owned energy and utility companies, is identified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Ticker</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Ticker</w:t>
            </w:r>
          </w:p>
        </w:tc>
      </w:tr>
      <w:tr>
        <w:trPr>
          <w:trHeight w:val="223"/>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Algonquin Power &amp; Utilities Corp.</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NYSE: AQN</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Northland Power Inc.</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TSX: NPI</w:t>
            </w:r>
          </w:p>
        </w:tc>
      </w:tr>
      <w:tr>
        <w:trPr>
          <w:trHeight w:val="224"/>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Black Hills Corporation</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NYSE: BKH</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NorthWestern Corporation</w:t>
            </w:r>
          </w:p>
        </w:tc>
        <w:tc>
          <w:tcPr>
            <w:tcW w:w="2740" w:type="dxa"/>
            <w:vAlign w:val="bottom"/>
          </w:tcPr>
          <w:p>
            <w:pPr>
              <w:ind w:left="20"/>
              <w:spacing w:after="0"/>
              <w:rPr>
                <w:sz w:val="20"/>
                <w:szCs w:val="20"/>
                <w:color w:val="auto"/>
              </w:rPr>
            </w:pPr>
            <w:r>
              <w:rPr>
                <w:rFonts w:ascii="Arial" w:cs="Arial" w:eastAsia="Arial" w:hAnsi="Arial"/>
                <w:sz w:val="18"/>
                <w:szCs w:val="18"/>
                <w:color w:val="auto"/>
              </w:rPr>
              <w:t>NYSE: NWE</w:t>
            </w:r>
          </w:p>
        </w:tc>
      </w:tr>
      <w:tr>
        <w:trPr>
          <w:trHeight w:val="238"/>
        </w:trPr>
        <w:tc>
          <w:tcPr>
            <w:tcW w:w="3560" w:type="dxa"/>
            <w:vAlign w:val="bottom"/>
            <w:gridSpan w:val="2"/>
            <w:shd w:val="clear" w:color="auto" w:fill="CCEEFF"/>
          </w:tcPr>
          <w:p>
            <w:pPr>
              <w:ind w:left="140"/>
              <w:spacing w:after="0" w:line="238" w:lineRule="exact"/>
              <w:rPr>
                <w:sz w:val="20"/>
                <w:szCs w:val="20"/>
                <w:color w:val="auto"/>
              </w:rPr>
            </w:pPr>
            <w:r>
              <w:rPr>
                <w:rFonts w:ascii="Arial" w:cs="Arial" w:eastAsia="Arial" w:hAnsi="Arial"/>
                <w:sz w:val="18"/>
                <w:szCs w:val="18"/>
                <w:color w:val="auto"/>
              </w:rPr>
              <w:t>Covanta Holding Corporation</w:t>
            </w:r>
            <w:r>
              <w:rPr>
                <w:rFonts w:ascii="Arial" w:cs="Arial" w:eastAsia="Arial" w:hAnsi="Arial"/>
                <w:sz w:val="22"/>
                <w:szCs w:val="22"/>
                <w:color w:val="auto"/>
                <w:vertAlign w:val="superscript"/>
              </w:rPr>
              <w:t>(1)</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NYSE: CVA</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Ormat Technologies, Inc.</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NYSE: ORA</w:t>
            </w:r>
          </w:p>
        </w:tc>
      </w:tr>
      <w:tr>
        <w:trPr>
          <w:trHeight w:val="224"/>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Genesis Energy, L.P.</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NYSE: GEL</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South Jersey Industries, Inc.</w:t>
            </w:r>
          </w:p>
        </w:tc>
        <w:tc>
          <w:tcPr>
            <w:tcW w:w="2740" w:type="dxa"/>
            <w:vAlign w:val="bottom"/>
          </w:tcPr>
          <w:p>
            <w:pPr>
              <w:ind w:left="20"/>
              <w:spacing w:after="0"/>
              <w:rPr>
                <w:sz w:val="20"/>
                <w:szCs w:val="20"/>
                <w:color w:val="auto"/>
              </w:rPr>
            </w:pPr>
            <w:r>
              <w:rPr>
                <w:rFonts w:ascii="Arial" w:cs="Arial" w:eastAsia="Arial" w:hAnsi="Arial"/>
                <w:sz w:val="18"/>
                <w:szCs w:val="18"/>
                <w:color w:val="auto"/>
              </w:rPr>
              <w:t>NYSE: SJI</w:t>
            </w:r>
          </w:p>
        </w:tc>
      </w:tr>
      <w:tr>
        <w:trPr>
          <w:trHeight w:val="225"/>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Innergex Renewable Energy Inc.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TSX: INE</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Suburban Propane Partners, L.P.</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NYSE:SPH</w:t>
            </w:r>
          </w:p>
        </w:tc>
      </w:tr>
      <w:tr>
        <w:trPr>
          <w:trHeight w:val="223"/>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MGE Energy, Inc.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NASDAQ: MGEE</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TransAltaCorporation.</w:t>
            </w:r>
          </w:p>
        </w:tc>
        <w:tc>
          <w:tcPr>
            <w:tcW w:w="2740" w:type="dxa"/>
            <w:vAlign w:val="bottom"/>
          </w:tcPr>
          <w:p>
            <w:pPr>
              <w:ind w:left="20"/>
              <w:spacing w:after="0"/>
              <w:rPr>
                <w:sz w:val="20"/>
                <w:szCs w:val="20"/>
                <w:color w:val="auto"/>
              </w:rPr>
            </w:pPr>
            <w:r>
              <w:rPr>
                <w:rFonts w:ascii="Arial" w:cs="Arial" w:eastAsia="Arial" w:hAnsi="Arial"/>
                <w:sz w:val="18"/>
                <w:szCs w:val="18"/>
                <w:color w:val="auto"/>
              </w:rPr>
              <w:t>NYSE:TAC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38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26" w:lineRule="exact"/>
        <w:rPr>
          <w:sz w:val="20"/>
          <w:szCs w:val="20"/>
          <w:color w:val="auto"/>
        </w:rPr>
      </w:pPr>
    </w:p>
    <w:p>
      <w:pPr>
        <w:jc w:val="both"/>
        <w:ind w:firstLine="6"/>
        <w:spacing w:after="0" w:line="249" w:lineRule="auto"/>
        <w:tabs>
          <w:tab w:leader="none" w:pos="2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Covanta Holding Corporation was acquired by the EQT Infrastructure V Fund in November 2021 and was delisted, but was included by Pay Governance as part of its 2021 compensation benchmarking analysis. Accordingly, Covanta Holding Corporation is included in the Compensation Peer Group for 2021 but will not be part of the Compensation Peer Group for 2022 or going forward.</w:t>
      </w:r>
    </w:p>
    <w:p>
      <w:pPr>
        <w:spacing w:after="0" w:line="296" w:lineRule="exact"/>
        <w:rPr>
          <w:sz w:val="20"/>
          <w:szCs w:val="20"/>
          <w:color w:val="auto"/>
        </w:rPr>
      </w:pPr>
    </w:p>
    <w:p>
      <w:pPr>
        <w:jc w:val="both"/>
        <w:ind w:firstLine="396"/>
        <w:spacing w:after="0" w:line="235" w:lineRule="auto"/>
        <w:rPr>
          <w:sz w:val="20"/>
          <w:szCs w:val="20"/>
          <w:color w:val="auto"/>
        </w:rPr>
      </w:pPr>
      <w:r>
        <w:rPr>
          <w:rFonts w:ascii="Arial" w:cs="Arial" w:eastAsia="Arial" w:hAnsi="Arial"/>
          <w:sz w:val="18"/>
          <w:szCs w:val="18"/>
          <w:color w:val="auto"/>
        </w:rPr>
        <w:t>For the purposes of determining appropriate NEO pay levels for 2021,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the Compensation Committee discussions regarding their own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62"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Messrs. Sotos, Plotkin and Malcarney received base salary increases in 2021 based on their performance and peer group benchmarking. The base salary for each NEO for fiscal year 2021 is set forth below:</w:t>
      </w:r>
    </w:p>
    <w:tbl>
      <w:tblPr>
        <w:tblLayout w:type="fixed"/>
        <w:tblInd w:w="0" w:type="dxa"/>
        <w:tblCellMar>
          <w:top w:w="0" w:type="dxa"/>
          <w:left w:w="0" w:type="dxa"/>
          <w:bottom w:w="0" w:type="dxa"/>
          <w:right w:w="0" w:type="dxa"/>
        </w:tblCellMar>
      </w:tblPr>
      <w:tr>
        <w:trPr>
          <w:trHeight w:val="146"/>
        </w:trPr>
        <w:tc>
          <w:tcPr>
            <w:tcW w:w="21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240"/>
              <w:spacing w:after="0" w:line="146" w:lineRule="exact"/>
              <w:rPr>
                <w:sz w:val="20"/>
                <w:szCs w:val="20"/>
                <w:color w:val="auto"/>
              </w:rPr>
            </w:pPr>
            <w:r>
              <w:rPr>
                <w:rFonts w:ascii="Arial" w:cs="Arial" w:eastAsia="Arial" w:hAnsi="Arial"/>
                <w:sz w:val="14"/>
                <w:szCs w:val="14"/>
                <w:b w:val="1"/>
                <w:bCs w:val="1"/>
                <w:color w:val="auto"/>
              </w:rPr>
              <w:t>2021 Annualized</w:t>
            </w:r>
          </w:p>
        </w:tc>
        <w:tc>
          <w:tcPr>
            <w:tcW w:w="1760" w:type="dxa"/>
            <w:vAlign w:val="bottom"/>
          </w:tcPr>
          <w:p>
            <w:pPr>
              <w:jc w:val="right"/>
              <w:ind w:right="199"/>
              <w:spacing w:after="0" w:line="146" w:lineRule="exact"/>
              <w:rPr>
                <w:sz w:val="20"/>
                <w:szCs w:val="20"/>
                <w:color w:val="auto"/>
              </w:rPr>
            </w:pPr>
            <w:r>
              <w:rPr>
                <w:rFonts w:ascii="Arial" w:cs="Arial" w:eastAsia="Arial" w:hAnsi="Arial"/>
                <w:sz w:val="14"/>
                <w:szCs w:val="14"/>
                <w:b w:val="1"/>
                <w:bCs w:val="1"/>
                <w:color w:val="auto"/>
              </w:rPr>
              <w:t>Percentage Increase</w:t>
            </w:r>
          </w:p>
        </w:tc>
      </w:tr>
      <w:tr>
        <w:trPr>
          <w:trHeight w:val="223"/>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Base Salary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Over 2020 (%)</w:t>
            </w:r>
            <w:r>
              <w:rPr>
                <w:rFonts w:ascii="Arial" w:cs="Arial" w:eastAsia="Arial" w:hAnsi="Arial"/>
                <w:sz w:val="18"/>
                <w:szCs w:val="18"/>
                <w:b w:val="1"/>
                <w:bCs w:val="1"/>
                <w:color w:val="auto"/>
                <w:vertAlign w:val="superscript"/>
              </w:rPr>
              <w:t>(2)</w:t>
            </w:r>
          </w:p>
        </w:tc>
      </w:tr>
      <w:tr>
        <w:trPr>
          <w:trHeight w:val="217"/>
        </w:trPr>
        <w:tc>
          <w:tcPr>
            <w:tcW w:w="7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Chad Plotkin</w:t>
            </w:r>
          </w:p>
        </w:tc>
        <w:tc>
          <w:tcPr>
            <w:tcW w:w="1480" w:type="dxa"/>
            <w:vAlign w:val="bottom"/>
          </w:tcPr>
          <w:p>
            <w:pPr>
              <w:jc w:val="right"/>
              <w:spacing w:after="0"/>
              <w:rPr>
                <w:sz w:val="20"/>
                <w:szCs w:val="20"/>
                <w:color w:val="auto"/>
              </w:rPr>
            </w:pPr>
            <w:r>
              <w:rPr>
                <w:rFonts w:ascii="Arial" w:cs="Arial" w:eastAsia="Arial" w:hAnsi="Arial"/>
                <w:sz w:val="18"/>
                <w:szCs w:val="18"/>
                <w:color w:val="auto"/>
              </w:rPr>
              <w:t>391,400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158"/>
        </w:trPr>
        <w:tc>
          <w:tcPr>
            <w:tcW w:w="2180" w:type="dxa"/>
            <w:vAlign w:val="bottom"/>
            <w:tcBorders>
              <w:bottom w:val="single" w:sz="8" w:color="auto"/>
            </w:tcBorders>
          </w:tcPr>
          <w:p>
            <w:pPr>
              <w:spacing w:after="0"/>
              <w:rPr>
                <w:sz w:val="13"/>
                <w:szCs w:val="13"/>
                <w:color w:val="auto"/>
              </w:rPr>
            </w:pPr>
          </w:p>
        </w:tc>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113" w:lineRule="exact"/>
        <w:rPr>
          <w:sz w:val="20"/>
          <w:szCs w:val="20"/>
          <w:color w:val="auto"/>
        </w:rPr>
      </w:pPr>
    </w:p>
    <w:p>
      <w:pPr>
        <w:ind w:left="200" w:hanging="194"/>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Actual 2021 base salary earnings are presented in the Summary Compensation Table.</w:t>
      </w:r>
    </w:p>
    <w:p>
      <w:pPr>
        <w:spacing w:after="0" w:line="23" w:lineRule="exact"/>
        <w:rPr>
          <w:rFonts w:ascii="Arial" w:cs="Arial" w:eastAsia="Arial" w:hAnsi="Arial"/>
          <w:sz w:val="14"/>
          <w:szCs w:val="14"/>
          <w:color w:val="auto"/>
        </w:rPr>
      </w:pPr>
    </w:p>
    <w:p>
      <w:pPr>
        <w:ind w:left="200" w:hanging="194"/>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compared to the December 31, 2020 annualized base salary.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Annual Incentive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2" w:lineRule="exact"/>
        <w:rPr>
          <w:sz w:val="20"/>
          <w:szCs w:val="20"/>
          <w:color w:val="auto"/>
        </w:rPr>
      </w:pPr>
    </w:p>
    <w:p>
      <w:pPr>
        <w:jc w:val="both"/>
        <w:ind w:right="100" w:firstLine="396"/>
        <w:spacing w:after="0" w:line="283" w:lineRule="auto"/>
        <w:rPr>
          <w:sz w:val="20"/>
          <w:szCs w:val="20"/>
          <w:color w:val="auto"/>
        </w:rPr>
      </w:pPr>
      <w:r>
        <w:rPr>
          <w:rFonts w:ascii="Arial" w:cs="Arial" w:eastAsia="Arial" w:hAnsi="Arial"/>
          <w:sz w:val="16"/>
          <w:szCs w:val="16"/>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2021 relate to the following three areas: (a) CAFD, (b) key performance milestones, and (c) achievement of the Thermal Plan (as described below).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17" w:lineRule="exact"/>
        <w:rPr>
          <w:sz w:val="20"/>
          <w:szCs w:val="20"/>
          <w:color w:val="auto"/>
        </w:rPr>
      </w:pPr>
    </w:p>
    <w:p>
      <w:pPr>
        <w:jc w:val="both"/>
        <w:ind w:right="100" w:firstLine="396"/>
        <w:spacing w:after="0" w:line="300" w:lineRule="auto"/>
        <w:rPr>
          <w:sz w:val="20"/>
          <w:szCs w:val="20"/>
          <w:color w:val="auto"/>
        </w:rPr>
      </w:pPr>
      <w:r>
        <w:rPr>
          <w:rFonts w:ascii="Arial" w:cs="Arial" w:eastAsia="Arial" w:hAnsi="Arial"/>
          <w:sz w:val="16"/>
          <w:szCs w:val="16"/>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2021 was not achieved with respect to one of the AIP performance metrics, no AIP bonuses would have been payable for that component for 2021.</w:t>
      </w:r>
    </w:p>
    <w:p>
      <w:pPr>
        <w:spacing w:after="0" w:line="101" w:lineRule="exact"/>
        <w:rPr>
          <w:sz w:val="20"/>
          <w:szCs w:val="20"/>
          <w:color w:val="auto"/>
        </w:rPr>
      </w:pPr>
    </w:p>
    <w:p>
      <w:pPr>
        <w:jc w:val="both"/>
        <w:ind w:right="100" w:firstLine="396"/>
        <w:spacing w:after="0" w:line="325" w:lineRule="auto"/>
        <w:rPr>
          <w:sz w:val="20"/>
          <w:szCs w:val="20"/>
          <w:color w:val="auto"/>
        </w:rPr>
      </w:pPr>
      <w:r>
        <w:rPr>
          <w:rFonts w:ascii="Arial" w:cs="Arial" w:eastAsia="Arial" w:hAnsi="Arial"/>
          <w:sz w:val="16"/>
          <w:szCs w:val="16"/>
          <w:color w:val="auto"/>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AIP Bonus Performance Criteria</w:t>
      </w:r>
    </w:p>
    <w:p>
      <w:pPr>
        <w:spacing w:after="0" w:line="162" w:lineRule="exact"/>
        <w:rPr>
          <w:sz w:val="20"/>
          <w:szCs w:val="20"/>
          <w:color w:val="auto"/>
        </w:rPr>
      </w:pPr>
    </w:p>
    <w:p>
      <w:pPr>
        <w:jc w:val="both"/>
        <w:ind w:right="100" w:firstLine="396"/>
        <w:spacing w:after="0" w:line="325" w:lineRule="auto"/>
        <w:rPr>
          <w:sz w:val="20"/>
          <w:szCs w:val="20"/>
          <w:color w:val="auto"/>
        </w:rPr>
      </w:pPr>
      <w:r>
        <w:rPr>
          <w:rFonts w:ascii="Arial" w:cs="Arial" w:eastAsia="Arial" w:hAnsi="Arial"/>
          <w:sz w:val="16"/>
          <w:szCs w:val="16"/>
          <w:color w:val="auto"/>
        </w:rPr>
        <w:t>The AIP bonus performance criteria applicable to all NEOs are based upon the three Company goals described above and individual performance. The table below sets forth the 2021 AIP performance criteria and weightings applicable to all NEOs, assuming the achievement of each goal at target.</w:t>
      </w: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6120" w:type="dxa"/>
            <w:vAlign w:val="bottom"/>
          </w:tcPr>
          <w:p>
            <w:pPr>
              <w:spacing w:after="0"/>
              <w:rPr>
                <w:sz w:val="14"/>
                <w:szCs w:val="14"/>
                <w:color w:val="auto"/>
              </w:rPr>
            </w:pPr>
          </w:p>
        </w:tc>
        <w:tc>
          <w:tcPr>
            <w:tcW w:w="4800" w:type="dxa"/>
            <w:vAlign w:val="bottom"/>
          </w:tcPr>
          <w:p>
            <w:pPr>
              <w:jc w:val="right"/>
              <w:ind w:right="235"/>
              <w:spacing w:after="0"/>
              <w:rPr>
                <w:sz w:val="20"/>
                <w:szCs w:val="20"/>
                <w:color w:val="auto"/>
              </w:rPr>
            </w:pPr>
            <w:r>
              <w:rPr>
                <w:rFonts w:ascii="Arial" w:cs="Arial" w:eastAsia="Arial" w:hAnsi="Arial"/>
                <w:sz w:val="14"/>
                <w:szCs w:val="14"/>
                <w:b w:val="1"/>
                <w:bCs w:val="1"/>
                <w:color w:val="auto"/>
              </w:rPr>
              <w:t>Weight</w:t>
            </w:r>
          </w:p>
        </w:tc>
      </w:tr>
      <w:tr>
        <w:trPr>
          <w:trHeight w:val="234"/>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CAFD</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Key Performance Milestones</w:t>
            </w:r>
          </w:p>
        </w:tc>
        <w:tc>
          <w:tcPr>
            <w:tcW w:w="4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Achievement of the Thermal Plan</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64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Overall Funding</w:t>
            </w:r>
          </w:p>
        </w:tc>
        <w:tc>
          <w:tcPr>
            <w:tcW w:w="4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100%</w:t>
            </w:r>
          </w:p>
        </w:tc>
      </w:tr>
      <w:tr>
        <w:trPr>
          <w:trHeight w:val="22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Individual Performance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+/- 20%</w:t>
            </w:r>
          </w:p>
        </w:tc>
      </w:tr>
    </w:tbl>
    <w:p>
      <w:pPr>
        <w:spacing w:after="0" w:line="238" w:lineRule="exact"/>
        <w:rPr>
          <w:sz w:val="20"/>
          <w:szCs w:val="20"/>
          <w:color w:val="auto"/>
        </w:rPr>
      </w:pPr>
    </w:p>
    <w:p>
      <w:pPr>
        <w:jc w:val="both"/>
        <w:ind w:left="320" w:right="100" w:hanging="314"/>
        <w:spacing w:after="0" w:line="253"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CAFD. The Compensation Committee set the 2021 threshold, target and maximum CAFD performance metric at $272 million, $340 million and $408 million, respectively. For 2021, the CAFD goals and the achieved level are set forth in the chart below. The Company achieved CAFD of approximately $336 million, surpassing the CAFD threshold but less than the CAFD target.</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2960" w:type="dxa"/>
            <w:vAlign w:val="bottom"/>
          </w:tcPr>
          <w:p>
            <w:pPr>
              <w:jc w:val="center"/>
              <w:ind w:left="84"/>
              <w:spacing w:after="0"/>
              <w:rPr>
                <w:sz w:val="20"/>
                <w:szCs w:val="20"/>
                <w:color w:val="auto"/>
              </w:rPr>
            </w:pPr>
            <w:r>
              <w:rPr>
                <w:rFonts w:ascii="Arial" w:cs="Arial" w:eastAsia="Arial" w:hAnsi="Arial"/>
                <w:sz w:val="14"/>
                <w:szCs w:val="14"/>
                <w:b w:val="1"/>
                <w:bCs w:val="1"/>
                <w:color w:val="auto"/>
              </w:rPr>
              <w:t>CAFD</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7"/>
              </w:rPr>
              <w:t>CAFD</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rPr>
              <w:t>CAFD</w:t>
            </w:r>
          </w:p>
        </w:tc>
        <w:tc>
          <w:tcPr>
            <w:tcW w:w="2440" w:type="dxa"/>
            <w:vAlign w:val="bottom"/>
          </w:tcPr>
          <w:p>
            <w:pPr>
              <w:jc w:val="center"/>
              <w:ind w:left="304"/>
              <w:spacing w:after="0"/>
              <w:rPr>
                <w:sz w:val="20"/>
                <w:szCs w:val="20"/>
                <w:color w:val="auto"/>
              </w:rPr>
            </w:pPr>
            <w:r>
              <w:rPr>
                <w:rFonts w:ascii="Arial" w:cs="Arial" w:eastAsia="Arial" w:hAnsi="Arial"/>
                <w:sz w:val="14"/>
                <w:szCs w:val="14"/>
                <w:b w:val="1"/>
                <w:bCs w:val="1"/>
                <w:color w:val="auto"/>
                <w:w w:val="97"/>
              </w:rPr>
              <w:t>CAFD</w:t>
            </w:r>
          </w:p>
        </w:tc>
      </w:tr>
      <w:tr>
        <w:trPr>
          <w:trHeight w:val="264"/>
        </w:trPr>
        <w:tc>
          <w:tcPr>
            <w:tcW w:w="2960" w:type="dxa"/>
            <w:vAlign w:val="bottom"/>
          </w:tcPr>
          <w:p>
            <w:pPr>
              <w:jc w:val="center"/>
              <w:ind w:left="104"/>
              <w:spacing w:after="0"/>
              <w:rPr>
                <w:sz w:val="20"/>
                <w:szCs w:val="20"/>
                <w:color w:val="auto"/>
              </w:rPr>
            </w:pPr>
            <w:r>
              <w:rPr>
                <w:rFonts w:ascii="Arial" w:cs="Arial" w:eastAsia="Arial" w:hAnsi="Arial"/>
                <w:sz w:val="14"/>
                <w:szCs w:val="14"/>
                <w:b w:val="1"/>
                <w:bCs w:val="1"/>
                <w:color w:val="auto"/>
                <w:w w:val="91"/>
              </w:rPr>
              <w:t>Threshold</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2440" w:type="dxa"/>
            <w:vAlign w:val="bottom"/>
          </w:tcPr>
          <w:p>
            <w:pPr>
              <w:jc w:val="center"/>
              <w:ind w:left="324"/>
              <w:spacing w:after="0"/>
              <w:rPr>
                <w:sz w:val="20"/>
                <w:szCs w:val="20"/>
                <w:color w:val="auto"/>
              </w:rPr>
            </w:pPr>
            <w:r>
              <w:rPr>
                <w:rFonts w:ascii="Arial" w:cs="Arial" w:eastAsia="Arial" w:hAnsi="Arial"/>
                <w:sz w:val="14"/>
                <w:szCs w:val="14"/>
                <w:b w:val="1"/>
                <w:bCs w:val="1"/>
                <w:color w:val="auto"/>
                <w:w w:val="93"/>
              </w:rPr>
              <w:t>Actual</w:t>
            </w:r>
          </w:p>
        </w:tc>
      </w:tr>
      <w:tr>
        <w:trPr>
          <w:trHeight w:val="77"/>
        </w:trPr>
        <w:tc>
          <w:tcPr>
            <w:tcW w:w="296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r>
      <w:tr>
        <w:trPr>
          <w:trHeight w:val="217"/>
        </w:trPr>
        <w:tc>
          <w:tcPr>
            <w:tcW w:w="2960" w:type="dxa"/>
            <w:vAlign w:val="bottom"/>
            <w:shd w:val="clear" w:color="auto" w:fill="CCEEFF"/>
          </w:tcPr>
          <w:p>
            <w:pPr>
              <w:jc w:val="center"/>
              <w:ind w:left="104"/>
              <w:spacing w:after="0"/>
              <w:rPr>
                <w:sz w:val="20"/>
                <w:szCs w:val="20"/>
                <w:color w:val="auto"/>
              </w:rPr>
            </w:pPr>
            <w:r>
              <w:rPr>
                <w:rFonts w:ascii="Arial" w:cs="Arial" w:eastAsia="Arial" w:hAnsi="Arial"/>
                <w:sz w:val="18"/>
                <w:szCs w:val="18"/>
                <w:color w:val="auto"/>
                <w:w w:val="93"/>
              </w:rPr>
              <w:t>$272 million</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$340 million</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$408 million</w:t>
            </w:r>
          </w:p>
        </w:tc>
        <w:tc>
          <w:tcPr>
            <w:tcW w:w="2440" w:type="dxa"/>
            <w:vAlign w:val="bottom"/>
            <w:shd w:val="clear" w:color="auto" w:fill="CCEEFF"/>
          </w:tcPr>
          <w:p>
            <w:pPr>
              <w:jc w:val="center"/>
              <w:ind w:left="304"/>
              <w:spacing w:after="0"/>
              <w:rPr>
                <w:sz w:val="20"/>
                <w:szCs w:val="20"/>
                <w:color w:val="auto"/>
              </w:rPr>
            </w:pPr>
            <w:r>
              <w:rPr>
                <w:rFonts w:ascii="Arial" w:cs="Arial" w:eastAsia="Arial" w:hAnsi="Arial"/>
                <w:sz w:val="18"/>
                <w:szCs w:val="18"/>
                <w:color w:val="auto"/>
                <w:w w:val="93"/>
              </w:rPr>
              <w:t>$336 million</w:t>
            </w:r>
          </w:p>
        </w:tc>
      </w:tr>
    </w:tbl>
    <w:p>
      <w:pPr>
        <w:spacing w:after="0" w:line="185" w:lineRule="exact"/>
        <w:rPr>
          <w:sz w:val="20"/>
          <w:szCs w:val="20"/>
          <w:color w:val="auto"/>
        </w:rPr>
      </w:pPr>
    </w:p>
    <w:p>
      <w:pPr>
        <w:jc w:val="both"/>
        <w:ind w:left="320" w:right="100" w:hanging="314"/>
        <w:spacing w:after="0" w:line="305" w:lineRule="auto"/>
        <w:tabs>
          <w:tab w:leader="none" w:pos="316" w:val="left"/>
        </w:tabs>
        <w:numPr>
          <w:ilvl w:val="0"/>
          <w:numId w:val="39"/>
        </w:numPr>
        <w:rPr>
          <w:rFonts w:ascii="Arial" w:cs="Arial" w:eastAsia="Arial" w:hAnsi="Arial"/>
          <w:sz w:val="15"/>
          <w:szCs w:val="15"/>
          <w:color w:val="auto"/>
        </w:rPr>
      </w:pPr>
      <w:r>
        <w:rPr>
          <w:rFonts w:ascii="Arial" w:cs="Arial" w:eastAsia="Arial" w:hAnsi="Arial"/>
          <w:sz w:val="15"/>
          <w:szCs w:val="15"/>
          <w:color w:val="auto"/>
        </w:rPr>
        <w:t>Key Performance Milestones. “Key performance milestones” performance metrics are established as a defined annual incentive category. The Compensation Committee establishes threshold, target and maximum levels of performance for this category based on the number of milestones achieved. For 2021, a total of eight milestones were established relating to the Company’s credit rating, ESG matters, adherence to budget, CAFD per share goals, ratio of administrative costs to CAFD, corporate process improvement, Thermal strategic plan, and OSHA recordable incident rate. Additional CAFD and safety-related goals also applied with respect to the Company’s Thermal Business. For 2021, threshold performance required the achievement of three out of the eight milestones, target performance required the achievement of four out of the eight milestones, and maximum performance required the achievement of all eight milestones. Ultimately, above target performance was attained with the achievement of seven out of the eight milestones in 2021.</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67" w:name="page68"/>
    <w:bookmarkEnd w:id="67"/>
    <w:p>
      <w:pPr>
        <w:jc w:val="both"/>
        <w:ind w:left="320" w:hanging="314"/>
        <w:spacing w:after="0" w:line="280" w:lineRule="auto"/>
        <w:tabs>
          <w:tab w:leader="none" w:pos="3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Achievement of the Thermal Plan. Achievement of “Thermal Plan” performance metrics was added as an annual incentive category beginning in 2019 based on the view that all elements of the Company’s business should be reflected in the AIP bonus opportunity. The Compensation Committee established threshold, target and maximum levels for this category for each of the “Thermal Plan” performance metrics. For 2021, the Thermal Plan performance metrics relate to the Thermal Business’s CAFD, growth and five key Thermal Plan goals. Similar to the key performance milestones described above, threshold, target and maximum levels of performance were established for the key Thermal Plan goals based on the number of goals achieved. These goals related to safety, succession planning, and formalizing processes related to business operations, in each case, with respect to the Thermal Business (threshold, target and maximum performance required the achievement of one, three and five goals, respectively, out of a total of five). Ultimately, above-target performance was attained (expressed as 126% of target) with respect to the Thermal Plan in 2021. As noted above, the Company is expected to complete the Thermal Disposition in the first half of 2022. As a result, it is anticipated that the AIP metrics that relate to the Thermal Plan will be modified in 2022.</w:t>
      </w:r>
    </w:p>
    <w:p>
      <w:pPr>
        <w:spacing w:after="0" w:line="69" w:lineRule="exact"/>
        <w:rPr>
          <w:rFonts w:ascii="Arial" w:cs="Arial" w:eastAsia="Arial" w:hAnsi="Arial"/>
          <w:sz w:val="16"/>
          <w:szCs w:val="16"/>
          <w:color w:val="auto"/>
        </w:rPr>
      </w:pPr>
    </w:p>
    <w:p>
      <w:pPr>
        <w:jc w:val="both"/>
        <w:ind w:left="320" w:hanging="314"/>
        <w:spacing w:after="0" w:line="303" w:lineRule="auto"/>
        <w:tabs>
          <w:tab w:leader="none" w:pos="316"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Individual Performance. As indicated above, an NEO’s individual performance may (negatively or positively) affect his or her AIP bonus by up to 20%,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In light of the Company’s above-target achievement of AIP bonus performance criteria in 2021, the Compensation Committee recommended to the full Board that the CEO’s AIP bonus be paid based on the overall 2021 AIP achievement without additional modification. Similarly, the CEO recommended to the Compensation Committee that the AIP bonus for the other NEOs be paid based on the overall 2021 AIP achievement without additional modification. The full board approved the above recommendation of the Compensation Committee for the CEO and the Compensation Committee approved the above recommendation of the CEO for the other NEOs.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Incentive Bonus Opportunity</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threshold, target and maximum AIP bonus opportunities for NEOs for 2021, expressed as a percentage of base salary, were: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Threshold</w:t>
            </w: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Target</w:t>
            </w: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Maximum</w:t>
            </w:r>
          </w:p>
        </w:tc>
        <w:tc>
          <w:tcPr>
            <w:tcW w:w="17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Target</w:t>
            </w:r>
          </w:p>
        </w:tc>
      </w:tr>
      <w:tr>
        <w:trPr>
          <w:trHeight w:val="181"/>
        </w:trPr>
        <w:tc>
          <w:tcPr>
            <w:tcW w:w="6280" w:type="dxa"/>
            <w:vAlign w:val="bottom"/>
            <w:gridSpan w:val="4"/>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Pr>
          <w:p>
            <w:pPr>
              <w:jc w:val="center"/>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840" w:type="dxa"/>
            <w:vAlign w:val="bottom"/>
          </w:tcPr>
          <w:p>
            <w:pPr>
              <w:jc w:val="center"/>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240" w:type="dxa"/>
            <w:vAlign w:val="bottom"/>
          </w:tcPr>
          <w:p>
            <w:pPr>
              <w:jc w:val="center"/>
              <w:ind w:right="105"/>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72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Amount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7"/>
        </w:trPr>
        <w:tc>
          <w:tcPr>
            <w:tcW w:w="6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40" w:type="dxa"/>
            <w:vAlign w:val="bottom"/>
            <w:shd w:val="clear" w:color="auto" w:fill="CCEEFF"/>
          </w:tcPr>
          <w:p>
            <w:pPr>
              <w:jc w:val="center"/>
              <w:ind w:right="105"/>
              <w:spacing w:after="0"/>
              <w:rPr>
                <w:sz w:val="20"/>
                <w:szCs w:val="20"/>
                <w:color w:val="auto"/>
              </w:rPr>
            </w:pPr>
            <w:r>
              <w:rPr>
                <w:rFonts w:ascii="Arial" w:cs="Arial" w:eastAsia="Arial" w:hAnsi="Arial"/>
                <w:sz w:val="18"/>
                <w:szCs w:val="18"/>
                <w:color w:val="auto"/>
                <w:w w:val="86"/>
              </w:rPr>
              <w:t>200</w:t>
            </w:r>
          </w:p>
        </w:tc>
        <w:tc>
          <w:tcPr>
            <w:tcW w:w="1720" w:type="dxa"/>
            <w:vAlign w:val="bottom"/>
            <w:shd w:val="clear" w:color="auto" w:fill="CCEEFF"/>
          </w:tcPr>
          <w:p>
            <w:pPr>
              <w:jc w:val="center"/>
              <w:ind w:right="139"/>
              <w:spacing w:after="0"/>
              <w:rPr>
                <w:sz w:val="20"/>
                <w:szCs w:val="20"/>
                <w:color w:val="auto"/>
              </w:rPr>
            </w:pPr>
            <w:r>
              <w:rPr>
                <w:rFonts w:ascii="Arial" w:cs="Arial" w:eastAsia="Arial" w:hAnsi="Arial"/>
                <w:sz w:val="18"/>
                <w:szCs w:val="18"/>
                <w:color w:val="auto"/>
                <w:w w:val="89"/>
              </w:rPr>
              <w:t>629,330</w:t>
            </w:r>
          </w:p>
        </w:tc>
      </w:tr>
      <w:tr>
        <w:trPr>
          <w:trHeight w:val="224"/>
        </w:trPr>
        <w:tc>
          <w:tcPr>
            <w:tcW w:w="6280" w:type="dxa"/>
            <w:vAlign w:val="bottom"/>
            <w:gridSpan w:val="4"/>
          </w:tcPr>
          <w:p>
            <w:pPr>
              <w:ind w:left="20"/>
              <w:spacing w:after="0"/>
              <w:rPr>
                <w:sz w:val="20"/>
                <w:szCs w:val="20"/>
                <w:color w:val="auto"/>
              </w:rPr>
            </w:pPr>
            <w:r>
              <w:rPr>
                <w:rFonts w:ascii="Arial" w:cs="Arial" w:eastAsia="Arial" w:hAnsi="Arial"/>
                <w:sz w:val="18"/>
                <w:szCs w:val="18"/>
                <w:color w:val="auto"/>
              </w:rPr>
              <w:t>Chad Plotkin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40" w:type="dxa"/>
            <w:vAlign w:val="bottom"/>
          </w:tcPr>
          <w:p>
            <w:pPr>
              <w:jc w:val="center"/>
              <w:ind w:right="105"/>
              <w:spacing w:after="0"/>
              <w:rPr>
                <w:sz w:val="20"/>
                <w:szCs w:val="20"/>
                <w:color w:val="auto"/>
              </w:rPr>
            </w:pPr>
            <w:r>
              <w:rPr>
                <w:rFonts w:ascii="Arial" w:cs="Arial" w:eastAsia="Arial" w:hAnsi="Arial"/>
                <w:sz w:val="18"/>
                <w:szCs w:val="18"/>
                <w:color w:val="auto"/>
                <w:w w:val="86"/>
              </w:rPr>
              <w:t>120</w:t>
            </w:r>
          </w:p>
        </w:tc>
        <w:tc>
          <w:tcPr>
            <w:tcW w:w="1720" w:type="dxa"/>
            <w:vAlign w:val="bottom"/>
          </w:tcPr>
          <w:p>
            <w:pPr>
              <w:jc w:val="center"/>
              <w:ind w:right="139"/>
              <w:spacing w:after="0"/>
              <w:rPr>
                <w:sz w:val="20"/>
                <w:szCs w:val="20"/>
                <w:color w:val="auto"/>
              </w:rPr>
            </w:pPr>
            <w:r>
              <w:rPr>
                <w:rFonts w:ascii="Arial" w:cs="Arial" w:eastAsia="Arial" w:hAnsi="Arial"/>
                <w:sz w:val="18"/>
                <w:szCs w:val="18"/>
                <w:color w:val="auto"/>
                <w:w w:val="89"/>
              </w:rPr>
              <w:t>234,840</w:t>
            </w:r>
          </w:p>
        </w:tc>
      </w:tr>
      <w:tr>
        <w:trPr>
          <w:trHeight w:val="225"/>
        </w:trPr>
        <w:tc>
          <w:tcPr>
            <w:tcW w:w="6280" w:type="dxa"/>
            <w:vAlign w:val="bottom"/>
            <w:gridSpan w:val="4"/>
            <w:shd w:val="clear" w:color="auto" w:fill="CCEEFF"/>
          </w:tcPr>
          <w:p>
            <w:pPr>
              <w:ind w:left="20"/>
              <w:spacing w:after="0" w:line="225" w:lineRule="exact"/>
              <w:rPr>
                <w:sz w:val="20"/>
                <w:szCs w:val="20"/>
                <w:color w:val="auto"/>
              </w:rPr>
            </w:pPr>
            <w:r>
              <w:rPr>
                <w:rFonts w:ascii="Arial" w:cs="Arial" w:eastAsia="Arial" w:hAnsi="Arial"/>
                <w:sz w:val="18"/>
                <w:szCs w:val="18"/>
                <w:color w:val="auto"/>
              </w:rPr>
              <w:t>Kevin Malcarney</w:t>
            </w:r>
            <w:r>
              <w:rPr>
                <w:rFonts w:ascii="Arial" w:cs="Arial" w:eastAsia="Arial" w:hAnsi="Arial"/>
                <w:sz w:val="22"/>
                <w:szCs w:val="22"/>
                <w:color w:val="auto"/>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40" w:type="dxa"/>
            <w:vAlign w:val="bottom"/>
            <w:shd w:val="clear" w:color="auto" w:fill="CCEEFF"/>
          </w:tcPr>
          <w:p>
            <w:pPr>
              <w:jc w:val="center"/>
              <w:ind w:right="105"/>
              <w:spacing w:after="0"/>
              <w:rPr>
                <w:sz w:val="20"/>
                <w:szCs w:val="20"/>
                <w:color w:val="auto"/>
              </w:rPr>
            </w:pPr>
            <w:r>
              <w:rPr>
                <w:rFonts w:ascii="Arial" w:cs="Arial" w:eastAsia="Arial" w:hAnsi="Arial"/>
                <w:sz w:val="18"/>
                <w:szCs w:val="18"/>
                <w:color w:val="auto"/>
                <w:w w:val="86"/>
              </w:rPr>
              <w:t>120</w:t>
            </w:r>
          </w:p>
        </w:tc>
        <w:tc>
          <w:tcPr>
            <w:tcW w:w="1720" w:type="dxa"/>
            <w:vAlign w:val="bottom"/>
            <w:shd w:val="clear" w:color="auto" w:fill="CCEEFF"/>
          </w:tcPr>
          <w:p>
            <w:pPr>
              <w:jc w:val="center"/>
              <w:ind w:right="139"/>
              <w:spacing w:after="0"/>
              <w:rPr>
                <w:sz w:val="20"/>
                <w:szCs w:val="20"/>
                <w:color w:val="auto"/>
              </w:rPr>
            </w:pPr>
            <w:r>
              <w:rPr>
                <w:rFonts w:ascii="Arial" w:cs="Arial" w:eastAsia="Arial" w:hAnsi="Arial"/>
                <w:sz w:val="18"/>
                <w:szCs w:val="18"/>
                <w:color w:val="auto"/>
                <w:w w:val="89"/>
              </w:rPr>
              <w:t>192,000</w:t>
            </w:r>
          </w:p>
        </w:tc>
      </w:tr>
      <w:tr>
        <w:trPr>
          <w:trHeight w:val="171"/>
        </w:trPr>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13" w:lineRule="exact"/>
        <w:rPr>
          <w:sz w:val="20"/>
          <w:szCs w:val="20"/>
          <w:color w:val="auto"/>
        </w:rPr>
      </w:pPr>
    </w:p>
    <w:p>
      <w:pPr>
        <w:ind w:left="200" w:hanging="194"/>
        <w:spacing w:after="0"/>
        <w:tabs>
          <w:tab w:leader="none" w:pos="2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assumes that the CAFD performance metric and all other quantitative and qualitative goals, including the key milestones, are achieved at threshold, target and maximum levels, as applicable.</w:t>
      </w:r>
    </w:p>
    <w:p>
      <w:pPr>
        <w:spacing w:after="0" w:line="73" w:lineRule="exact"/>
        <w:rPr>
          <w:rFonts w:ascii="Arial" w:cs="Arial" w:eastAsia="Arial" w:hAnsi="Arial"/>
          <w:sz w:val="12"/>
          <w:szCs w:val="12"/>
          <w:color w:val="auto"/>
        </w:rPr>
      </w:pPr>
    </w:p>
    <w:p>
      <w:pPr>
        <w:ind w:left="200" w:hanging="194"/>
        <w:spacing w:after="0"/>
        <w:tabs>
          <w:tab w:leader="none" w:pos="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Malcarney's threshold, target and maximum AIP award were increased in 2021 to recognize his performance and better align his total direct compensation with the market median.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Incentive Bonuses</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noted above, with respect to AIP bonuses for 2021, the CAFD target was $340 million, the key performance milestone target was achievement of four out of eight key performance milestones and target achievement of the “Thermal Plan” metrics was based on the achievement of various sub-categories, including the achievement of three out of five key Thermal Plan goals.</w:t>
      </w:r>
    </w:p>
    <w:p>
      <w:pPr>
        <w:spacing w:after="0" w:line="137"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For 2021, CAFD achievement was between threshold and target at approximately $336 million and seven out of eight key performance milestones were achieved. In addition, overall achievement for the Thermal Plan for 2021 was above target at 126%. Due to the achievement specified above, 2021 AIP bonuses were paid at levels above target. If performance falls between threshold and target or target and maximum, the bonus opportunity will be determined on an interpolated basis. As a result, the CAFD metric, the key performance milestone, and Thermal Plan metrics were respectively weighted at 97%, 175%, and 126%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8" w:name="page69"/>
    <w:bookmarkEnd w:id="68"/>
    <w:p>
      <w:pPr>
        <w:ind w:left="400"/>
        <w:spacing w:after="0"/>
        <w:rPr>
          <w:sz w:val="20"/>
          <w:szCs w:val="20"/>
          <w:color w:val="auto"/>
        </w:rPr>
      </w:pPr>
      <w:r>
        <w:rPr>
          <w:rFonts w:ascii="Arial" w:cs="Arial" w:eastAsia="Arial" w:hAnsi="Arial"/>
          <w:sz w:val="18"/>
          <w:szCs w:val="18"/>
          <w:color w:val="auto"/>
        </w:rPr>
        <w:t>The annual incentive bonuses paid to NEOs for 2021 were: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Target Percentage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Percent of Annual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r>
      <w:tr>
        <w:trPr>
          <w:trHeight w:val="136"/>
        </w:trPr>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20"/>
              <w:spacing w:after="0" w:line="136" w:lineRule="exact"/>
              <w:rPr>
                <w:sz w:val="20"/>
                <w:szCs w:val="20"/>
                <w:color w:val="auto"/>
              </w:rPr>
            </w:pPr>
            <w:r>
              <w:rPr>
                <w:rFonts w:ascii="Arial" w:cs="Arial" w:eastAsia="Arial" w:hAnsi="Arial"/>
                <w:sz w:val="14"/>
                <w:szCs w:val="14"/>
                <w:b w:val="1"/>
                <w:bCs w:val="1"/>
                <w:color w:val="auto"/>
                <w:w w:val="89"/>
              </w:rPr>
              <w:t>Annual Base</w:t>
            </w:r>
          </w:p>
        </w:tc>
        <w:tc>
          <w:tcPr>
            <w:tcW w:w="148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88"/>
              </w:rPr>
              <w:t>Base Salary</w:t>
            </w:r>
          </w:p>
        </w:tc>
        <w:tc>
          <w:tcPr>
            <w:tcW w:w="13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2"/>
              </w:rPr>
              <w:t>Incentive</w:t>
            </w:r>
          </w:p>
        </w:tc>
      </w:tr>
      <w:tr>
        <w:trPr>
          <w:trHeight w:val="215"/>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Salary (%)</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Achieved (%)</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 ($)</w:t>
            </w: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899,312</w:t>
            </w:r>
          </w:p>
        </w:tc>
      </w:tr>
      <w:tr>
        <w:trPr>
          <w:trHeight w:val="224"/>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335,586</w:t>
            </w:r>
          </w:p>
        </w:tc>
      </w:tr>
      <w:tr>
        <w:trPr>
          <w:trHeight w:val="225"/>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274,368</w:t>
            </w:r>
          </w:p>
        </w:tc>
      </w:tr>
    </w:tbl>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Incentive Compensation</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We believe that equity awards directly align our NEOs’ interests with those of our stockholders. In 2021,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time-based (i.e., granted as RSUs which vest over three years). We believe that our AIP appropriately focuses our NEOs on shorter-term (one-year) financial metrics while our LTIP emphasizes long-term stockholder value creation (i.e., three-year TSR outperformance). For 2021, Mr. Sotos’ target LTIP award was 280% of his base salary and Messrs. Plotkin and Malcarney’s target LTIP awards were 125% of their respective base salaries. Mr. Sotos’ target LTIP award increased from 264% in 2020 to 280% in 2021 and Mr. Malcarney's target LTIP award increased from 100% in 2020 to 125% in 2021. These changes were intended to recognize their performance and better align their total direct compensation with the market median. The above mix of long-term incentive compensation applied to all NEOs for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Performance Stock Units</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0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 performance declines by more than 20% over the performance period, the target-level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14"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6"/>
          <w:szCs w:val="16"/>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a maximum payout of 150% of the target will be paid with respect to RPSU awards granted in 2021. Beginning with respect to RPSUs granted in 2018 and continuing for grants of 2021 RPSUs, the maximum payout was (and remains) changed from 200% to 150%. As noted below, the RPSUs granted in 2019 vested at 150% of target based on the Company’s TSR performance ranked against the TSR performance of the Performance Peer Group.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9" w:name="page70"/>
    <w:bookmarkEnd w:id="69"/>
    <w:p>
      <w:pPr>
        <w:ind w:left="400"/>
        <w:spacing w:after="0"/>
        <w:rPr>
          <w:sz w:val="20"/>
          <w:szCs w:val="20"/>
          <w:color w:val="auto"/>
        </w:rPr>
      </w:pPr>
      <w:r>
        <w:rPr>
          <w:rFonts w:ascii="Arial" w:cs="Arial" w:eastAsia="Arial" w:hAnsi="Arial"/>
          <w:sz w:val="18"/>
          <w:szCs w:val="18"/>
          <w:color w:val="auto"/>
        </w:rPr>
        <w:t>The table below illustrates the design of our RPSUs in 2021.</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26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Performance Targets</w:t>
            </w:r>
          </w:p>
        </w:tc>
        <w:tc>
          <w:tcPr>
            <w:tcW w:w="178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right w:val="single" w:sz="8" w:color="auto"/>
            </w:tcBorders>
            <w:gridSpan w:val="2"/>
          </w:tcPr>
          <w:p>
            <w:pPr>
              <w:jc w:val="center"/>
              <w:ind w:right="1532"/>
              <w:spacing w:after="0"/>
              <w:rPr>
                <w:sz w:val="20"/>
                <w:szCs w:val="20"/>
                <w:color w:val="auto"/>
              </w:rPr>
            </w:pPr>
            <w:r>
              <w:rPr>
                <w:rFonts w:ascii="Arial" w:cs="Arial" w:eastAsia="Arial" w:hAnsi="Arial"/>
                <w:sz w:val="18"/>
                <w:szCs w:val="18"/>
                <w:b w:val="1"/>
                <w:bCs w:val="1"/>
                <w:color w:val="auto"/>
                <w:w w:val="88"/>
              </w:rPr>
              <w:t>Performance Requirement</w:t>
            </w:r>
          </w:p>
        </w:tc>
        <w:tc>
          <w:tcPr>
            <w:tcW w:w="24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Payout Opportunity</w:t>
            </w:r>
          </w:p>
        </w:tc>
      </w:tr>
      <w:tr>
        <w:trPr>
          <w:trHeight w:val="217"/>
        </w:trPr>
        <w:tc>
          <w:tcPr>
            <w:tcW w:w="32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Maximum</w:t>
            </w:r>
          </w:p>
        </w:tc>
        <w:tc>
          <w:tcPr>
            <w:tcW w:w="178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right w:val="single" w:sz="8" w:color="auto"/>
            </w:tcBorders>
            <w:gridSpan w:val="2"/>
            <w:shd w:val="clear" w:color="auto" w:fill="CCEEFF"/>
          </w:tcPr>
          <w:p>
            <w:pPr>
              <w:jc w:val="center"/>
              <w:ind w:right="1552"/>
              <w:spacing w:after="0"/>
              <w:rPr>
                <w:sz w:val="20"/>
                <w:szCs w:val="20"/>
                <w:color w:val="auto"/>
              </w:rPr>
            </w:pPr>
            <w:r>
              <w:rPr>
                <w:rFonts w:ascii="Arial" w:cs="Arial" w:eastAsia="Arial" w:hAnsi="Arial"/>
                <w:sz w:val="18"/>
                <w:szCs w:val="18"/>
                <w:color w:val="auto"/>
                <w:w w:val="88"/>
              </w:rPr>
              <w:t>75th percentile or above</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150%</w:t>
            </w:r>
          </w:p>
        </w:tc>
      </w:tr>
      <w:tr>
        <w:trPr>
          <w:trHeight w:val="270"/>
        </w:trPr>
        <w:tc>
          <w:tcPr>
            <w:tcW w:w="3260" w:type="dxa"/>
            <w:vAlign w:val="bottom"/>
            <w:tcBorders>
              <w:left w:val="single" w:sz="8" w:color="auto"/>
              <w:right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Modified Target:</w:t>
            </w:r>
          </w:p>
        </w:tc>
        <w:tc>
          <w:tcPr>
            <w:tcW w:w="2400" w:type="dxa"/>
            <w:vAlign w:val="bottom"/>
            <w:tcBorders>
              <w:right w:val="single" w:sz="8" w:color="auto"/>
            </w:tcBorders>
          </w:tcPr>
          <w:p>
            <w:pPr>
              <w:spacing w:after="0"/>
              <w:rPr>
                <w:sz w:val="23"/>
                <w:szCs w:val="23"/>
                <w:color w:val="auto"/>
              </w:rPr>
            </w:pPr>
          </w:p>
        </w:tc>
      </w:tr>
      <w:tr>
        <w:trPr>
          <w:trHeight w:val="224"/>
        </w:trPr>
        <w:tc>
          <w:tcPr>
            <w:tcW w:w="3260" w:type="dxa"/>
            <w:vAlign w:val="bottom"/>
            <w:tcBorders>
              <w:left w:val="single" w:sz="8" w:color="auto"/>
              <w:right w:val="single" w:sz="8" w:color="auto"/>
            </w:tcBorders>
          </w:tcPr>
          <w:p>
            <w:pPr>
              <w:spacing w:after="0"/>
              <w:rPr>
                <w:sz w:val="19"/>
                <w:szCs w:val="19"/>
                <w:color w:val="auto"/>
              </w:rPr>
            </w:pPr>
          </w:p>
        </w:tc>
        <w:tc>
          <w:tcPr>
            <w:tcW w:w="1780" w:type="dxa"/>
            <w:vAlign w:val="bottom"/>
          </w:tcPr>
          <w:p>
            <w:pPr>
              <w:jc w:val="center"/>
              <w:ind w:left="332"/>
              <w:spacing w:after="0"/>
              <w:rPr>
                <w:sz w:val="20"/>
                <w:szCs w:val="20"/>
                <w:color w:val="auto"/>
              </w:rPr>
            </w:pPr>
            <w:r>
              <w:rPr>
                <w:rFonts w:ascii="Arial" w:cs="Arial" w:eastAsia="Arial" w:hAnsi="Arial"/>
                <w:sz w:val="18"/>
                <w:szCs w:val="18"/>
                <w:color w:val="auto"/>
                <w:w w:val="85"/>
              </w:rPr>
              <w:t>Standard Target:</w:t>
            </w:r>
          </w:p>
        </w:tc>
        <w:tc>
          <w:tcPr>
            <w:tcW w:w="44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60th percentile</w:t>
            </w:r>
          </w:p>
        </w:tc>
        <w:tc>
          <w:tcPr>
            <w:tcW w:w="2400" w:type="dxa"/>
            <w:vAlign w:val="bottom"/>
            <w:tcBorders>
              <w:right w:val="single" w:sz="8" w:color="auto"/>
            </w:tcBorders>
          </w:tcPr>
          <w:p>
            <w:pPr>
              <w:spacing w:after="0"/>
              <w:rPr>
                <w:sz w:val="19"/>
                <w:szCs w:val="19"/>
                <w:color w:val="auto"/>
              </w:rPr>
            </w:pPr>
          </w:p>
        </w:tc>
      </w:tr>
      <w:tr>
        <w:trPr>
          <w:trHeight w:val="277"/>
        </w:trPr>
        <w:tc>
          <w:tcPr>
            <w:tcW w:w="32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Target</w:t>
            </w:r>
          </w:p>
        </w:tc>
        <w:tc>
          <w:tcPr>
            <w:tcW w:w="17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8"/>
              </w:rPr>
              <w:t>50th percentile</w:t>
            </w:r>
          </w:p>
        </w:tc>
        <w:tc>
          <w:tcPr>
            <w:tcW w:w="44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(less than −20% absolute TSR)</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r>
      <w:tr>
        <w:trPr>
          <w:trHeight w:val="217"/>
        </w:trPr>
        <w:tc>
          <w:tcPr>
            <w:tcW w:w="32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Threshold</w:t>
            </w:r>
          </w:p>
        </w:tc>
        <w:tc>
          <w:tcPr>
            <w:tcW w:w="1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3380" w:type="dxa"/>
            <w:vAlign w:val="bottom"/>
            <w:tcBorders>
              <w:bottom w:val="single" w:sz="8" w:color="auto"/>
              <w:right w:val="single" w:sz="8" w:color="auto"/>
            </w:tcBorders>
            <w:shd w:val="clear" w:color="auto" w:fill="CCEEFF"/>
          </w:tcPr>
          <w:p>
            <w:pPr>
              <w:jc w:val="center"/>
              <w:ind w:right="1992"/>
              <w:spacing w:after="0"/>
              <w:rPr>
                <w:sz w:val="20"/>
                <w:szCs w:val="20"/>
                <w:color w:val="auto"/>
              </w:rPr>
            </w:pPr>
            <w:r>
              <w:rPr>
                <w:rFonts w:ascii="Arial" w:cs="Arial" w:eastAsia="Arial" w:hAnsi="Arial"/>
                <w:sz w:val="18"/>
                <w:szCs w:val="18"/>
                <w:color w:val="auto"/>
                <w:w w:val="89"/>
              </w:rPr>
              <w:t>25th percentile</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217"/>
        </w:trPr>
        <w:tc>
          <w:tcPr>
            <w:tcW w:w="32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Below Threshold</w:t>
            </w:r>
          </w:p>
        </w:tc>
        <w:tc>
          <w:tcPr>
            <w:tcW w:w="178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gridSpan w:val="2"/>
          </w:tcPr>
          <w:p>
            <w:pPr>
              <w:jc w:val="center"/>
              <w:ind w:right="1552"/>
              <w:spacing w:after="0"/>
              <w:rPr>
                <w:sz w:val="20"/>
                <w:szCs w:val="20"/>
                <w:color w:val="auto"/>
              </w:rPr>
            </w:pPr>
            <w:r>
              <w:rPr>
                <w:rFonts w:ascii="Arial" w:cs="Arial" w:eastAsia="Arial" w:hAnsi="Arial"/>
                <w:sz w:val="18"/>
                <w:szCs w:val="18"/>
                <w:color w:val="auto"/>
                <w:w w:val="89"/>
              </w:rPr>
              <w:t>Below 25th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62" w:lineRule="exact"/>
        <w:rPr>
          <w:sz w:val="20"/>
          <w:szCs w:val="20"/>
          <w:color w:val="auto"/>
        </w:rPr>
      </w:pPr>
    </w:p>
    <w:p>
      <w:pPr>
        <w:jc w:val="both"/>
        <w:ind w:right="20" w:firstLine="396"/>
        <w:spacing w:after="0" w:line="217" w:lineRule="exact"/>
        <w:rPr>
          <w:sz w:val="20"/>
          <w:szCs w:val="20"/>
          <w:color w:val="auto"/>
        </w:rPr>
      </w:pPr>
      <w:r>
        <w:rPr>
          <w:rFonts w:ascii="Arial" w:cs="Arial" w:eastAsia="Arial" w:hAnsi="Arial"/>
          <w:sz w:val="16"/>
          <w:szCs w:val="16"/>
          <w:color w:val="auto"/>
        </w:rPr>
        <w:t>Each RSU represents the right to receive one share of our Class C common stock after the completion of the vesting period. The RSUs granted to the NEOs in 2021 vest ratably, meaning that one</w:t>
      </w:r>
      <w:r>
        <w:rPr>
          <w:rFonts w:ascii="MS PGothic" w:cs="MS PGothic" w:eastAsia="MS PGothic" w:hAnsi="MS PGothic"/>
          <w:sz w:val="16"/>
          <w:szCs w:val="16"/>
          <w:color w:val="auto"/>
        </w:rPr>
        <w:t>‑</w:t>
      </w:r>
      <w:r>
        <w:rPr>
          <w:rFonts w:ascii="Arial" w:cs="Arial" w:eastAsia="Arial" w:hAnsi="Arial"/>
          <w:sz w:val="16"/>
          <w:szCs w:val="16"/>
          <w:color w:val="auto"/>
        </w:rPr>
        <w:t>third of the award vests each year on the anniversary of the grant date, over a three</w:t>
      </w:r>
      <w:r>
        <w:rPr>
          <w:rFonts w:ascii="MS PGothic" w:cs="MS PGothic" w:eastAsia="MS PGothic" w:hAnsi="MS PGothic"/>
          <w:sz w:val="16"/>
          <w:szCs w:val="16"/>
          <w:color w:val="auto"/>
        </w:rPr>
        <w:t>‑</w:t>
      </w:r>
      <w:r>
        <w:rPr>
          <w:rFonts w:ascii="Arial" w:cs="Arial" w:eastAsia="Arial" w:hAnsi="Arial"/>
          <w:sz w:val="16"/>
          <w:szCs w:val="16"/>
          <w:color w:val="auto"/>
        </w:rPr>
        <w:t>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 Rights (DERs)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connection with awards of both RPSUs and RSUs, each NEO also receives DERs, which accrue with respect to the award to which they relate.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Accrued DERs are only paid out to the extent that the shares of Class C common stock underlying each award become vested and deliverable to the NEO.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Accrued DERs are paid at the same time such shares are delivered to the NEO. Accordingly, DERs are forfeited if the underlying shares are forfeited.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Clawbacks</w:t>
      </w:r>
    </w:p>
    <w:p>
      <w:pPr>
        <w:spacing w:after="0" w:line="162" w:lineRule="exact"/>
        <w:rPr>
          <w:sz w:val="20"/>
          <w:szCs w:val="20"/>
          <w:color w:val="auto"/>
        </w:rPr>
      </w:pPr>
    </w:p>
    <w:p>
      <w:pPr>
        <w:jc w:val="both"/>
        <w:ind w:right="20" w:firstLine="396"/>
        <w:spacing w:after="0" w:line="213" w:lineRule="exact"/>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(“SOX”), the CEO and the CFO would also be subject to a “clawback,” as required by SOX.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62" w:lineRule="exact"/>
        <w:rPr>
          <w:sz w:val="20"/>
          <w:szCs w:val="20"/>
          <w:color w:val="auto"/>
        </w:rPr>
      </w:pPr>
    </w:p>
    <w:p>
      <w:pPr>
        <w:jc w:val="both"/>
        <w:ind w:right="20" w:firstLine="396"/>
        <w:spacing w:after="0" w:line="250" w:lineRule="auto"/>
        <w:rPr>
          <w:sz w:val="20"/>
          <w:szCs w:val="20"/>
          <w:color w:val="auto"/>
        </w:rPr>
      </w:pPr>
      <w:r>
        <w:rPr>
          <w:rFonts w:ascii="Arial" w:cs="Arial" w:eastAsia="Arial" w:hAnsi="Arial"/>
          <w:sz w:val="18"/>
          <w:szCs w:val="18"/>
          <w:color w:val="auto"/>
        </w:rPr>
        <w:t>All of our NEOs are eligible to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4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Potential 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 Benefits</w:t>
      </w:r>
    </w:p>
    <w:p>
      <w:pPr>
        <w:spacing w:after="0" w:line="162" w:lineRule="exact"/>
        <w:rPr>
          <w:sz w:val="20"/>
          <w:szCs w:val="20"/>
          <w:color w:val="auto"/>
        </w:rPr>
      </w:pPr>
    </w:p>
    <w:p>
      <w:pPr>
        <w:jc w:val="both"/>
        <w:ind w:right="20" w:firstLine="396"/>
        <w:spacing w:after="0" w:line="287" w:lineRule="auto"/>
        <w:rPr>
          <w:sz w:val="20"/>
          <w:szCs w:val="20"/>
          <w:color w:val="auto"/>
        </w:rPr>
      </w:pPr>
      <w:r>
        <w:rPr>
          <w:rFonts w:ascii="Arial" w:cs="Arial" w:eastAsia="Arial" w:hAnsi="Arial"/>
          <w:sz w:val="16"/>
          <w:szCs w:val="16"/>
          <w:color w:val="auto"/>
        </w:rPr>
        <w:t>Each NEO’s RPSU and RSU award agreements under the LTIP provide for certain treatment in the event of such NEO’s termination of employment under certain circumstances, including in connection with a 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13" w:lineRule="exact"/>
        <w:rPr>
          <w:sz w:val="20"/>
          <w:szCs w:val="20"/>
          <w:color w:val="auto"/>
        </w:rPr>
      </w:pPr>
    </w:p>
    <w:p>
      <w:pPr>
        <w:jc w:val="both"/>
        <w:ind w:right="20" w:firstLine="396"/>
        <w:spacing w:after="0" w:line="248" w:lineRule="auto"/>
        <w:rPr>
          <w:sz w:val="20"/>
          <w:szCs w:val="20"/>
          <w:color w:val="auto"/>
        </w:rPr>
      </w:pPr>
      <w:r>
        <w:rPr>
          <w:rFonts w:ascii="Arial" w:cs="Arial" w:eastAsia="Arial" w:hAnsi="Arial"/>
          <w:sz w:val="18"/>
          <w:szCs w:val="18"/>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141" w:lineRule="exact"/>
        <w:rPr>
          <w:sz w:val="20"/>
          <w:szCs w:val="20"/>
          <w:color w:val="auto"/>
        </w:rPr>
      </w:pPr>
    </w:p>
    <w:p>
      <w:pPr>
        <w:jc w:val="both"/>
        <w:ind w:right="20" w:firstLine="396"/>
        <w:spacing w:after="0" w:line="262" w:lineRule="auto"/>
        <w:rPr>
          <w:sz w:val="20"/>
          <w:szCs w:val="20"/>
          <w:color w:val="auto"/>
        </w:rPr>
      </w:pPr>
      <w:r>
        <w:rPr>
          <w:rFonts w:ascii="Arial" w:cs="Arial" w:eastAsia="Arial" w:hAnsi="Arial"/>
          <w:sz w:val="18"/>
          <w:szCs w:val="18"/>
          <w:color w:val="auto"/>
        </w:rPr>
        <w:t>For a more detailed discussion, including the quantification of potential payments, please see the section entitled “Severance and Change-in-Control” following the executive compensation tables below.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879"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6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Compensation Committee and the Board require the CEO to hold Company stock with a value equal to 5.0 times his base salary until his separation from the Company. Our other NEOs (i.e., NEOs other than the CEO) are required to hold Company stock with a value equal to 3.0 times their base salary until their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18, 2022, is shown below. All of our NEOs met or exceeded their stock ownership guidelines as of February 18,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jc w:val="center"/>
              <w:ind w:left="630"/>
              <w:spacing w:after="0"/>
              <w:rPr>
                <w:sz w:val="20"/>
                <w:szCs w:val="20"/>
                <w:color w:val="auto"/>
              </w:rPr>
            </w:pPr>
            <w:r>
              <w:rPr>
                <w:rFonts w:ascii="Arial" w:cs="Arial" w:eastAsia="Arial" w:hAnsi="Arial"/>
                <w:sz w:val="14"/>
                <w:szCs w:val="14"/>
                <w:b w:val="1"/>
                <w:bCs w:val="1"/>
                <w:color w:val="auto"/>
                <w:w w:val="92"/>
              </w:rPr>
              <w:t>Target Ownership</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ind w:right="539"/>
              <w:spacing w:after="0"/>
              <w:rPr>
                <w:sz w:val="20"/>
                <w:szCs w:val="20"/>
                <w:color w:val="auto"/>
              </w:rPr>
            </w:pPr>
            <w:r>
              <w:rPr>
                <w:rFonts w:ascii="Arial" w:cs="Arial" w:eastAsia="Arial" w:hAnsi="Arial"/>
                <w:sz w:val="14"/>
                <w:szCs w:val="14"/>
                <w:b w:val="1"/>
                <w:bCs w:val="1"/>
                <w:color w:val="auto"/>
              </w:rPr>
              <w:t>Actual Ownership</w:t>
            </w:r>
          </w:p>
        </w:tc>
      </w:tr>
      <w:tr>
        <w:trPr>
          <w:trHeight w:val="21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jc w:val="center"/>
              <w:ind w:left="610"/>
              <w:spacing w:after="0"/>
              <w:rPr>
                <w:sz w:val="20"/>
                <w:szCs w:val="20"/>
                <w:color w:val="auto"/>
              </w:rPr>
            </w:pPr>
            <w:r>
              <w:rPr>
                <w:rFonts w:ascii="Arial" w:cs="Arial" w:eastAsia="Arial" w:hAnsi="Arial"/>
                <w:sz w:val="14"/>
                <w:szCs w:val="14"/>
                <w:b w:val="1"/>
                <w:bCs w:val="1"/>
                <w:color w:val="auto"/>
                <w:w w:val="98"/>
              </w:rPr>
              <w:t>Multiple</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Multiple</w:t>
            </w: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2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5.0x</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23.7x</w:t>
            </w:r>
          </w:p>
        </w:tc>
      </w:tr>
      <w:tr>
        <w:trPr>
          <w:trHeight w:val="2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248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3.0x</w:t>
            </w:r>
          </w:p>
        </w:tc>
        <w:tc>
          <w:tcPr>
            <w:tcW w:w="2340" w:type="dxa"/>
            <w:vAlign w:val="bottom"/>
          </w:tcPr>
          <w:p>
            <w:pPr>
              <w:jc w:val="right"/>
              <w:spacing w:after="0"/>
              <w:rPr>
                <w:sz w:val="20"/>
                <w:szCs w:val="20"/>
                <w:color w:val="auto"/>
              </w:rPr>
            </w:pPr>
            <w:r>
              <w:rPr>
                <w:rFonts w:ascii="Arial" w:cs="Arial" w:eastAsia="Arial" w:hAnsi="Arial"/>
                <w:sz w:val="18"/>
                <w:szCs w:val="18"/>
                <w:color w:val="auto"/>
              </w:rPr>
              <w:t>8.7x</w:t>
            </w:r>
          </w:p>
        </w:tc>
      </w:tr>
      <w:tr>
        <w:trPr>
          <w:trHeight w:val="225"/>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2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3.0x</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6.1x</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Section 162(m) of the Internal Revenue Code (the “Code”) precludes Clearway Energy Inc.,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17"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8"/>
          <w:szCs w:val="18"/>
          <w:color w:val="auto"/>
        </w:rPr>
        <w:t>‑</w:t>
      </w:r>
      <w:r>
        <w:rPr>
          <w:rFonts w:ascii="Arial" w:cs="Arial" w:eastAsia="Arial" w:hAnsi="Arial"/>
          <w:sz w:val="18"/>
          <w:szCs w:val="18"/>
          <w:color w:val="auto"/>
        </w:rPr>
        <w:t>term goals.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Compensation Tables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92"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Change in</w:t>
      </w:r>
    </w:p>
    <w:p>
      <w:pPr>
        <w:jc w:val="center"/>
        <w:ind w:left="5260"/>
        <w:spacing w:after="0" w:line="236" w:lineRule="auto"/>
        <w:rPr>
          <w:sz w:val="20"/>
          <w:szCs w:val="20"/>
          <w:color w:val="auto"/>
        </w:rPr>
      </w:pPr>
      <w:r>
        <w:rPr>
          <w:rFonts w:ascii="Arial" w:cs="Arial" w:eastAsia="Arial" w:hAnsi="Arial"/>
          <w:sz w:val="14"/>
          <w:szCs w:val="14"/>
          <w:b w:val="1"/>
          <w:bCs w:val="1"/>
          <w:color w:val="auto"/>
        </w:rPr>
        <w:t>Pension</w:t>
      </w: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Value and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Nonqualified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Non</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Equity</w:t>
            </w: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Deferred</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Incentive Plan</w:t>
            </w:r>
          </w:p>
        </w:tc>
        <w:tc>
          <w:tcPr>
            <w:tcW w:w="12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Bonus</w:t>
            </w:r>
          </w:p>
        </w:tc>
        <w:tc>
          <w:tcPr>
            <w:tcW w:w="10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Compensation</w:t>
            </w:r>
          </w:p>
        </w:tc>
        <w:tc>
          <w:tcPr>
            <w:tcW w:w="12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Earnings</w:t>
            </w:r>
          </w:p>
        </w:tc>
        <w:tc>
          <w:tcPr>
            <w:tcW w:w="13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tcPr>
          <w:p>
            <w:pPr>
              <w:jc w:val="right"/>
              <w:ind w:right="27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Name and Principal Position</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260"/>
              <w:spacing w:after="0" w:line="211"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Christopher S. Sotos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638,260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1,535,147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899,312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3,092,509</w:t>
            </w:r>
          </w:p>
        </w:tc>
        <w:tc>
          <w:tcPr>
            <w:tcW w:w="0" w:type="dxa"/>
            <w:vAlign w:val="bottom"/>
          </w:tcPr>
          <w:p>
            <w:pPr>
              <w:spacing w:after="0"/>
              <w:rPr>
                <w:sz w:val="1"/>
                <w:szCs w:val="1"/>
                <w:color w:val="auto"/>
              </w:rPr>
            </w:pPr>
          </w:p>
        </w:tc>
      </w:tr>
      <w:tr>
        <w:trPr>
          <w:trHeight w:val="224"/>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President and Chief</w:t>
            </w: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w w:val="98"/>
              </w:rPr>
              <w:t>634,500</w:t>
            </w:r>
          </w:p>
        </w:tc>
        <w:tc>
          <w:tcPr>
            <w:tcW w:w="10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1,900,423</w:t>
            </w: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699,534</w:t>
            </w:r>
          </w:p>
        </w:tc>
        <w:tc>
          <w:tcPr>
            <w:tcW w:w="1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14,111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3,248,568</w:t>
            </w:r>
          </w:p>
        </w:tc>
        <w:tc>
          <w:tcPr>
            <w:tcW w:w="0" w:type="dxa"/>
            <w:vAlign w:val="bottom"/>
          </w:tcPr>
          <w:p>
            <w:pPr>
              <w:spacing w:after="0"/>
              <w:rPr>
                <w:sz w:val="1"/>
                <w:szCs w:val="1"/>
                <w:color w:val="auto"/>
              </w:rPr>
            </w:pPr>
          </w:p>
        </w:tc>
      </w:tr>
      <w:tr>
        <w:trPr>
          <w:trHeight w:val="22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Executive Officer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606,304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1,527,522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906,235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3,054,943</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Chad Plotkin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396,954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426,560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335,586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1,173,700</w:t>
            </w:r>
          </w:p>
        </w:tc>
        <w:tc>
          <w:tcPr>
            <w:tcW w:w="0" w:type="dxa"/>
            <w:vAlign w:val="bottom"/>
          </w:tcPr>
          <w:p>
            <w:pPr>
              <w:spacing w:after="0"/>
              <w:rPr>
                <w:sz w:val="1"/>
                <w:szCs w:val="1"/>
                <w:color w:val="auto"/>
              </w:rPr>
            </w:pPr>
          </w:p>
        </w:tc>
      </w:tr>
      <w:tr>
        <w:trPr>
          <w:trHeight w:val="224"/>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Senior Vice President</w:t>
            </w: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w w:val="98"/>
              </w:rPr>
              <w:t>394,615</w:t>
            </w:r>
          </w:p>
        </w:tc>
        <w:tc>
          <w:tcPr>
            <w:tcW w:w="10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559,631</w:t>
            </w: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281,551</w:t>
            </w:r>
          </w:p>
        </w:tc>
        <w:tc>
          <w:tcPr>
            <w:tcW w:w="1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14,169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1,249,966</w:t>
            </w:r>
          </w:p>
        </w:tc>
        <w:tc>
          <w:tcPr>
            <w:tcW w:w="0" w:type="dxa"/>
            <w:vAlign w:val="bottom"/>
          </w:tcPr>
          <w:p>
            <w:pPr>
              <w:spacing w:after="0"/>
              <w:rPr>
                <w:sz w:val="1"/>
                <w:szCs w:val="1"/>
                <w:color w:val="auto"/>
              </w:rPr>
            </w:pPr>
          </w:p>
        </w:tc>
      </w:tr>
      <w:tr>
        <w:trPr>
          <w:trHeight w:val="22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and Chief Financial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378,731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475,020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338,170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1,207,121</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Kevin P. Malcarney</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323,991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348,772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274,368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959,681</w:t>
            </w:r>
          </w:p>
        </w:tc>
        <w:tc>
          <w:tcPr>
            <w:tcW w:w="0" w:type="dxa"/>
            <w:vAlign w:val="bottom"/>
          </w:tcPr>
          <w:p>
            <w:pPr>
              <w:spacing w:after="0"/>
              <w:rPr>
                <w:sz w:val="1"/>
                <w:szCs w:val="1"/>
                <w:color w:val="auto"/>
              </w:rPr>
            </w:pPr>
          </w:p>
        </w:tc>
      </w:tr>
      <w:tr>
        <w:trPr>
          <w:trHeight w:val="224"/>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Senior Vice President,</w:t>
            </w: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w w:val="98"/>
              </w:rPr>
              <w:t>317,885</w:t>
            </w:r>
          </w:p>
        </w:tc>
        <w:tc>
          <w:tcPr>
            <w:tcW w:w="10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362,301</w:t>
            </w: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151,889</w:t>
            </w:r>
          </w:p>
        </w:tc>
        <w:tc>
          <w:tcPr>
            <w:tcW w:w="1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10,550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842,625</w:t>
            </w:r>
          </w:p>
        </w:tc>
        <w:tc>
          <w:tcPr>
            <w:tcW w:w="0" w:type="dxa"/>
            <w:vAlign w:val="bottom"/>
          </w:tcPr>
          <w:p>
            <w:pPr>
              <w:spacing w:after="0"/>
              <w:rPr>
                <w:sz w:val="1"/>
                <w:szCs w:val="1"/>
                <w:color w:val="auto"/>
              </w:rPr>
            </w:pPr>
          </w:p>
        </w:tc>
      </w:tr>
      <w:tr>
        <w:trPr>
          <w:trHeight w:val="22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Counsel and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300,000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300,019</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170,568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781,664</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Corporate Secretary</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138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74" w:lineRule="exact"/>
        <w:rPr>
          <w:sz w:val="20"/>
          <w:szCs w:val="20"/>
          <w:color w:val="auto"/>
        </w:rPr>
      </w:pPr>
    </w:p>
    <w:p>
      <w:pPr>
        <w:ind w:left="200" w:hanging="194"/>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base salary earnings.</w:t>
      </w:r>
    </w:p>
    <w:p>
      <w:pPr>
        <w:spacing w:after="0" w:line="9" w:lineRule="exact"/>
        <w:rPr>
          <w:rFonts w:ascii="Arial" w:cs="Arial" w:eastAsia="Arial" w:hAnsi="Arial"/>
          <w:sz w:val="14"/>
          <w:szCs w:val="14"/>
          <w:color w:val="auto"/>
        </w:rPr>
      </w:pPr>
    </w:p>
    <w:p>
      <w:pPr>
        <w:jc w:val="both"/>
        <w:ind w:firstLine="6"/>
        <w:spacing w:after="0" w:line="254" w:lineRule="auto"/>
        <w:tabs>
          <w:tab w:leader="none" w:pos="208"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Prior to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RPSUs granted was implemented after reviewing the compensation practices of Compensation Peer Group companies. For RPSUs granted in 2021, if the maximum level of performance is achieved, the fair value will be approximately $1,431,084 for Mr. Sotos, $397,644 for Mr. Plotkin and $325,119 for Mr. Malcarney.</w:t>
      </w:r>
    </w:p>
    <w:p>
      <w:pPr>
        <w:ind w:firstLine="6"/>
        <w:spacing w:after="0" w:line="235" w:lineRule="auto"/>
        <w:tabs>
          <w:tab w:leader="none" w:pos="201"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shown in this column represent the annual incentive bonuses paid to the NEOs. Further information regarding the annual incentive bonuses is included in the “2021 Annual Incentive Bonuses” section of this CD&amp;A.</w:t>
      </w:r>
    </w:p>
    <w:p>
      <w:pPr>
        <w:spacing w:after="0" w:line="1" w:lineRule="exact"/>
        <w:rPr>
          <w:rFonts w:ascii="Arial" w:cs="Arial" w:eastAsia="Arial" w:hAnsi="Arial"/>
          <w:sz w:val="14"/>
          <w:szCs w:val="14"/>
          <w:color w:val="auto"/>
        </w:rPr>
      </w:pPr>
    </w:p>
    <w:p>
      <w:pPr>
        <w:jc w:val="both"/>
        <w:ind w:firstLine="6"/>
        <w:spacing w:after="0" w:line="239" w:lineRule="auto"/>
        <w:tabs>
          <w:tab w:leader="none" w:pos="203"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connection with reviewing and finalizing his amended and restated employment agreement; and when applicable, the Company’s discretionary contribution to the 401(k) plan. The following table identifies the additional compensation for each NEO.</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310"/>
              <w:spacing w:after="0"/>
              <w:rPr>
                <w:sz w:val="20"/>
                <w:szCs w:val="20"/>
                <w:color w:val="auto"/>
              </w:rPr>
            </w:pPr>
            <w:r>
              <w:rPr>
                <w:rFonts w:ascii="Arial" w:cs="Arial" w:eastAsia="Arial" w:hAnsi="Arial"/>
                <w:sz w:val="14"/>
                <w:szCs w:val="14"/>
                <w:b w:val="1"/>
                <w:bCs w:val="1"/>
                <w:color w:val="auto"/>
                <w:w w:val="93"/>
              </w:rPr>
              <w:t>Life and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401(k)</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310"/>
              <w:spacing w:after="0" w:line="145" w:lineRule="exact"/>
              <w:rPr>
                <w:sz w:val="20"/>
                <w:szCs w:val="20"/>
                <w:color w:val="auto"/>
              </w:rPr>
            </w:pPr>
            <w:r>
              <w:rPr>
                <w:rFonts w:ascii="Arial" w:cs="Arial" w:eastAsia="Arial" w:hAnsi="Arial"/>
                <w:sz w:val="14"/>
                <w:szCs w:val="14"/>
                <w:b w:val="1"/>
                <w:bCs w:val="1"/>
                <w:color w:val="auto"/>
                <w:w w:val="93"/>
              </w:rPr>
              <w:t>Disability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330"/>
              <w:spacing w:after="0" w:line="145" w:lineRule="exact"/>
              <w:rPr>
                <w:sz w:val="20"/>
                <w:szCs w:val="20"/>
                <w:color w:val="auto"/>
              </w:rPr>
            </w:pPr>
            <w:r>
              <w:rPr>
                <w:rFonts w:ascii="Arial" w:cs="Arial" w:eastAsia="Arial" w:hAnsi="Arial"/>
                <w:sz w:val="14"/>
                <w:szCs w:val="14"/>
                <w:b w:val="1"/>
                <w:bCs w:val="1"/>
                <w:color w:val="auto"/>
                <w:w w:val="92"/>
              </w:rPr>
              <w:t>Financial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Employer</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290"/>
              <w:spacing w:after="0" w:line="155" w:lineRule="exact"/>
              <w:rPr>
                <w:sz w:val="20"/>
                <w:szCs w:val="20"/>
                <w:color w:val="auto"/>
              </w:rPr>
            </w:pPr>
            <w:r>
              <w:rPr>
                <w:rFonts w:ascii="Arial" w:cs="Arial" w:eastAsia="Arial" w:hAnsi="Arial"/>
                <w:sz w:val="14"/>
                <w:szCs w:val="14"/>
                <w:b w:val="1"/>
                <w:bCs w:val="1"/>
                <w:color w:val="auto"/>
                <w:w w:val="90"/>
              </w:rPr>
              <w:t>Insurance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330"/>
              <w:spacing w:after="0" w:line="155" w:lineRule="exact"/>
              <w:rPr>
                <w:sz w:val="20"/>
                <w:szCs w:val="20"/>
                <w:color w:val="auto"/>
              </w:rPr>
            </w:pPr>
            <w:r>
              <w:rPr>
                <w:rFonts w:ascii="Arial" w:cs="Arial" w:eastAsia="Arial" w:hAnsi="Arial"/>
                <w:sz w:val="14"/>
                <w:szCs w:val="14"/>
                <w:b w:val="1"/>
                <w:bCs w:val="1"/>
                <w:color w:val="auto"/>
                <w:w w:val="91"/>
              </w:rPr>
              <w:t>Advisor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Matching</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Reimbursement</w:t>
            </w:r>
          </w:p>
        </w:tc>
        <w:tc>
          <w:tcPr>
            <w:tcW w:w="960" w:type="dxa"/>
            <w:vAlign w:val="bottom"/>
          </w:tcPr>
          <w:p>
            <w:pPr>
              <w:jc w:val="center"/>
              <w:ind w:left="330"/>
              <w:spacing w:after="0" w:line="149" w:lineRule="exact"/>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w:t>
            </w:r>
          </w:p>
        </w:tc>
        <w:tc>
          <w:tcPr>
            <w:tcW w:w="1000" w:type="dxa"/>
            <w:vAlign w:val="bottom"/>
          </w:tcPr>
          <w:p>
            <w:pPr>
              <w:jc w:val="center"/>
              <w:ind w:left="290"/>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30"/>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53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Legal Fees ($)</w:t>
            </w:r>
          </w:p>
        </w:tc>
        <w:tc>
          <w:tcPr>
            <w:tcW w:w="1360" w:type="dxa"/>
            <w:vAlign w:val="bottom"/>
          </w:tcPr>
          <w:p>
            <w:pPr>
              <w:jc w:val="right"/>
              <w:ind w:right="5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Christopher S. Sotos</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8,190</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19,790</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2,711</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14,111</w:t>
            </w:r>
          </w:p>
        </w:tc>
        <w:tc>
          <w:tcPr>
            <w:tcW w:w="0" w:type="dxa"/>
            <w:vAlign w:val="bottom"/>
          </w:tcPr>
          <w:p>
            <w:pPr>
              <w:spacing w:after="0"/>
              <w:rPr>
                <w:sz w:val="1"/>
                <w:szCs w:val="1"/>
                <w:color w:val="auto"/>
              </w:rPr>
            </w:pPr>
          </w:p>
        </w:tc>
      </w:tr>
      <w:tr>
        <w:trPr>
          <w:trHeight w:val="187"/>
        </w:trPr>
        <w:tc>
          <w:tcPr>
            <w:tcW w:w="3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2,682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14,882</w:t>
            </w:r>
          </w:p>
        </w:tc>
        <w:tc>
          <w:tcPr>
            <w:tcW w:w="0" w:type="dxa"/>
            <w:vAlign w:val="bottom"/>
          </w:tcPr>
          <w:p>
            <w:pPr>
              <w:spacing w:after="0"/>
              <w:rPr>
                <w:sz w:val="1"/>
                <w:szCs w:val="1"/>
                <w:color w:val="auto"/>
              </w:rPr>
            </w:pPr>
          </w:p>
        </w:tc>
      </w:tr>
      <w:tr>
        <w:trPr>
          <w:trHeight w:val="18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Chad Plotkin</w:t>
            </w:r>
          </w:p>
        </w:tc>
        <w:tc>
          <w:tcPr>
            <w:tcW w:w="660" w:type="dxa"/>
            <w:vAlign w:val="bottom"/>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3,000</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14,600</w:t>
            </w:r>
          </w:p>
        </w:tc>
        <w:tc>
          <w:tcPr>
            <w:tcW w:w="0" w:type="dxa"/>
            <w:vAlign w:val="bottom"/>
          </w:tcPr>
          <w:p>
            <w:pPr>
              <w:spacing w:after="0"/>
              <w:rPr>
                <w:sz w:val="1"/>
                <w:szCs w:val="1"/>
                <w:color w:val="auto"/>
              </w:rPr>
            </w:pPr>
          </w:p>
        </w:tc>
      </w:tr>
      <w:tr>
        <w:trPr>
          <w:trHeight w:val="185"/>
        </w:trPr>
        <w:tc>
          <w:tcPr>
            <w:tcW w:w="3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3,000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14,169</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3,000</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15,200</w:t>
            </w:r>
          </w:p>
        </w:tc>
        <w:tc>
          <w:tcPr>
            <w:tcW w:w="0" w:type="dxa"/>
            <w:vAlign w:val="bottom"/>
          </w:tcPr>
          <w:p>
            <w:pPr>
              <w:spacing w:after="0"/>
              <w:rPr>
                <w:sz w:val="1"/>
                <w:szCs w:val="1"/>
                <w:color w:val="auto"/>
              </w:rPr>
            </w:pPr>
          </w:p>
        </w:tc>
      </w:tr>
      <w:tr>
        <w:trPr>
          <w:trHeight w:val="187"/>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Kevin P. Malcarney</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12,550</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10,550</w:t>
            </w: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10,550</w:t>
            </w:r>
          </w:p>
        </w:tc>
        <w:tc>
          <w:tcPr>
            <w:tcW w:w="0" w:type="dxa"/>
            <w:vAlign w:val="bottom"/>
          </w:tcPr>
          <w:p>
            <w:pPr>
              <w:spacing w:after="0"/>
              <w:rPr>
                <w:sz w:val="1"/>
                <w:szCs w:val="1"/>
                <w:color w:val="auto"/>
              </w:rPr>
            </w:pPr>
          </w:p>
        </w:tc>
      </w:tr>
      <w:tr>
        <w:trPr>
          <w:trHeight w:val="187"/>
        </w:trPr>
        <w:tc>
          <w:tcPr>
            <w:tcW w:w="3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2" w:name="page73"/>
    <w:bookmarkEnd w:id="72"/>
    <w:p>
      <w:pPr>
        <w:spacing w:after="0" w:line="207" w:lineRule="exact"/>
        <w:rPr>
          <w:sz w:val="20"/>
          <w:szCs w:val="20"/>
          <w:color w:val="auto"/>
        </w:rPr>
      </w:pPr>
      <w:r>
        <w:rPr>
          <w:rFonts w:ascii="Arial" w:cs="Arial" w:eastAsia="Arial" w:hAnsi="Arial"/>
          <w:sz w:val="18"/>
          <w:szCs w:val="18"/>
          <w:b w:val="1"/>
          <w:bCs w:val="1"/>
          <w:color w:val="auto"/>
        </w:rPr>
        <w:t>Grants of Plan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118"/>
              <w:spacing w:after="0"/>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118"/>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9"/>
              </w:rPr>
              <w:t>Estimated Possible Payouts</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left="118"/>
              <w:spacing w:after="0" w:line="132" w:lineRule="exact"/>
              <w:rPr>
                <w:sz w:val="20"/>
                <w:szCs w:val="20"/>
                <w:color w:val="auto"/>
              </w:rPr>
            </w:pPr>
            <w:r>
              <w:rPr>
                <w:rFonts w:ascii="Arial" w:cs="Arial" w:eastAsia="Arial" w:hAnsi="Arial"/>
                <w:sz w:val="12"/>
                <w:szCs w:val="12"/>
                <w:b w:val="1"/>
                <w:bCs w:val="1"/>
                <w:color w:val="auto"/>
                <w:w w:val="92"/>
              </w:rPr>
              <w:t>Awards: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Under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tcPr>
          <w:p>
            <w:pPr>
              <w:jc w:val="right"/>
              <w:ind w:right="298"/>
              <w:spacing w:after="0" w:line="132" w:lineRule="exact"/>
              <w:rPr>
                <w:sz w:val="20"/>
                <w:szCs w:val="20"/>
                <w:color w:val="auto"/>
              </w:rPr>
            </w:pPr>
            <w:r>
              <w:rPr>
                <w:rFonts w:ascii="Arial" w:cs="Arial" w:eastAsia="Arial" w:hAnsi="Arial"/>
                <w:sz w:val="12"/>
                <w:szCs w:val="12"/>
                <w:b w:val="1"/>
                <w:bCs w:val="1"/>
                <w:color w:val="auto"/>
              </w:rPr>
              <w:t>Estimated Future Payouts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left="118"/>
              <w:spacing w:after="0" w:line="132" w:lineRule="exact"/>
              <w:rPr>
                <w:sz w:val="20"/>
                <w:szCs w:val="20"/>
                <w:color w:val="auto"/>
              </w:rPr>
            </w:pPr>
            <w:r>
              <w:rPr>
                <w:rFonts w:ascii="Arial" w:cs="Arial" w:eastAsia="Arial" w:hAnsi="Arial"/>
                <w:sz w:val="12"/>
                <w:szCs w:val="12"/>
                <w:b w:val="1"/>
                <w:bCs w:val="1"/>
                <w:color w:val="auto"/>
                <w:w w:val="96"/>
              </w:rPr>
              <w:t>Number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of Stock</w:t>
            </w: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4"/>
          </w:tcPr>
          <w:p>
            <w:pPr>
              <w:jc w:val="center"/>
              <w:ind w:right="100"/>
              <w:spacing w:after="0" w:line="138" w:lineRule="exact"/>
              <w:rPr>
                <w:sz w:val="20"/>
                <w:szCs w:val="20"/>
                <w:color w:val="auto"/>
              </w:rPr>
            </w:pPr>
            <w:r>
              <w:rPr>
                <w:rFonts w:ascii="Arial" w:cs="Arial" w:eastAsia="Arial" w:hAnsi="Arial"/>
                <w:sz w:val="12"/>
                <w:szCs w:val="12"/>
                <w:b w:val="1"/>
                <w:bCs w:val="1"/>
                <w:color w:val="auto"/>
                <w:w w:val="95"/>
              </w:rPr>
              <w:t>Non</w:t>
            </w:r>
            <w:r>
              <w:rPr>
                <w:rFonts w:ascii="MS PGothic" w:cs="MS PGothic" w:eastAsia="MS PGothic" w:hAnsi="MS PGothic"/>
                <w:sz w:val="12"/>
                <w:szCs w:val="12"/>
                <w:b w:val="1"/>
                <w:bCs w:val="1"/>
                <w:color w:val="auto"/>
                <w:w w:val="95"/>
              </w:rPr>
              <w:t>‑</w:t>
            </w:r>
            <w:r>
              <w:rPr>
                <w:rFonts w:ascii="Arial" w:cs="Arial" w:eastAsia="Arial" w:hAnsi="Arial"/>
                <w:sz w:val="12"/>
                <w:szCs w:val="12"/>
                <w:b w:val="1"/>
                <w:bCs w:val="1"/>
                <w:color w:val="auto"/>
                <w:w w:val="95"/>
              </w:rPr>
              <w:t>Equity Incentive</w:t>
            </w:r>
          </w:p>
        </w:tc>
        <w:tc>
          <w:tcPr>
            <w:tcW w:w="2300" w:type="dxa"/>
            <w:vAlign w:val="bottom"/>
            <w:gridSpan w:val="3"/>
          </w:tcPr>
          <w:p>
            <w:pPr>
              <w:jc w:val="right"/>
              <w:ind w:right="358"/>
              <w:spacing w:after="0"/>
              <w:rPr>
                <w:sz w:val="20"/>
                <w:szCs w:val="20"/>
                <w:color w:val="auto"/>
              </w:rPr>
            </w:pPr>
            <w:r>
              <w:rPr>
                <w:rFonts w:ascii="Arial" w:cs="Arial" w:eastAsia="Arial" w:hAnsi="Arial"/>
                <w:sz w:val="12"/>
                <w:szCs w:val="12"/>
                <w:b w:val="1"/>
                <w:bCs w:val="1"/>
                <w:color w:val="auto"/>
              </w:rPr>
              <w:t>Under Equity Incentive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118"/>
              <w:spacing w:after="0"/>
              <w:rPr>
                <w:sz w:val="20"/>
                <w:szCs w:val="20"/>
                <w:color w:val="auto"/>
              </w:rPr>
            </w:pPr>
            <w:r>
              <w:rPr>
                <w:rFonts w:ascii="Arial" w:cs="Arial" w:eastAsia="Arial" w:hAnsi="Arial"/>
                <w:sz w:val="12"/>
                <w:szCs w:val="12"/>
                <w:b w:val="1"/>
                <w:bCs w:val="1"/>
                <w:color w:val="auto"/>
                <w:w w:val="87"/>
              </w:rPr>
              <w:t>of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Plan Awards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2"/>
          </w:tcPr>
          <w:p>
            <w:pPr>
              <w:jc w:val="right"/>
              <w:ind w:right="658"/>
              <w:spacing w:after="0"/>
              <w:rPr>
                <w:sz w:val="20"/>
                <w:szCs w:val="20"/>
                <w:color w:val="auto"/>
              </w:rPr>
            </w:pPr>
            <w:r>
              <w:rPr>
                <w:rFonts w:ascii="Arial" w:cs="Arial" w:eastAsia="Arial" w:hAnsi="Arial"/>
                <w:sz w:val="12"/>
                <w:szCs w:val="12"/>
                <w:b w:val="1"/>
                <w:bCs w:val="1"/>
                <w:color w:val="auto"/>
                <w:w w:val="99"/>
              </w:rPr>
              <w:t>Plan Awards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left="118"/>
              <w:spacing w:after="0"/>
              <w:rPr>
                <w:sz w:val="20"/>
                <w:szCs w:val="20"/>
                <w:color w:val="auto"/>
              </w:rPr>
            </w:pPr>
            <w:r>
              <w:rPr>
                <w:rFonts w:ascii="Arial" w:cs="Arial" w:eastAsia="Arial" w:hAnsi="Arial"/>
                <w:sz w:val="12"/>
                <w:szCs w:val="12"/>
                <w:b w:val="1"/>
                <w:bCs w:val="1"/>
                <w:color w:val="auto"/>
                <w:w w:val="92"/>
              </w:rPr>
              <w:t>of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Award</w:t>
            </w:r>
          </w:p>
        </w:tc>
        <w:tc>
          <w:tcPr>
            <w:tcW w:w="8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Grant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6"/>
              </w:rPr>
              <w:t>Approval</w:t>
            </w: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760" w:type="dxa"/>
            <w:vAlign w:val="bottom"/>
            <w:tcBorders>
              <w:top w:val="single" w:sz="8" w:color="auto"/>
            </w:tcBorders>
          </w:tcPr>
          <w:p>
            <w:pPr>
              <w:jc w:val="right"/>
              <w:ind w:right="38"/>
              <w:spacing w:after="0" w:line="120" w:lineRule="exact"/>
              <w:rPr>
                <w:sz w:val="20"/>
                <w:szCs w:val="20"/>
                <w:color w:val="auto"/>
              </w:rPr>
            </w:pPr>
            <w:r>
              <w:rPr>
                <w:rFonts w:ascii="Arial" w:cs="Arial" w:eastAsia="Arial" w:hAnsi="Arial"/>
                <w:sz w:val="12"/>
                <w:szCs w:val="12"/>
                <w:b w:val="1"/>
                <w:bCs w:val="1"/>
                <w:color w:val="auto"/>
              </w:rPr>
              <w:t>Threshold</w:t>
            </w:r>
          </w:p>
        </w:tc>
        <w:tc>
          <w:tcPr>
            <w:tcW w:w="7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8"/>
              </w:rPr>
              <w:t>Target</w:t>
            </w:r>
          </w:p>
        </w:tc>
        <w:tc>
          <w:tcPr>
            <w:tcW w:w="800" w:type="dxa"/>
            <w:vAlign w:val="bottom"/>
            <w:tcBorders>
              <w:top w:val="single" w:sz="8" w:color="auto"/>
            </w:tcBorders>
          </w:tcPr>
          <w:p>
            <w:pPr>
              <w:jc w:val="right"/>
              <w:ind w:right="78"/>
              <w:spacing w:after="0" w:line="120" w:lineRule="exact"/>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10"/>
                <w:szCs w:val="10"/>
                <w:color w:val="auto"/>
              </w:rPr>
            </w:pPr>
          </w:p>
        </w:tc>
        <w:tc>
          <w:tcPr>
            <w:tcW w:w="840" w:type="dxa"/>
            <w:vAlign w:val="bottom"/>
            <w:tcBorders>
              <w:top w:val="single" w:sz="8" w:color="auto"/>
            </w:tcBorders>
          </w:tcPr>
          <w:p>
            <w:pPr>
              <w:jc w:val="right"/>
              <w:ind w:right="78"/>
              <w:spacing w:after="0" w:line="120" w:lineRule="exact"/>
              <w:rPr>
                <w:sz w:val="20"/>
                <w:szCs w:val="20"/>
                <w:color w:val="auto"/>
              </w:rPr>
            </w:pPr>
            <w:r>
              <w:rPr>
                <w:rFonts w:ascii="Arial" w:cs="Arial" w:eastAsia="Arial" w:hAnsi="Arial"/>
                <w:sz w:val="12"/>
                <w:szCs w:val="12"/>
                <w:b w:val="1"/>
                <w:bCs w:val="1"/>
                <w:color w:val="auto"/>
              </w:rPr>
              <w:t>Threshold</w:t>
            </w:r>
          </w:p>
        </w:tc>
        <w:tc>
          <w:tcPr>
            <w:tcW w:w="660" w:type="dxa"/>
            <w:vAlign w:val="bottom"/>
            <w:tcBorders>
              <w:top w:val="single" w:sz="8" w:color="auto"/>
            </w:tcBorders>
          </w:tcPr>
          <w:p>
            <w:pPr>
              <w:jc w:val="right"/>
              <w:ind w:right="78"/>
              <w:spacing w:after="0" w:line="120" w:lineRule="exact"/>
              <w:rPr>
                <w:sz w:val="20"/>
                <w:szCs w:val="20"/>
                <w:color w:val="auto"/>
              </w:rPr>
            </w:pPr>
            <w:r>
              <w:rPr>
                <w:rFonts w:ascii="Arial" w:cs="Arial" w:eastAsia="Arial" w:hAnsi="Arial"/>
                <w:sz w:val="12"/>
                <w:szCs w:val="12"/>
                <w:b w:val="1"/>
                <w:bCs w:val="1"/>
                <w:color w:val="auto"/>
              </w:rPr>
              <w:t>Target</w:t>
            </w:r>
          </w:p>
        </w:tc>
        <w:tc>
          <w:tcPr>
            <w:tcW w:w="8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Maximum</w:t>
            </w:r>
          </w:p>
        </w:tc>
        <w:tc>
          <w:tcPr>
            <w:tcW w:w="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ind w:left="118"/>
              <w:spacing w:after="0" w:line="120" w:lineRule="exact"/>
              <w:rPr>
                <w:sz w:val="20"/>
                <w:szCs w:val="20"/>
                <w:color w:val="auto"/>
              </w:rPr>
            </w:pPr>
            <w:r>
              <w:rPr>
                <w:rFonts w:ascii="Arial" w:cs="Arial" w:eastAsia="Arial" w:hAnsi="Arial"/>
                <w:sz w:val="12"/>
                <w:szCs w:val="12"/>
                <w:b w:val="1"/>
                <w:bCs w:val="1"/>
                <w:color w:val="auto"/>
                <w:w w:val="96"/>
              </w:rPr>
              <w:t>or Units</w:t>
            </w:r>
          </w:p>
        </w:tc>
        <w:tc>
          <w:tcPr>
            <w:tcW w:w="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203"/>
        </w:trPr>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Type</w:t>
            </w: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Date</w:t>
            </w:r>
          </w:p>
        </w:tc>
        <w:tc>
          <w:tcPr>
            <w:tcW w:w="760" w:type="dxa"/>
            <w:vAlign w:val="bottom"/>
          </w:tcPr>
          <w:p>
            <w:pPr>
              <w:jc w:val="right"/>
              <w:ind w:right="178"/>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(2)</w:t>
            </w:r>
          </w:p>
        </w:tc>
        <w:tc>
          <w:tcPr>
            <w:tcW w:w="800" w:type="dxa"/>
            <w:vAlign w:val="bottom"/>
          </w:tcPr>
          <w:p>
            <w:pPr>
              <w:jc w:val="right"/>
              <w:ind w:right="238"/>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(3)</w:t>
            </w:r>
          </w:p>
        </w:tc>
        <w:tc>
          <w:tcPr>
            <w:tcW w:w="100" w:type="dxa"/>
            <w:vAlign w:val="bottom"/>
          </w:tcPr>
          <w:p>
            <w:pPr>
              <w:spacing w:after="0"/>
              <w:rPr>
                <w:sz w:val="17"/>
                <w:szCs w:val="17"/>
                <w:color w:val="auto"/>
              </w:rPr>
            </w:pPr>
          </w:p>
        </w:tc>
        <w:tc>
          <w:tcPr>
            <w:tcW w:w="840" w:type="dxa"/>
            <w:vAlign w:val="bottom"/>
          </w:tcPr>
          <w:p>
            <w:pPr>
              <w:jc w:val="right"/>
              <w:ind w:right="278"/>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78"/>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158"/>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ind w:left="11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1"/>
              </w:rPr>
              <w:t>($)</w:t>
            </w:r>
            <w:r>
              <w:rPr>
                <w:rFonts w:ascii="Arial" w:cs="Arial" w:eastAsia="Arial" w:hAnsi="Arial"/>
                <w:sz w:val="15"/>
                <w:szCs w:val="15"/>
                <w:b w:val="1"/>
                <w:bCs w:val="1"/>
                <w:color w:val="auto"/>
                <w:w w:val="81"/>
                <w:vertAlign w:val="superscript"/>
              </w:rPr>
              <w:t>(4)</w:t>
            </w:r>
          </w:p>
        </w:tc>
        <w:tc>
          <w:tcPr>
            <w:tcW w:w="0" w:type="dxa"/>
            <w:vAlign w:val="bottom"/>
          </w:tcPr>
          <w:p>
            <w:pPr>
              <w:spacing w:after="0"/>
              <w:rPr>
                <w:sz w:val="1"/>
                <w:szCs w:val="1"/>
                <w:color w:val="auto"/>
              </w:rPr>
            </w:pPr>
          </w:p>
        </w:tc>
      </w:tr>
      <w:tr>
        <w:trPr>
          <w:trHeight w:val="159"/>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Christopher S. Sotos</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AIP</w:t>
            </w:r>
          </w:p>
        </w:tc>
        <w:tc>
          <w:tcPr>
            <w:tcW w:w="100" w:type="dxa"/>
            <w:vAlign w:val="bottom"/>
          </w:tcPr>
          <w:p>
            <w:pPr>
              <w:spacing w:after="0"/>
              <w:rPr>
                <w:sz w:val="13"/>
                <w:szCs w:val="13"/>
                <w:color w:val="auto"/>
              </w:rPr>
            </w:pP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314,665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629,330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1,258,660</w:t>
            </w:r>
          </w:p>
        </w:tc>
        <w:tc>
          <w:tcPr>
            <w:tcW w:w="10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RPSU</w:t>
            </w:r>
          </w:p>
        </w:tc>
        <w:tc>
          <w:tcPr>
            <w:tcW w:w="7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61,979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954,056</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RSU</w:t>
            </w:r>
          </w:p>
        </w:tc>
        <w:tc>
          <w:tcPr>
            <w:tcW w:w="740" w:type="dxa"/>
            <w:vAlign w:val="bottom"/>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20"/>
                <w:szCs w:val="20"/>
                <w:color w:val="auto"/>
              </w:rPr>
            </w:pPr>
            <w:r>
              <w:rPr>
                <w:rFonts w:ascii="Arial" w:cs="Arial" w:eastAsia="Arial" w:hAnsi="Arial"/>
                <w:sz w:val="12"/>
                <w:szCs w:val="12"/>
                <w:color w:val="auto"/>
              </w:rPr>
              <w:t>20,233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581,092</w:t>
            </w:r>
          </w:p>
        </w:tc>
        <w:tc>
          <w:tcPr>
            <w:tcW w:w="0" w:type="dxa"/>
            <w:vAlign w:val="bottom"/>
          </w:tcPr>
          <w:p>
            <w:pPr>
              <w:spacing w:after="0"/>
              <w:rPr>
                <w:sz w:val="1"/>
                <w:szCs w:val="1"/>
                <w:color w:val="auto"/>
              </w:rPr>
            </w:pPr>
          </w:p>
        </w:tc>
      </w:tr>
      <w:tr>
        <w:trPr>
          <w:trHeight w:val="19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Chad Plotkin</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AIP</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2"/>
                <w:szCs w:val="12"/>
                <w:color w:val="auto"/>
                <w:w w:val="92"/>
              </w:rPr>
              <w:t>117,420</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96"/>
              </w:rPr>
              <w:t>234,840</w:t>
            </w:r>
          </w:p>
        </w:tc>
        <w:tc>
          <w:tcPr>
            <w:tcW w:w="8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7"/>
              </w:rPr>
              <w:t>469,680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RPSU</w:t>
            </w:r>
          </w:p>
        </w:tc>
        <w:tc>
          <w:tcPr>
            <w:tcW w:w="740" w:type="dxa"/>
            <w:vAlign w:val="bottom"/>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2,870</w:t>
            </w:r>
          </w:p>
        </w:tc>
        <w:tc>
          <w:tcPr>
            <w:tcW w:w="660" w:type="dxa"/>
            <w:vAlign w:val="bottom"/>
          </w:tcPr>
          <w:p>
            <w:pPr>
              <w:ind w:left="40"/>
              <w:spacing w:after="0"/>
              <w:rPr>
                <w:sz w:val="20"/>
                <w:szCs w:val="20"/>
                <w:color w:val="auto"/>
              </w:rPr>
            </w:pPr>
            <w:r>
              <w:rPr>
                <w:rFonts w:ascii="Arial" w:cs="Arial" w:eastAsia="Arial" w:hAnsi="Arial"/>
                <w:sz w:val="12"/>
                <w:szCs w:val="12"/>
                <w:color w:val="auto"/>
              </w:rPr>
              <w:t>11,481</w:t>
            </w:r>
          </w:p>
        </w:tc>
        <w:tc>
          <w:tcPr>
            <w:tcW w:w="800" w:type="dxa"/>
            <w:vAlign w:val="bottom"/>
          </w:tcPr>
          <w:p>
            <w:pPr>
              <w:jc w:val="right"/>
              <w:ind w:right="358"/>
              <w:spacing w:after="0"/>
              <w:rPr>
                <w:sz w:val="20"/>
                <w:szCs w:val="20"/>
                <w:color w:val="auto"/>
              </w:rPr>
            </w:pPr>
            <w:r>
              <w:rPr>
                <w:rFonts w:ascii="Arial" w:cs="Arial" w:eastAsia="Arial" w:hAnsi="Arial"/>
                <w:sz w:val="12"/>
                <w:szCs w:val="12"/>
                <w:color w:val="auto"/>
                <w:w w:val="97"/>
              </w:rPr>
              <w:t>17,222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265,096</w:t>
            </w: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4"/>
              </w:rPr>
              <w:t>RSU</w:t>
            </w:r>
          </w:p>
        </w:tc>
        <w:tc>
          <w:tcPr>
            <w:tcW w:w="7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5,622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161,464</w:t>
            </w:r>
          </w:p>
        </w:tc>
        <w:tc>
          <w:tcPr>
            <w:tcW w:w="0" w:type="dxa"/>
            <w:vAlign w:val="bottom"/>
          </w:tcPr>
          <w:p>
            <w:pPr>
              <w:spacing w:after="0"/>
              <w:rPr>
                <w:sz w:val="1"/>
                <w:szCs w:val="1"/>
                <w:color w:val="auto"/>
              </w:rPr>
            </w:pPr>
          </w:p>
        </w:tc>
      </w:tr>
      <w:tr>
        <w:trPr>
          <w:trHeight w:val="176"/>
        </w:trPr>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Kevin P. Malcarney</w:t>
            </w:r>
          </w:p>
        </w:tc>
        <w:tc>
          <w:tcPr>
            <w:tcW w:w="760" w:type="dxa"/>
            <w:vAlign w:val="bottom"/>
            <w:gridSpan w:val="2"/>
          </w:tcPr>
          <w:p>
            <w:pPr>
              <w:jc w:val="center"/>
              <w:ind w:right="80"/>
              <w:spacing w:after="0"/>
              <w:rPr>
                <w:sz w:val="20"/>
                <w:szCs w:val="20"/>
                <w:color w:val="auto"/>
              </w:rPr>
            </w:pPr>
            <w:r>
              <w:rPr>
                <w:rFonts w:ascii="Arial" w:cs="Arial" w:eastAsia="Arial" w:hAnsi="Arial"/>
                <w:sz w:val="12"/>
                <w:szCs w:val="12"/>
                <w:color w:val="auto"/>
              </w:rPr>
              <w:t>AIP</w:t>
            </w: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96,000</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w w:val="96"/>
              </w:rPr>
              <w:t>192,000</w:t>
            </w:r>
          </w:p>
        </w:tc>
        <w:tc>
          <w:tcPr>
            <w:tcW w:w="800" w:type="dxa"/>
            <w:vAlign w:val="bottom"/>
          </w:tcPr>
          <w:p>
            <w:pPr>
              <w:jc w:val="right"/>
              <w:ind w:right="338"/>
              <w:spacing w:after="0"/>
              <w:rPr>
                <w:sz w:val="20"/>
                <w:szCs w:val="20"/>
                <w:color w:val="auto"/>
              </w:rPr>
            </w:pPr>
            <w:r>
              <w:rPr>
                <w:rFonts w:ascii="Arial" w:cs="Arial" w:eastAsia="Arial" w:hAnsi="Arial"/>
                <w:sz w:val="12"/>
                <w:szCs w:val="12"/>
                <w:color w:val="auto"/>
                <w:w w:val="87"/>
              </w:rPr>
              <w:t>384,000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RPSU</w:t>
            </w:r>
          </w:p>
        </w:tc>
        <w:tc>
          <w:tcPr>
            <w:tcW w:w="7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78"/>
              <w:spacing w:after="0"/>
              <w:rPr>
                <w:sz w:val="20"/>
                <w:szCs w:val="20"/>
                <w:color w:val="auto"/>
              </w:rPr>
            </w:pPr>
            <w:r>
              <w:rPr>
                <w:rFonts w:ascii="Arial" w:cs="Arial" w:eastAsia="Arial" w:hAnsi="Arial"/>
                <w:sz w:val="12"/>
                <w:szCs w:val="12"/>
                <w:color w:val="auto"/>
                <w:w w:val="93"/>
              </w:rPr>
              <w:t>2,347</w:t>
            </w:r>
          </w:p>
        </w:tc>
        <w:tc>
          <w:tcPr>
            <w:tcW w:w="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9,387</w:t>
            </w:r>
          </w:p>
        </w:tc>
        <w:tc>
          <w:tcPr>
            <w:tcW w:w="8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97"/>
              </w:rPr>
              <w:t>14,081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216,746</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RSU</w:t>
            </w:r>
          </w:p>
        </w:tc>
        <w:tc>
          <w:tcPr>
            <w:tcW w:w="740" w:type="dxa"/>
            <w:vAlign w:val="bottom"/>
          </w:tcPr>
          <w:p>
            <w:pPr>
              <w:ind w:left="220"/>
              <w:spacing w:after="0"/>
              <w:rPr>
                <w:sz w:val="20"/>
                <w:szCs w:val="20"/>
                <w:color w:val="auto"/>
              </w:rPr>
            </w:pPr>
            <w:r>
              <w:rPr>
                <w:rFonts w:ascii="Arial" w:cs="Arial" w:eastAsia="Arial" w:hAnsi="Arial"/>
                <w:sz w:val="12"/>
                <w:szCs w:val="12"/>
                <w:color w:val="auto"/>
                <w:w w:val="93"/>
              </w:rPr>
              <w:t>4/15/2021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2/19/2021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20"/>
                <w:szCs w:val="20"/>
                <w:color w:val="auto"/>
              </w:rPr>
            </w:pPr>
            <w:r>
              <w:rPr>
                <w:rFonts w:ascii="Arial" w:cs="Arial" w:eastAsia="Arial" w:hAnsi="Arial"/>
                <w:sz w:val="12"/>
                <w:szCs w:val="12"/>
                <w:color w:val="auto"/>
              </w:rPr>
              <w:t>4,597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138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95" w:lineRule="exact"/>
        <w:rPr>
          <w:sz w:val="20"/>
          <w:szCs w:val="20"/>
          <w:color w:val="auto"/>
        </w:rPr>
      </w:pPr>
    </w:p>
    <w:p>
      <w:pPr>
        <w:ind w:left="200" w:hanging="194"/>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Threshold non-equity incentive plan awards include annual incentive plan threshold payments, as presented in the CD&amp;A.</w:t>
      </w:r>
    </w:p>
    <w:p>
      <w:pPr>
        <w:spacing w:after="0" w:line="9" w:lineRule="exact"/>
        <w:rPr>
          <w:rFonts w:ascii="Arial" w:cs="Arial" w:eastAsia="Arial" w:hAnsi="Arial"/>
          <w:sz w:val="14"/>
          <w:szCs w:val="14"/>
          <w:color w:val="auto"/>
        </w:rPr>
      </w:pPr>
    </w:p>
    <w:p>
      <w:pPr>
        <w:ind w:left="200" w:hanging="194"/>
        <w:spacing w:after="0" w:line="235" w:lineRule="auto"/>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Target non-equity incentive plan awards include annual incentive plan target payments, as presented in the CD&amp;A.</w:t>
      </w:r>
    </w:p>
    <w:p>
      <w:pPr>
        <w:ind w:left="200" w:hanging="194"/>
        <w:spacing w:after="0" w:line="235" w:lineRule="auto"/>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Maximum non-equity incentive plan awards include annual incentive plan maximum payments, as presented in the CD&amp;A.</w:t>
      </w:r>
    </w:p>
    <w:p>
      <w:pPr>
        <w:jc w:val="both"/>
        <w:ind w:firstLine="6"/>
        <w:spacing w:after="0" w:line="292" w:lineRule="auto"/>
        <w:tabs>
          <w:tab w:leader="none" w:pos="199"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For the years preceding 2020, the fair value of RPSUs was estimated on the date of grant using a Monte Carlo simulation model. Beginning with awards made in 2020, the fair value of RPSUs is based on the 10-day average closing price of the Company’s Class C common stock ending on the date of grant. This change in determining fair value of the RPSUs was implemented after reviewing the compensation practices of Compensation Peer Group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Stock Awards</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Number of</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Number of</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Number</w:t>
            </w:r>
          </w:p>
        </w:tc>
        <w:tc>
          <w:tcPr>
            <w:tcW w:w="980" w:type="dxa"/>
            <w:vAlign w:val="bottom"/>
          </w:tcPr>
          <w:p>
            <w:pPr>
              <w:jc w:val="center"/>
              <w:ind w:left="78"/>
              <w:spacing w:after="0"/>
              <w:rPr>
                <w:sz w:val="20"/>
                <w:szCs w:val="20"/>
                <w:color w:val="auto"/>
              </w:rPr>
            </w:pPr>
            <w:r>
              <w:rPr>
                <w:rFonts w:ascii="Arial" w:cs="Arial" w:eastAsia="Arial" w:hAnsi="Arial"/>
                <w:sz w:val="12"/>
                <w:szCs w:val="12"/>
                <w:b w:val="1"/>
                <w:bCs w:val="1"/>
                <w:color w:val="auto"/>
                <w:w w:val="97"/>
              </w:rPr>
              <w:t>Market 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3"/>
          </w:tcPr>
          <w:p>
            <w:pPr>
              <w:jc w:val="right"/>
              <w:ind w:right="538"/>
              <w:spacing w:after="0"/>
              <w:rPr>
                <w:sz w:val="20"/>
                <w:szCs w:val="20"/>
                <w:color w:val="auto"/>
              </w:rPr>
            </w:pPr>
            <w:r>
              <w:rPr>
                <w:rFonts w:ascii="Arial" w:cs="Arial" w:eastAsia="Arial" w:hAnsi="Arial"/>
                <w:sz w:val="12"/>
                <w:szCs w:val="12"/>
                <w:b w:val="1"/>
                <w:bCs w:val="1"/>
                <w:color w:val="auto"/>
              </w:rPr>
              <w:t>Equity Incentive Plan Awards</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Securities</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Securities</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of Shares</w:t>
            </w:r>
          </w:p>
        </w:tc>
        <w:tc>
          <w:tcPr>
            <w:tcW w:w="980" w:type="dxa"/>
            <w:vAlign w:val="bottom"/>
          </w:tcPr>
          <w:p>
            <w:pPr>
              <w:jc w:val="center"/>
              <w:ind w:left="78"/>
              <w:spacing w:after="0"/>
              <w:rPr>
                <w:sz w:val="20"/>
                <w:szCs w:val="20"/>
                <w:color w:val="auto"/>
              </w:rPr>
            </w:pPr>
            <w:r>
              <w:rPr>
                <w:rFonts w:ascii="Arial" w:cs="Arial" w:eastAsia="Arial" w:hAnsi="Arial"/>
                <w:sz w:val="12"/>
                <w:szCs w:val="12"/>
                <w:b w:val="1"/>
                <w:bCs w:val="1"/>
                <w:color w:val="auto"/>
                <w:w w:val="91"/>
              </w:rPr>
              <w:t>of Shares or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Number of</w:t>
            </w:r>
          </w:p>
        </w:tc>
        <w:tc>
          <w:tcPr>
            <w:tcW w:w="1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Market Value</w:t>
            </w: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2"/>
              </w:rPr>
              <w:t>Underlying</w:t>
            </w:r>
          </w:p>
        </w:tc>
        <w:tc>
          <w:tcPr>
            <w:tcW w:w="12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93"/>
              </w:rPr>
              <w:t>or Units of</w:t>
            </w:r>
          </w:p>
        </w:tc>
        <w:tc>
          <w:tcPr>
            <w:tcW w:w="980" w:type="dxa"/>
            <w:vAlign w:val="bottom"/>
          </w:tcPr>
          <w:p>
            <w:pPr>
              <w:jc w:val="center"/>
              <w:ind w:left="78"/>
              <w:spacing w:after="0" w:line="132" w:lineRule="exact"/>
              <w:rPr>
                <w:sz w:val="20"/>
                <w:szCs w:val="20"/>
                <w:color w:val="auto"/>
              </w:rPr>
            </w:pPr>
            <w:r>
              <w:rPr>
                <w:rFonts w:ascii="Arial" w:cs="Arial" w:eastAsia="Arial" w:hAnsi="Arial"/>
                <w:sz w:val="12"/>
                <w:szCs w:val="12"/>
                <w:b w:val="1"/>
                <w:bCs w:val="1"/>
                <w:color w:val="auto"/>
                <w:w w:val="89"/>
              </w:rPr>
              <w:t>Units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93"/>
              </w:rPr>
              <w:t>Unearned</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9"/>
              </w:rPr>
              <w:t>Unexercised</w:t>
            </w:r>
          </w:p>
        </w:tc>
        <w:tc>
          <w:tcPr>
            <w:tcW w:w="12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9"/>
              </w:rPr>
              <w:t>Unexercised</w:t>
            </w:r>
          </w:p>
        </w:tc>
        <w:tc>
          <w:tcPr>
            <w:tcW w:w="680" w:type="dxa"/>
            <w:vAlign w:val="bottom"/>
          </w:tcPr>
          <w:p>
            <w:pPr>
              <w:jc w:val="center"/>
              <w:ind w:left="138"/>
              <w:spacing w:after="0" w:line="132" w:lineRule="exact"/>
              <w:rPr>
                <w:sz w:val="20"/>
                <w:szCs w:val="20"/>
                <w:color w:val="auto"/>
              </w:rPr>
            </w:pPr>
            <w:r>
              <w:rPr>
                <w:rFonts w:ascii="Arial" w:cs="Arial" w:eastAsia="Arial" w:hAnsi="Arial"/>
                <w:sz w:val="12"/>
                <w:szCs w:val="12"/>
                <w:b w:val="1"/>
                <w:bCs w:val="1"/>
                <w:color w:val="auto"/>
                <w:w w:val="92"/>
              </w:rPr>
              <w:t>Option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3"/>
              </w:rPr>
              <w:t>Stock that</w:t>
            </w:r>
          </w:p>
        </w:tc>
        <w:tc>
          <w:tcPr>
            <w:tcW w:w="980" w:type="dxa"/>
            <w:vAlign w:val="bottom"/>
          </w:tcPr>
          <w:p>
            <w:pPr>
              <w:jc w:val="center"/>
              <w:ind w:left="78"/>
              <w:spacing w:after="0" w:line="132" w:lineRule="exact"/>
              <w:rPr>
                <w:sz w:val="20"/>
                <w:szCs w:val="20"/>
                <w:color w:val="auto"/>
              </w:rPr>
            </w:pPr>
            <w:r>
              <w:rPr>
                <w:rFonts w:ascii="Arial" w:cs="Arial" w:eastAsia="Arial" w:hAnsi="Arial"/>
                <w:sz w:val="12"/>
                <w:szCs w:val="12"/>
                <w:b w:val="1"/>
                <w:bCs w:val="1"/>
                <w:color w:val="auto"/>
                <w:w w:val="89"/>
              </w:rPr>
              <w:t>Stock that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91"/>
              </w:rPr>
              <w:t>Shares that</w:t>
            </w:r>
          </w:p>
        </w:tc>
        <w:tc>
          <w:tcPr>
            <w:tcW w:w="14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1"/>
              </w:rPr>
              <w:t>of Unearned</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7" w:lineRule="exact"/>
              <w:rPr>
                <w:sz w:val="20"/>
                <w:szCs w:val="20"/>
                <w:color w:val="auto"/>
              </w:rPr>
            </w:pPr>
            <w:r>
              <w:rPr>
                <w:rFonts w:ascii="Arial" w:cs="Arial" w:eastAsia="Arial" w:hAnsi="Arial"/>
                <w:sz w:val="12"/>
                <w:szCs w:val="12"/>
                <w:b w:val="1"/>
                <w:bCs w:val="1"/>
                <w:color w:val="auto"/>
                <w:w w:val="92"/>
              </w:rPr>
              <w:t>Options</w:t>
            </w:r>
          </w:p>
        </w:tc>
        <w:tc>
          <w:tcPr>
            <w:tcW w:w="126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auto"/>
                <w:w w:val="92"/>
              </w:rPr>
              <w:t>Options</w:t>
            </w:r>
          </w:p>
        </w:tc>
        <w:tc>
          <w:tcPr>
            <w:tcW w:w="680" w:type="dxa"/>
            <w:vAlign w:val="bottom"/>
          </w:tcPr>
          <w:p>
            <w:pPr>
              <w:jc w:val="center"/>
              <w:ind w:left="138"/>
              <w:spacing w:after="0" w:line="137" w:lineRule="exact"/>
              <w:rPr>
                <w:sz w:val="20"/>
                <w:szCs w:val="20"/>
                <w:color w:val="auto"/>
              </w:rPr>
            </w:pPr>
            <w:r>
              <w:rPr>
                <w:rFonts w:ascii="Arial" w:cs="Arial" w:eastAsia="Arial" w:hAnsi="Arial"/>
                <w:sz w:val="12"/>
                <w:szCs w:val="12"/>
                <w:b w:val="1"/>
                <w:bCs w:val="1"/>
                <w:color w:val="auto"/>
                <w:w w:val="89"/>
              </w:rPr>
              <w:t>Exercise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58"/>
              <w:spacing w:after="0" w:line="137" w:lineRule="exact"/>
              <w:rPr>
                <w:sz w:val="20"/>
                <w:szCs w:val="20"/>
                <w:color w:val="auto"/>
              </w:rPr>
            </w:pPr>
            <w:r>
              <w:rPr>
                <w:rFonts w:ascii="Arial" w:cs="Arial" w:eastAsia="Arial" w:hAnsi="Arial"/>
                <w:sz w:val="12"/>
                <w:szCs w:val="12"/>
                <w:b w:val="1"/>
                <w:bCs w:val="1"/>
                <w:color w:val="auto"/>
                <w:w w:val="92"/>
              </w:rPr>
              <w:t>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6"/>
              </w:rPr>
              <w:t>Have Not</w:t>
            </w:r>
          </w:p>
        </w:tc>
        <w:tc>
          <w:tcPr>
            <w:tcW w:w="980" w:type="dxa"/>
            <w:vAlign w:val="bottom"/>
          </w:tcPr>
          <w:p>
            <w:pPr>
              <w:jc w:val="center"/>
              <w:ind w:left="78"/>
              <w:spacing w:after="0" w:line="137" w:lineRule="exact"/>
              <w:rPr>
                <w:sz w:val="20"/>
                <w:szCs w:val="20"/>
                <w:color w:val="auto"/>
              </w:rPr>
            </w:pPr>
            <w:r>
              <w:rPr>
                <w:rFonts w:ascii="Arial" w:cs="Arial" w:eastAsia="Arial" w:hAnsi="Arial"/>
                <w:sz w:val="12"/>
                <w:szCs w:val="12"/>
                <w:b w:val="1"/>
                <w:bCs w:val="1"/>
                <w:color w:val="auto"/>
                <w:w w:val="92"/>
              </w:rPr>
              <w:t>Have Not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0"/>
              </w:rPr>
              <w:t>Have</w:t>
            </w:r>
          </w:p>
        </w:tc>
        <w:tc>
          <w:tcPr>
            <w:tcW w:w="14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Shares that Have</w:t>
            </w: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left="258"/>
              <w:spacing w:after="0" w:line="132" w:lineRule="exact"/>
              <w:rPr>
                <w:sz w:val="20"/>
                <w:szCs w:val="20"/>
                <w:color w:val="auto"/>
              </w:rPr>
            </w:pPr>
            <w:r>
              <w:rPr>
                <w:rFonts w:ascii="Arial" w:cs="Arial" w:eastAsia="Arial" w:hAnsi="Arial"/>
                <w:sz w:val="12"/>
                <w:szCs w:val="12"/>
                <w:b w:val="1"/>
                <w:bCs w:val="1"/>
                <w:color w:val="auto"/>
                <w:w w:val="95"/>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1"/>
                <w:szCs w:val="11"/>
                <w:color w:val="auto"/>
              </w:rPr>
            </w:pPr>
          </w:p>
        </w:tc>
        <w:tc>
          <w:tcPr>
            <w:tcW w:w="680" w:type="dxa"/>
            <w:vAlign w:val="bottom"/>
          </w:tcPr>
          <w:p>
            <w:pPr>
              <w:jc w:val="center"/>
              <w:ind w:left="138"/>
              <w:spacing w:after="0" w:line="132" w:lineRule="exact"/>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58"/>
              <w:spacing w:after="0" w:line="132" w:lineRule="exact"/>
              <w:rPr>
                <w:sz w:val="20"/>
                <w:szCs w:val="20"/>
                <w:color w:val="auto"/>
              </w:rPr>
            </w:pPr>
            <w:r>
              <w:rPr>
                <w:rFonts w:ascii="Arial" w:cs="Arial" w:eastAsia="Arial" w:hAnsi="Arial"/>
                <w:sz w:val="12"/>
                <w:szCs w:val="12"/>
                <w:b w:val="1"/>
                <w:bCs w:val="1"/>
                <w:color w:val="auto"/>
                <w:w w:val="95"/>
              </w:rPr>
              <w:t>Expiration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6"/>
              </w:rPr>
              <w:t>Vested</w:t>
            </w:r>
          </w:p>
        </w:tc>
        <w:tc>
          <w:tcPr>
            <w:tcW w:w="980" w:type="dxa"/>
            <w:vAlign w:val="bottom"/>
          </w:tcPr>
          <w:p>
            <w:pPr>
              <w:jc w:val="center"/>
              <w:ind w:left="78"/>
              <w:spacing w:after="0" w:line="132" w:lineRule="exact"/>
              <w:rPr>
                <w:sz w:val="20"/>
                <w:szCs w:val="20"/>
                <w:color w:val="auto"/>
              </w:rPr>
            </w:pPr>
            <w:r>
              <w:rPr>
                <w:rFonts w:ascii="Arial" w:cs="Arial" w:eastAsia="Arial" w:hAnsi="Arial"/>
                <w:sz w:val="12"/>
                <w:szCs w:val="12"/>
                <w:b w:val="1"/>
                <w:bCs w:val="1"/>
                <w:color w:val="auto"/>
                <w:w w:val="91"/>
              </w:rPr>
              <w:t>Vested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92"/>
              </w:rPr>
              <w:t>Not Vested</w:t>
            </w:r>
          </w:p>
        </w:tc>
        <w:tc>
          <w:tcPr>
            <w:tcW w:w="14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Not Vested</w:t>
            </w: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Exercisable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Unexercisable</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center"/>
              <w:ind w:left="138"/>
              <w:spacing w:after="0"/>
              <w:rPr>
                <w:sz w:val="20"/>
                <w:szCs w:val="20"/>
                <w:color w:val="auto"/>
              </w:rPr>
            </w:pPr>
            <w:r>
              <w:rPr>
                <w:rFonts w:ascii="Arial" w:cs="Arial" w:eastAsia="Arial" w:hAnsi="Arial"/>
                <w:sz w:val="12"/>
                <w:szCs w:val="12"/>
                <w:b w:val="1"/>
                <w:bCs w:val="1"/>
                <w:color w:val="auto"/>
              </w:rPr>
              <w:t>($)</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ind w:left="158"/>
              <w:spacing w:after="0"/>
              <w:rPr>
                <w:sz w:val="20"/>
                <w:szCs w:val="20"/>
                <w:color w:val="auto"/>
              </w:rPr>
            </w:pPr>
            <w:r>
              <w:rPr>
                <w:rFonts w:ascii="Arial" w:cs="Arial" w:eastAsia="Arial" w:hAnsi="Arial"/>
                <w:sz w:val="12"/>
                <w:szCs w:val="12"/>
                <w:b w:val="1"/>
                <w:bCs w:val="1"/>
                <w:color w:val="auto"/>
                <w:w w:val="92"/>
              </w:rPr>
              <w:t>Date</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(1)</w:t>
            </w: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(1)</w:t>
            </w:r>
          </w:p>
        </w:tc>
        <w:tc>
          <w:tcPr>
            <w:tcW w:w="0" w:type="dxa"/>
            <w:vAlign w:val="bottom"/>
          </w:tcPr>
          <w:p>
            <w:pPr>
              <w:spacing w:after="0"/>
              <w:rPr>
                <w:sz w:val="1"/>
                <w:szCs w:val="1"/>
                <w:color w:val="auto"/>
              </w:rPr>
            </w:pPr>
          </w:p>
        </w:tc>
      </w:tr>
      <w:tr>
        <w:trPr>
          <w:trHeight w:val="178"/>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Christopher S. Sotos</w:t>
            </w:r>
          </w:p>
        </w:tc>
        <w:tc>
          <w:tcPr>
            <w:tcW w:w="6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98"/>
              <w:spacing w:after="0"/>
              <w:rPr>
                <w:sz w:val="20"/>
                <w:szCs w:val="20"/>
                <w:color w:val="auto"/>
              </w:rPr>
            </w:pPr>
            <w:r>
              <w:rPr>
                <w:rFonts w:ascii="Arial" w:cs="Arial" w:eastAsia="Arial" w:hAnsi="Arial"/>
                <w:sz w:val="12"/>
                <w:szCs w:val="12"/>
                <w:color w:val="auto"/>
                <w:w w:val="85"/>
              </w:rPr>
              <w:t>52,227</w:t>
            </w:r>
            <w:r>
              <w:rPr>
                <w:rFonts w:ascii="Arial" w:cs="Arial" w:eastAsia="Arial" w:hAnsi="Arial"/>
                <w:sz w:val="15"/>
                <w:szCs w:val="15"/>
                <w:color w:val="auto"/>
                <w:w w:val="85"/>
                <w:vertAlign w:val="superscript"/>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1,881,739</w:t>
            </w:r>
          </w:p>
        </w:tc>
        <w:tc>
          <w:tcPr>
            <w:tcW w:w="146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166,383</w:t>
            </w:r>
            <w:r>
              <w:rPr>
                <w:rFonts w:ascii="Arial" w:cs="Arial" w:eastAsia="Arial" w:hAnsi="Arial"/>
                <w:sz w:val="15"/>
                <w:szCs w:val="15"/>
                <w:color w:val="auto"/>
                <w:vertAlign w:val="superscript"/>
              </w:rPr>
              <w:t>(3)</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38"/>
              <w:spacing w:after="0"/>
              <w:rPr>
                <w:sz w:val="20"/>
                <w:szCs w:val="20"/>
                <w:color w:val="auto"/>
              </w:rPr>
            </w:pPr>
            <w:r>
              <w:rPr>
                <w:rFonts w:ascii="Arial" w:cs="Arial" w:eastAsia="Arial" w:hAnsi="Arial"/>
                <w:sz w:val="12"/>
                <w:szCs w:val="12"/>
                <w:color w:val="auto"/>
                <w:w w:val="89"/>
              </w:rPr>
              <w:t>5,994,779</w:t>
            </w:r>
          </w:p>
        </w:tc>
        <w:tc>
          <w:tcPr>
            <w:tcW w:w="0" w:type="dxa"/>
            <w:vAlign w:val="bottom"/>
          </w:tcPr>
          <w:p>
            <w:pPr>
              <w:spacing w:after="0"/>
              <w:rPr>
                <w:sz w:val="1"/>
                <w:szCs w:val="1"/>
                <w:color w:val="auto"/>
              </w:rPr>
            </w:pPr>
          </w:p>
        </w:tc>
      </w:tr>
      <w:tr>
        <w:trPr>
          <w:trHeight w:val="185"/>
        </w:trPr>
        <w:tc>
          <w:tcPr>
            <w:tcW w:w="1520" w:type="dxa"/>
            <w:vAlign w:val="bottom"/>
            <w:gridSpan w:val="2"/>
          </w:tcPr>
          <w:p>
            <w:pPr>
              <w:ind w:left="20"/>
              <w:spacing w:after="0"/>
              <w:rPr>
                <w:sz w:val="20"/>
                <w:szCs w:val="20"/>
                <w:color w:val="auto"/>
              </w:rPr>
            </w:pPr>
            <w:r>
              <w:rPr>
                <w:rFonts w:ascii="Arial" w:cs="Arial" w:eastAsia="Arial" w:hAnsi="Arial"/>
                <w:sz w:val="12"/>
                <w:szCs w:val="12"/>
                <w:color w:val="auto"/>
              </w:rPr>
              <w:t>Chad Plotkin</w:t>
            </w:r>
          </w:p>
        </w:tc>
        <w:tc>
          <w:tcPr>
            <w:tcW w:w="6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auto"/>
              </w:rPr>
              <w:t>—</w:t>
            </w:r>
          </w:p>
        </w:tc>
        <w:tc>
          <w:tcPr>
            <w:tcW w:w="3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598"/>
              <w:spacing w:after="0"/>
              <w:rPr>
                <w:sz w:val="20"/>
                <w:szCs w:val="20"/>
                <w:color w:val="auto"/>
              </w:rPr>
            </w:pPr>
            <w:r>
              <w:rPr>
                <w:rFonts w:ascii="Arial" w:cs="Arial" w:eastAsia="Arial" w:hAnsi="Arial"/>
                <w:sz w:val="12"/>
                <w:szCs w:val="12"/>
                <w:color w:val="auto"/>
                <w:w w:val="85"/>
              </w:rPr>
              <w:t>15,215</w:t>
            </w:r>
            <w:r>
              <w:rPr>
                <w:rFonts w:ascii="Arial" w:cs="Arial" w:eastAsia="Arial" w:hAnsi="Arial"/>
                <w:sz w:val="15"/>
                <w:szCs w:val="15"/>
                <w:color w:val="auto"/>
                <w:w w:val="85"/>
                <w:vertAlign w:val="superscript"/>
              </w:rPr>
              <w:t>(4)</w:t>
            </w:r>
          </w:p>
        </w:tc>
        <w:tc>
          <w:tcPr>
            <w:tcW w:w="10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548,196</w:t>
            </w:r>
          </w:p>
        </w:tc>
        <w:tc>
          <w:tcPr>
            <w:tcW w:w="1460" w:type="dxa"/>
            <w:vAlign w:val="bottom"/>
            <w:gridSpan w:val="3"/>
          </w:tcPr>
          <w:p>
            <w:pPr>
              <w:ind w:left="260"/>
              <w:spacing w:after="0"/>
              <w:rPr>
                <w:sz w:val="20"/>
                <w:szCs w:val="20"/>
                <w:color w:val="auto"/>
              </w:rPr>
            </w:pPr>
            <w:r>
              <w:rPr>
                <w:rFonts w:ascii="Arial" w:cs="Arial" w:eastAsia="Arial" w:hAnsi="Arial"/>
                <w:sz w:val="12"/>
                <w:szCs w:val="12"/>
                <w:color w:val="auto"/>
              </w:rPr>
              <w:t>49,317</w:t>
            </w:r>
            <w:r>
              <w:rPr>
                <w:rFonts w:ascii="Arial" w:cs="Arial" w:eastAsia="Arial" w:hAnsi="Arial"/>
                <w:sz w:val="15"/>
                <w:szCs w:val="15"/>
                <w:color w:val="auto"/>
                <w:vertAlign w:val="superscript"/>
              </w:rPr>
              <w:t>(5)</w:t>
            </w:r>
          </w:p>
        </w:tc>
        <w:tc>
          <w:tcPr>
            <w:tcW w:w="160" w:type="dxa"/>
            <w:vAlign w:val="bottom"/>
          </w:tcPr>
          <w:p>
            <w:pPr>
              <w:spacing w:after="0"/>
              <w:rPr>
                <w:sz w:val="16"/>
                <w:szCs w:val="16"/>
                <w:color w:val="auto"/>
              </w:rPr>
            </w:pPr>
          </w:p>
        </w:tc>
        <w:tc>
          <w:tcPr>
            <w:tcW w:w="1400" w:type="dxa"/>
            <w:vAlign w:val="bottom"/>
          </w:tcPr>
          <w:p>
            <w:pPr>
              <w:jc w:val="right"/>
              <w:ind w:right="838"/>
              <w:spacing w:after="0"/>
              <w:rPr>
                <w:sz w:val="20"/>
                <w:szCs w:val="20"/>
                <w:color w:val="auto"/>
              </w:rPr>
            </w:pPr>
            <w:r>
              <w:rPr>
                <w:rFonts w:ascii="Arial" w:cs="Arial" w:eastAsia="Arial" w:hAnsi="Arial"/>
                <w:sz w:val="12"/>
                <w:szCs w:val="12"/>
                <w:color w:val="auto"/>
                <w:w w:val="89"/>
              </w:rPr>
              <w:t>1,776,892</w:t>
            </w:r>
          </w:p>
        </w:tc>
        <w:tc>
          <w:tcPr>
            <w:tcW w:w="0" w:type="dxa"/>
            <w:vAlign w:val="bottom"/>
          </w:tcPr>
          <w:p>
            <w:pPr>
              <w:spacing w:after="0"/>
              <w:rPr>
                <w:sz w:val="1"/>
                <w:szCs w:val="1"/>
                <w:color w:val="auto"/>
              </w:rPr>
            </w:pPr>
          </w:p>
        </w:tc>
      </w:tr>
      <w:tr>
        <w:trPr>
          <w:trHeight w:val="185"/>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Kevin P. Malcarney</w:t>
            </w:r>
          </w:p>
        </w:tc>
        <w:tc>
          <w:tcPr>
            <w:tcW w:w="6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98"/>
              <w:spacing w:after="0"/>
              <w:rPr>
                <w:sz w:val="20"/>
                <w:szCs w:val="20"/>
                <w:color w:val="auto"/>
              </w:rPr>
            </w:pPr>
            <w:r>
              <w:rPr>
                <w:rFonts w:ascii="Arial" w:cs="Arial" w:eastAsia="Arial" w:hAnsi="Arial"/>
                <w:sz w:val="12"/>
                <w:szCs w:val="12"/>
                <w:color w:val="auto"/>
                <w:w w:val="85"/>
              </w:rPr>
              <w:t>10,783</w:t>
            </w:r>
            <w:r>
              <w:rPr>
                <w:rFonts w:ascii="Arial" w:cs="Arial" w:eastAsia="Arial" w:hAnsi="Arial"/>
                <w:sz w:val="15"/>
                <w:szCs w:val="15"/>
                <w:color w:val="auto"/>
                <w:w w:val="85"/>
                <w:vertAlign w:val="superscript"/>
              </w:rPr>
              <w:t>(6)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388,511</w:t>
            </w:r>
          </w:p>
        </w:tc>
        <w:tc>
          <w:tcPr>
            <w:tcW w:w="146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33,637</w:t>
            </w:r>
            <w:r>
              <w:rPr>
                <w:rFonts w:ascii="Arial" w:cs="Arial" w:eastAsia="Arial" w:hAnsi="Arial"/>
                <w:sz w:val="15"/>
                <w:szCs w:val="15"/>
                <w:color w:val="auto"/>
                <w:vertAlign w:val="superscript"/>
              </w:rPr>
              <w:t>(7)</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38"/>
              <w:spacing w:after="0"/>
              <w:rPr>
                <w:sz w:val="20"/>
                <w:szCs w:val="20"/>
                <w:color w:val="auto"/>
              </w:rPr>
            </w:pPr>
            <w:r>
              <w:rPr>
                <w:rFonts w:ascii="Arial" w:cs="Arial" w:eastAsia="Arial" w:hAnsi="Arial"/>
                <w:sz w:val="12"/>
                <w:szCs w:val="12"/>
                <w:color w:val="auto"/>
                <w:w w:val="89"/>
              </w:rPr>
              <w:t>1,211,941</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00" w:hanging="194"/>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achievement at target award level for 2019, 2020 and 2021 RPSU awards as discussed in the CD&amp;A.</w:t>
      </w:r>
    </w:p>
    <w:p>
      <w:pPr>
        <w:spacing w:after="0" w:line="9" w:lineRule="exact"/>
        <w:rPr>
          <w:rFonts w:ascii="Arial" w:cs="Arial" w:eastAsia="Arial" w:hAnsi="Arial"/>
          <w:sz w:val="14"/>
          <w:szCs w:val="14"/>
          <w:color w:val="auto"/>
        </w:rPr>
      </w:pPr>
    </w:p>
    <w:p>
      <w:pPr>
        <w:ind w:firstLine="6"/>
        <w:spacing w:after="0" w:line="235" w:lineRule="auto"/>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9,789 RSUs and 1,397 DERs that vested on January 2, 2022, 16,066 RSUs and 950 DERs that will vest on April 15, 2022, 16,096 RSUs and 953 DERs that will vest on April 15, 2023, and 6,758 RSUs and 218 DERs that will vest on April 15, 2024.</w:t>
      </w:r>
    </w:p>
    <w:p>
      <w:pPr>
        <w:spacing w:after="0" w:line="1" w:lineRule="exact"/>
        <w:rPr>
          <w:rFonts w:ascii="Arial" w:cs="Arial" w:eastAsia="Arial" w:hAnsi="Arial"/>
          <w:sz w:val="14"/>
          <w:szCs w:val="14"/>
          <w:color w:val="auto"/>
        </w:rPr>
      </w:pPr>
    </w:p>
    <w:p>
      <w:pPr>
        <w:jc w:val="both"/>
        <w:ind w:firstLine="6"/>
        <w:spacing w:after="0" w:line="235" w:lineRule="auto"/>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54,671 RPSUs and 7,802 DERs that vested on January 2, 2022, 56,792 RPSUs and 4,462 DERs that will vest on April 15, 2023, and 41,319 RPSUs and 1,337 DERs that will vest on April 15, 2024. On January 2, 2022, the 2019 RPSU award vested at 150% of target based on the Company’s TSR performance ranked against the TSR performance of the Performance Peer Group.</w:t>
      </w:r>
    </w:p>
    <w:p>
      <w:pPr>
        <w:spacing w:after="0" w:line="1" w:lineRule="exact"/>
        <w:rPr>
          <w:rFonts w:ascii="Arial" w:cs="Arial" w:eastAsia="Arial" w:hAnsi="Arial"/>
          <w:sz w:val="14"/>
          <w:szCs w:val="14"/>
          <w:color w:val="auto"/>
        </w:rPr>
      </w:pPr>
    </w:p>
    <w:p>
      <w:pPr>
        <w:ind w:firstLine="6"/>
        <w:spacing w:after="0" w:line="235" w:lineRule="auto"/>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3,045 RSUs and 434 DERs that vested on January 2, 2022, 4,619 RSUs and 275 DERs that will vest on April 15, 2022, 4,628 RSUs and 276 DERs that will vest on April 15, 2023, and 1,878 RSUs and 60 DERs that will vest on April 15, 2024.</w:t>
      </w:r>
    </w:p>
    <w:p>
      <w:pPr>
        <w:spacing w:after="0" w:line="1" w:lineRule="exact"/>
        <w:rPr>
          <w:rFonts w:ascii="Arial" w:cs="Arial" w:eastAsia="Arial" w:hAnsi="Arial"/>
          <w:sz w:val="14"/>
          <w:szCs w:val="14"/>
          <w:color w:val="auto"/>
        </w:rPr>
      </w:pPr>
    </w:p>
    <w:p>
      <w:pPr>
        <w:jc w:val="both"/>
        <w:ind w:firstLine="6"/>
        <w:spacing w:after="0" w:line="235" w:lineRule="auto"/>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17,001 RPSUs and 2,426 DERs that vested on January 2, 2022, 16,724 RPSUs and 1,314 DERs that will vest on April 15, 2023, and 11,481 RPSUs and 371 DERs that will vest on April 15, 2024. On January 2, 2022, the 2019 RPSU award vested at 150% of target based on the Company’s TSR performance ranked against the TSR performance of the Performance Peer Group.</w:t>
      </w:r>
    </w:p>
    <w:p>
      <w:pPr>
        <w:spacing w:after="0" w:line="1" w:lineRule="exact"/>
        <w:rPr>
          <w:rFonts w:ascii="Arial" w:cs="Arial" w:eastAsia="Arial" w:hAnsi="Arial"/>
          <w:sz w:val="14"/>
          <w:szCs w:val="14"/>
          <w:color w:val="auto"/>
        </w:rPr>
      </w:pPr>
    </w:p>
    <w:p>
      <w:pPr>
        <w:ind w:firstLine="6"/>
        <w:spacing w:after="0" w:line="235" w:lineRule="auto"/>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1,923 RSUs and 274 DERs that vested on January 2, 2022, 3,309 RSUs and 188 DERs that will vest on April 15, 2022, 3,315 RSUs and 189 DERs that will vest on April 15, 2023, and 1,536 RSUs and 49 DERs that will vest on April 15, 2024.</w:t>
      </w:r>
    </w:p>
    <w:p>
      <w:pPr>
        <w:spacing w:after="0" w:line="1" w:lineRule="exact"/>
        <w:rPr>
          <w:rFonts w:ascii="Arial" w:cs="Arial" w:eastAsia="Arial" w:hAnsi="Arial"/>
          <w:sz w:val="14"/>
          <w:szCs w:val="14"/>
          <w:color w:val="auto"/>
        </w:rPr>
      </w:pPr>
    </w:p>
    <w:p>
      <w:pPr>
        <w:jc w:val="both"/>
        <w:ind w:firstLine="6"/>
        <w:spacing w:after="0"/>
        <w:tabs>
          <w:tab w:leader="none" w:pos="19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amount represents 10,738 RPSUs and 1,532 DERs that vested on January 2, 2022, 10,827 RPSUs and 850 DERs that will vest on April 15, 2023, and 9,387 RPSUs and 303 DERs that will vest on April 15, 2024. On January 2, 2022, the 2019 RPSU award vested at 150% of target based on the Company’s TSR performance ranked against the TSR performance of the Performance Peer Group.</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Value Realized</w:t>
            </w: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Number of Shares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Acquired on</w:t>
            </w: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Acquired</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on Exercise</w:t>
            </w:r>
          </w:p>
        </w:tc>
        <w:tc>
          <w:tcPr>
            <w:tcW w:w="13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6"/>
              </w:rPr>
              <w:t>on Vesting</w:t>
            </w:r>
          </w:p>
        </w:tc>
        <w:tc>
          <w:tcPr>
            <w:tcW w:w="1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18"/>
                <w:szCs w:val="18"/>
                <w:b w:val="1"/>
                <w:bCs w:val="1"/>
                <w:color w:val="auto"/>
                <w:w w:val="81"/>
                <w:vertAlign w:val="superscript"/>
              </w:rPr>
              <w:t>(1)</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18"/>
                <w:szCs w:val="18"/>
                <w:b w:val="1"/>
                <w:bCs w:val="1"/>
                <w:color w:val="auto"/>
                <w:w w:val="81"/>
                <w:vertAlign w:val="superscript"/>
              </w:rPr>
              <w:t>(3)</w:t>
            </w:r>
          </w:p>
        </w:tc>
        <w:tc>
          <w:tcPr>
            <w:tcW w:w="0" w:type="dxa"/>
            <w:vAlign w:val="bottom"/>
          </w:tcPr>
          <w:p>
            <w:pPr>
              <w:spacing w:after="0"/>
              <w:rPr>
                <w:sz w:val="1"/>
                <w:szCs w:val="1"/>
                <w:color w:val="auto"/>
              </w:rPr>
            </w:pPr>
          </w:p>
        </w:tc>
      </w:tr>
      <w:tr>
        <w:trPr>
          <w:trHeight w:val="231"/>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98,461</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3,112,637</w:t>
            </w:r>
          </w:p>
        </w:tc>
        <w:tc>
          <w:tcPr>
            <w:tcW w:w="0" w:type="dxa"/>
            <w:vAlign w:val="bottom"/>
          </w:tcPr>
          <w:p>
            <w:pPr>
              <w:spacing w:after="0"/>
              <w:rPr>
                <w:sz w:val="1"/>
                <w:szCs w:val="1"/>
                <w:color w:val="auto"/>
              </w:rPr>
            </w:pPr>
          </w:p>
        </w:tc>
      </w:tr>
      <w:tr>
        <w:trPr>
          <w:trHeight w:val="237"/>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Chad Plotkin</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38" w:lineRule="exact"/>
              <w:rPr>
                <w:sz w:val="20"/>
                <w:szCs w:val="20"/>
                <w:color w:val="auto"/>
              </w:rPr>
            </w:pPr>
            <w:r>
              <w:rPr>
                <w:rFonts w:ascii="Arial" w:cs="Arial" w:eastAsia="Arial" w:hAnsi="Arial"/>
                <w:sz w:val="18"/>
                <w:szCs w:val="18"/>
                <w:color w:val="auto"/>
              </w:rPr>
              <w:t>28,040</w:t>
            </w:r>
            <w:r>
              <w:rPr>
                <w:rFonts w:ascii="Arial" w:cs="Arial" w:eastAsia="Arial" w:hAnsi="Arial"/>
                <w:sz w:val="22"/>
                <w:szCs w:val="22"/>
                <w:color w:val="auto"/>
                <w:vertAlign w:val="superscript"/>
              </w:rPr>
              <w:t>(4)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886,183</w:t>
            </w:r>
          </w:p>
        </w:tc>
        <w:tc>
          <w:tcPr>
            <w:tcW w:w="0" w:type="dxa"/>
            <w:vAlign w:val="bottom"/>
          </w:tcPr>
          <w:p>
            <w:pPr>
              <w:spacing w:after="0"/>
              <w:rPr>
                <w:sz w:val="1"/>
                <w:szCs w:val="1"/>
                <w:color w:val="auto"/>
              </w:rPr>
            </w:pPr>
          </w:p>
        </w:tc>
      </w:tr>
      <w:tr>
        <w:trPr>
          <w:trHeight w:val="237"/>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38" w:lineRule="exact"/>
              <w:rPr>
                <w:sz w:val="20"/>
                <w:szCs w:val="20"/>
                <w:color w:val="auto"/>
              </w:rPr>
            </w:pPr>
            <w:r>
              <w:rPr>
                <w:rFonts w:ascii="Arial" w:cs="Arial" w:eastAsia="Arial" w:hAnsi="Arial"/>
                <w:sz w:val="18"/>
                <w:szCs w:val="18"/>
                <w:color w:val="auto"/>
              </w:rPr>
              <w:t>7,784</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242,631</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0" w:hanging="194"/>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shares and DERs that vested pursuant to underlying awards and converted to Class C common stock in 2021.</w:t>
      </w:r>
    </w:p>
    <w:p>
      <w:pPr>
        <w:spacing w:after="0" w:line="9" w:lineRule="exact"/>
        <w:rPr>
          <w:rFonts w:ascii="Arial" w:cs="Arial" w:eastAsia="Arial" w:hAnsi="Arial"/>
          <w:sz w:val="14"/>
          <w:szCs w:val="14"/>
          <w:color w:val="auto"/>
        </w:rPr>
      </w:pPr>
    </w:p>
    <w:p>
      <w:pPr>
        <w:jc w:val="both"/>
        <w:ind w:firstLine="6"/>
        <w:spacing w:after="0" w:line="235" w:lineRule="auto"/>
        <w:tabs>
          <w:tab w:leader="none" w:pos="1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7,102 RSUs, 59,399 RPSUs and 11,532 DERs that vested on January 2, 2021 pursuant to the stock compensation awards granted on January 2, 2018. Represents 9,759 RSUs and 923 DERs that vested on January 2, 2021 pursuant to the stock compensation award granted on January 2, 2019. Represents 9,329 RSUs and 417 DERs that vested on April 15, 2021 pursuant to the stock compensation award granted on April 15, 2020.</w:t>
      </w:r>
    </w:p>
    <w:p>
      <w:pPr>
        <w:spacing w:after="0" w:line="1" w:lineRule="exact"/>
        <w:rPr>
          <w:rFonts w:ascii="Arial" w:cs="Arial" w:eastAsia="Arial" w:hAnsi="Arial"/>
          <w:sz w:val="14"/>
          <w:szCs w:val="14"/>
          <w:color w:val="auto"/>
        </w:rPr>
      </w:pPr>
    </w:p>
    <w:p>
      <w:pPr>
        <w:ind w:firstLine="6"/>
        <w:spacing w:after="0" w:line="235" w:lineRule="auto"/>
        <w:tabs>
          <w:tab w:leader="none" w:pos="1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values are based on December 31, 2020 Class C common stock closing share price of $31.93 for awards and DERs that vested on January 2, 2021. The values are based on April 15, 2021 Class C common stock closing share price of $28.72 for awards and DERs that vested on April 15, 2021.</w:t>
      </w:r>
    </w:p>
    <w:p>
      <w:pPr>
        <w:spacing w:after="0" w:line="1" w:lineRule="exact"/>
        <w:rPr>
          <w:rFonts w:ascii="Arial" w:cs="Arial" w:eastAsia="Arial" w:hAnsi="Arial"/>
          <w:sz w:val="14"/>
          <w:szCs w:val="14"/>
          <w:color w:val="auto"/>
        </w:rPr>
      </w:pPr>
    </w:p>
    <w:p>
      <w:pPr>
        <w:jc w:val="both"/>
        <w:ind w:firstLine="6"/>
        <w:spacing w:after="0" w:line="235" w:lineRule="auto"/>
        <w:tabs>
          <w:tab w:leader="none" w:pos="1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1,989 RSUs, 16,632 RPSUs and 3,228 DERs that vested on January 2, 2021 pursuant to the stock compensation awards granted on January 2, 2018. Represents 3,035 RSUs and 287 DERs that vested on January 2, 2021 pursuant to the stock compensation award granted on January 2, 2019. Represents 2,747 RSUs and 122 DERs that vested on April 15, 2021 pursuant to the stock compensation award granted on April 15, 2020.</w:t>
      </w:r>
    </w:p>
    <w:p>
      <w:pPr>
        <w:spacing w:after="0" w:line="1" w:lineRule="exact"/>
        <w:rPr>
          <w:rFonts w:ascii="Arial" w:cs="Arial" w:eastAsia="Arial" w:hAnsi="Arial"/>
          <w:sz w:val="14"/>
          <w:szCs w:val="14"/>
          <w:color w:val="auto"/>
        </w:rPr>
      </w:pPr>
    </w:p>
    <w:p>
      <w:pPr>
        <w:jc w:val="both"/>
        <w:ind w:firstLine="6"/>
        <w:spacing w:after="0"/>
        <w:tabs>
          <w:tab w:leader="none" w:pos="1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3,323 RSUs and 506 DERs that vested on January 2, 2021 pursuant to the stock compensation award granted on May 11, 2018. Represents 1,917 RSUs and 181 DERs that vested on January 2, 2021 pursuant to the stock compensation award granted on January 2, 2019. Represents 1,778 RSUs and 79 DERs that vested on April 15, 2021 pursuant to the stock compensation award granted on April 15,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not entered into employment agreements with any officers other than Mr. Sotos.</w:t>
      </w:r>
    </w:p>
    <w:p>
      <w:pPr>
        <w:spacing w:after="0" w:line="16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On September 23, 2021, the Company and Mr. Sotos entered into an agreement amending and restating Mr. Sotos' employment agreement, dated as of May 6, 2016, as previously amended, pursuant to which Mr. Sotos continues to serve as the Company’s President and CEO for a new term that began on September 23, 2021 (the “Effective Date”). Under this amended and restated employment agreement, the term of Mr. Sotos' employment will continue until the earlier of the date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entitled Mr. Sotos to an annual base salary of $629,330 for the period beginning on the Effective Date and ending on December 31, 2021. For each annual period thereafter, our Board will determine whether to increase Mr. Sotos’ annual base salary. The amended and restated employment agreement provides that, beginning with the 2021 fiscal year, Mr. Sotos is eligible to receive an annual bonus at a target amount equal to 100% of base salary (i.e., AIP bonus), with it being understood that 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 Mr. Sotos is eligible to participate in the LTIP, on such terms as are set forth in the plan. Mr. Sotos’ target LTIP award for the 2021 fiscal year was approximately 280% of base salary.</w:t>
      </w:r>
    </w:p>
    <w:p>
      <w:pPr>
        <w:spacing w:after="0" w:line="12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addition to the compensation and benefits described above, as well as paid vacation and director and officer liability insurance, the amended and restated employment agreement provides that Mr. Sotos will receive the following:</w:t>
      </w:r>
    </w:p>
    <w:p>
      <w:pPr>
        <w:spacing w:after="0" w:line="128" w:lineRule="exact"/>
        <w:rPr>
          <w:sz w:val="20"/>
          <w:szCs w:val="20"/>
          <w:color w:val="auto"/>
        </w:rPr>
      </w:pPr>
    </w:p>
    <w:p>
      <w:pPr>
        <w:jc w:val="both"/>
        <w:ind w:left="960" w:hanging="321"/>
        <w:spacing w:after="0" w:line="253" w:lineRule="auto"/>
        <w:tabs>
          <w:tab w:leader="none" w:pos="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 for annual tax return preparation expenses and tax advice and financial planning, up to a maximum of $12,000 per year, and reimbursement for legal fees incurred in connection with reviewing and finalizing his amended and restated employment agreement, up to a maximum of $12,000;</w:t>
      </w:r>
    </w:p>
    <w:p>
      <w:pPr>
        <w:spacing w:after="0" w:line="83"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 and</w:t>
      </w:r>
    </w:p>
    <w:p>
      <w:pPr>
        <w:spacing w:after="0" w:line="75"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 for the costs of litigation or other disputes incurred in asserting any claims under the amended and restated employment agreement, unless the court finds in favor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ind w:firstLine="396"/>
        <w:spacing w:after="0" w:line="214" w:lineRule="exact"/>
        <w:rPr>
          <w:sz w:val="20"/>
          <w:szCs w:val="20"/>
          <w:color w:val="auto"/>
        </w:rPr>
      </w:pPr>
      <w:r>
        <w:rPr>
          <w:rFonts w:ascii="Arial" w:cs="Arial" w:eastAsia="Arial" w:hAnsi="Arial"/>
          <w:sz w:val="18"/>
          <w:szCs w:val="18"/>
          <w:color w:val="auto"/>
        </w:rPr>
        <w:t>The amended and restated employment agreement also entitles Mr. Sotos to certain severance payments and benefits in the event his employment terminates under certain circumstances. These severance payments and benefits are described and quantified under the section “Severance and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spacing w:after="0" w:line="148"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8"/>
          <w:szCs w:val="18"/>
          <w:color w:val="auto"/>
        </w:rPr>
        <w:t>The amended and restated employment agreement includes non</w:t>
      </w:r>
      <w:r>
        <w:rPr>
          <w:rFonts w:ascii="MS PGothic" w:cs="MS PGothic" w:eastAsia="MS PGothic" w:hAnsi="MS PGothic"/>
          <w:sz w:val="18"/>
          <w:szCs w:val="18"/>
          <w:color w:val="auto"/>
        </w:rPr>
        <w:t>‑</w:t>
      </w:r>
      <w:r>
        <w:rPr>
          <w:rFonts w:ascii="Arial" w:cs="Arial" w:eastAsia="Arial" w:hAnsi="Arial"/>
          <w:sz w:val="18"/>
          <w:szCs w:val="18"/>
          <w:color w:val="auto"/>
        </w:rPr>
        <w:t>competition and non</w:t>
      </w:r>
      <w:r>
        <w:rPr>
          <w:rFonts w:ascii="MS PGothic" w:cs="MS PGothic" w:eastAsia="MS PGothic" w:hAnsi="MS PGothic"/>
          <w:sz w:val="18"/>
          <w:szCs w:val="18"/>
          <w:color w:val="auto"/>
        </w:rPr>
        <w:t>‑</w:t>
      </w:r>
      <w:r>
        <w:rPr>
          <w:rFonts w:ascii="Arial" w:cs="Arial" w:eastAsia="Arial" w:hAnsi="Arial"/>
          <w:sz w:val="18"/>
          <w:szCs w:val="18"/>
          <w:color w:val="auto"/>
        </w:rPr>
        <w:t>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Severance and Change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Control</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No RPSU or RSU that is granted to an NEO provides for accelerated vesting upon any other involuntary termination.</w:t>
      </w:r>
    </w:p>
    <w:p>
      <w:pPr>
        <w:spacing w:after="0" w:line="12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“Change in Control Period” is the period commencing six months immediately prior to, and ending 12 months (or in the case of Mr. Sotos, 24 months) immediately following, a change in control of the Company (as defined in the LTIP and Mr. Sotos’ employment agreement as applicable). Effective December 7, 2021 with respect to the LTIP and January 1, 2022 with respect to the CIC Plan, the ending date for the Change in Control Period for each of the NEOs other than Mr. Sotos was extended to 24 months immediately following a change in control of the Company (i.e., matching the existing Change of Control Period with respect to Mr. Sotos).</w:t>
      </w:r>
    </w:p>
    <w:p>
      <w:pPr>
        <w:spacing w:after="0" w:line="140" w:lineRule="exact"/>
        <w:rPr>
          <w:sz w:val="20"/>
          <w:szCs w:val="20"/>
          <w:color w:val="auto"/>
        </w:rPr>
      </w:pPr>
    </w:p>
    <w:p>
      <w:pPr>
        <w:jc w:val="both"/>
        <w:ind w:firstLine="396"/>
        <w:spacing w:after="0" w:line="215" w:lineRule="exact"/>
        <w:rPr>
          <w:sz w:val="20"/>
          <w:szCs w:val="20"/>
          <w:color w:val="auto"/>
        </w:rPr>
      </w:pPr>
      <w:r>
        <w:rPr>
          <w:rFonts w:ascii="Arial" w:cs="Arial" w:eastAsia="Arial" w:hAnsi="Arial"/>
          <w:sz w:val="18"/>
          <w:szCs w:val="18"/>
          <w:color w:val="auto"/>
        </w:rPr>
        <w:t>In addition to the above-described treatment of the equity awards, Mr. Sotos, pursuant to his amended and restated employment agreement, and the other NEOs, pursuant to the CIC Plan and in some cases, the AIP, are entitled to certain additional severance payments and benefits in the event of termination of employment under certain circumstances, including following a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Sotos’ Benefits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subject to Mr.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Sotos executing a release of claims, the Company agrees to provide Mr. Sotos with the following severance benefits:</w:t>
      </w:r>
    </w:p>
    <w:p>
      <w:pPr>
        <w:spacing w:after="0" w:line="45" w:lineRule="exact"/>
        <w:rPr>
          <w:sz w:val="20"/>
          <w:szCs w:val="20"/>
          <w:color w:val="auto"/>
        </w:rPr>
      </w:pPr>
    </w:p>
    <w:p>
      <w:pPr>
        <w:ind w:left="960" w:hanging="32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lump sum payment equal to no less than 1.5 times Mr. Sotos’ annual base salary in effect at the time of Mr. Sotos' termination of employment;</w:t>
      </w:r>
    </w:p>
    <w:p>
      <w:pPr>
        <w:spacing w:after="0" w:line="132" w:lineRule="exact"/>
        <w:rPr>
          <w:rFonts w:ascii="Arial" w:cs="Arial" w:eastAsia="Arial" w:hAnsi="Arial"/>
          <w:sz w:val="16"/>
          <w:szCs w:val="16"/>
          <w:color w:val="auto"/>
        </w:rPr>
      </w:pPr>
    </w:p>
    <w:p>
      <w:pPr>
        <w:jc w:val="both"/>
        <w:ind w:left="960" w:hanging="321"/>
        <w:spacing w:after="0" w:line="214" w:lineRule="exact"/>
        <w:tabs>
          <w:tab w:leader="none" w:pos="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lump sum payment equal to the bonus that Mr. Sotos would have earned if his employment had not terminated (i.e., contingent on satisfaction of the performance goals applicable to such bonus)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 and paid at the time annual bonus payments are generally made to the Company's executive officers;</w:t>
      </w:r>
    </w:p>
    <w:p>
      <w:pPr>
        <w:spacing w:after="0" w:line="94" w:lineRule="exact"/>
        <w:rPr>
          <w:rFonts w:ascii="Arial" w:cs="Arial" w:eastAsia="Arial" w:hAnsi="Arial"/>
          <w:sz w:val="18"/>
          <w:szCs w:val="18"/>
          <w:color w:val="auto"/>
        </w:rPr>
      </w:pPr>
    </w:p>
    <w:p>
      <w:pPr>
        <w:ind w:left="960" w:hanging="32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09" w:lineRule="exact"/>
        <w:rPr>
          <w:rFonts w:ascii="Arial" w:cs="Arial" w:eastAsia="Arial" w:hAnsi="Arial"/>
          <w:sz w:val="18"/>
          <w:szCs w:val="18"/>
          <w:color w:val="auto"/>
        </w:rPr>
      </w:pPr>
    </w:p>
    <w:p>
      <w:pPr>
        <w:jc w:val="both"/>
        <w:ind w:left="960" w:hanging="321"/>
        <w:spacing w:after="0" w:line="300" w:lineRule="auto"/>
        <w:tabs>
          <w:tab w:leader="none" w:pos="9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5" w:name="page76"/>
    <w:bookmarkEnd w:id="75"/>
    <w:p>
      <w:pPr>
        <w:jc w:val="both"/>
        <w:ind w:firstLine="396"/>
        <w:spacing w:after="0" w:line="298" w:lineRule="auto"/>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within the six months immediately prior to, or the 24 months immediately following, a change in control of the Company (i.e., the Change in Control Period with respect to Mr. Sotos), in lieu of the severance benefits set forth above, the Company will provide Mr. Sotos with the following severance benefits:</w:t>
      </w:r>
    </w:p>
    <w:p>
      <w:pPr>
        <w:jc w:val="both"/>
        <w:ind w:left="960" w:hanging="321"/>
        <w:spacing w:after="0" w:line="253"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spacing w:after="0" w:line="83" w:lineRule="exact"/>
        <w:rPr>
          <w:rFonts w:ascii="Arial" w:cs="Arial" w:eastAsia="Arial" w:hAnsi="Arial"/>
          <w:sz w:val="18"/>
          <w:szCs w:val="18"/>
          <w:color w:val="auto"/>
        </w:rPr>
      </w:pPr>
    </w:p>
    <w:p>
      <w:pPr>
        <w:ind w:left="960" w:hanging="321"/>
        <w:spacing w:after="0" w:line="217" w:lineRule="exact"/>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w:t>
      </w:r>
      <w:r>
        <w:rPr>
          <w:rFonts w:ascii="MS PGothic" w:cs="MS PGothic" w:eastAsia="MS PGothic" w:hAnsi="MS PGothic"/>
          <w:sz w:val="18"/>
          <w:szCs w:val="18"/>
          <w:color w:val="auto"/>
        </w:rPr>
        <w:t>‑</w:t>
      </w:r>
      <w:r>
        <w:rPr>
          <w:rFonts w:ascii="Arial" w:cs="Arial" w:eastAsia="Arial" w:hAnsi="Arial"/>
          <w:sz w:val="18"/>
          <w:szCs w:val="18"/>
          <w:color w:val="auto"/>
        </w:rPr>
        <w:t>current bonus plan, which amount will be pro</w:t>
      </w:r>
      <w:r>
        <w:rPr>
          <w:rFonts w:ascii="MS PGothic" w:cs="MS PGothic" w:eastAsia="MS PGothic" w:hAnsi="MS PGothic"/>
          <w:sz w:val="18"/>
          <w:szCs w:val="18"/>
          <w:color w:val="auto"/>
        </w:rPr>
        <w:t>‑</w:t>
      </w:r>
      <w:r>
        <w:rPr>
          <w:rFonts w:ascii="Arial" w:cs="Arial" w:eastAsia="Arial" w:hAnsi="Arial"/>
          <w:sz w:val="18"/>
          <w:szCs w:val="18"/>
          <w:color w:val="auto"/>
        </w:rPr>
        <w:t>rated based on the number of days during the year that he was employed by the Company;</w:t>
      </w:r>
    </w:p>
    <w:p>
      <w:pPr>
        <w:spacing w:after="0" w:line="94" w:lineRule="exact"/>
        <w:rPr>
          <w:rFonts w:ascii="Arial" w:cs="Arial" w:eastAsia="Arial" w:hAnsi="Arial"/>
          <w:sz w:val="18"/>
          <w:szCs w:val="18"/>
          <w:color w:val="auto"/>
        </w:rPr>
      </w:pPr>
    </w:p>
    <w:p>
      <w:pPr>
        <w:ind w:left="960" w:hanging="321"/>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109" w:lineRule="exact"/>
        <w:rPr>
          <w:rFonts w:ascii="Arial" w:cs="Arial" w:eastAsia="Arial" w:hAnsi="Arial"/>
          <w:sz w:val="18"/>
          <w:szCs w:val="18"/>
          <w:color w:val="auto"/>
        </w:rPr>
      </w:pPr>
    </w:p>
    <w:p>
      <w:pPr>
        <w:jc w:val="both"/>
        <w:ind w:left="960" w:hanging="321"/>
        <w:spacing w:after="0" w:line="300" w:lineRule="auto"/>
        <w:tabs>
          <w:tab w:leader="none" w:pos="9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01" w:lineRule="exact"/>
        <w:rPr>
          <w:sz w:val="20"/>
          <w:szCs w:val="20"/>
          <w:color w:val="auto"/>
        </w:rPr>
      </w:pPr>
    </w:p>
    <w:p>
      <w:pPr>
        <w:jc w:val="both"/>
        <w:ind w:firstLine="396"/>
        <w:spacing w:after="0" w:line="215" w:lineRule="exact"/>
        <w:rPr>
          <w:sz w:val="20"/>
          <w:szCs w:val="20"/>
          <w:color w:val="auto"/>
        </w:rPr>
      </w:pPr>
      <w:r>
        <w:rPr>
          <w:rFonts w:ascii="Arial" w:cs="Arial" w:eastAsia="Arial" w:hAnsi="Arial"/>
          <w:sz w:val="16"/>
          <w:szCs w:val="16"/>
          <w:color w:val="auto"/>
        </w:rPr>
        <w:t>If Mr. Sotos’ employment is terminated as a result of his death or disability, the Company agrees to pay him an amount equal to the target bonus opportunity for the year of termination, which amount will be pro</w:t>
      </w:r>
      <w:r>
        <w:rPr>
          <w:rFonts w:ascii="MS PGothic" w:cs="MS PGothic" w:eastAsia="MS PGothic" w:hAnsi="MS PGothic"/>
          <w:sz w:val="16"/>
          <w:szCs w:val="16"/>
          <w:color w:val="auto"/>
        </w:rPr>
        <w:t>‑</w:t>
      </w:r>
      <w:r>
        <w:rPr>
          <w:rFonts w:ascii="Arial" w:cs="Arial" w:eastAsia="Arial" w:hAnsi="Arial"/>
          <w:sz w:val="16"/>
          <w:szCs w:val="16"/>
          <w:color w:val="auto"/>
        </w:rPr>
        <w:t>rated based on the number of days during the year that Mr. Sotos’ was employed by the Company. In addition, the Company will pay Mr. Sotos any unpaid bonus amount for the prior fiscal year to the extent not paid prior to the termination date.</w:t>
      </w:r>
    </w:p>
    <w:p>
      <w:pPr>
        <w:spacing w:after="0" w:line="147" w:lineRule="exact"/>
        <w:rPr>
          <w:sz w:val="20"/>
          <w:szCs w:val="20"/>
          <w:color w:val="auto"/>
        </w:rPr>
      </w:pPr>
    </w:p>
    <w:p>
      <w:pPr>
        <w:jc w:val="both"/>
        <w:ind w:firstLine="396"/>
        <w:spacing w:after="0" w:line="215" w:lineRule="exact"/>
        <w:rPr>
          <w:sz w:val="20"/>
          <w:szCs w:val="20"/>
          <w:color w:val="auto"/>
        </w:rPr>
      </w:pPr>
      <w:r>
        <w:rPr>
          <w:rFonts w:ascii="Arial" w:cs="Arial" w:eastAsia="Arial" w:hAnsi="Arial"/>
          <w:sz w:val="16"/>
          <w:szCs w:val="16"/>
          <w:color w:val="auto"/>
        </w:rPr>
        <w:t>If an excise tax under Section 4999 of the Code would be triggered by any payments under Mr. Sotos’ amended and restated employment agreement or otherwise upon a change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 Benefits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13"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6"/>
          <w:szCs w:val="16"/>
          <w:color w:val="auto"/>
        </w:rPr>
        <w:t>The CIC Plan also provides a change-in-control benefit in the event that, within six months prior to, as well as 12 months following, a change-in-control (as noted above, this 12-month period was changed to 24 months in the CIC Plan effective January 1, 2022), an eligible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Mr. Malcarney (during 2021) consisted of an amount equal to 2.0 times the sum of his base salary plus the annual target incentive for the year of termination, payable in a lump sum amount. Beginning in 2022, and consistent with Mr. Malcarney's 2022 promotion from Senior Vice President to Executive Vice President (as part of such promotion, Mr. Malcarney also will continue to serve as our General Counsel and Corporate Secretary), Mr. Malcarney's change-in-control benefit has been increased, effective January 1, 2022, to an amount equal to 2.99 times the sum of his base salary plus the annual target incentive for the year of termination.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 18 months, such that the NEO maintains the same coverage level and cost, on an after-tax basis, as in effect immediately prior to his or her termination of employment.</w:t>
      </w:r>
    </w:p>
    <w:p>
      <w:pPr>
        <w:spacing w:after="0" w:line="12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3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Definition of Change-in-Control, Etc.</w:t>
      </w:r>
    </w:p>
    <w:p>
      <w:pPr>
        <w:spacing w:after="0" w:line="228"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In general, under Mr. Sotos’ amended and restated employment agreement and the CIC Plan, 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2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(or in Mr. Sotos' case, his material duties pursuant to his amended and restated employment agreement),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such a written agreement or material violation of the Company's Code of Conduct).</w:t>
      </w:r>
    </w:p>
    <w:p>
      <w:pPr>
        <w:spacing w:after="0" w:line="114"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Potential Payments Upon Termination or Change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Control</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2021, and including payments that would have been earned as of such date. The amounts shown below do not include benefits payable under the Company’s 401(k)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Involuntary Not for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Cause or Voluntary</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Involuntary</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Voluntary</w:t>
            </w:r>
          </w:p>
        </w:tc>
        <w:tc>
          <w:tcPr>
            <w:tcW w:w="22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for Good Reason</w:t>
            </w:r>
          </w:p>
        </w:tc>
        <w:tc>
          <w:tcPr>
            <w:tcW w:w="13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Death or</w:t>
            </w: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Termination</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Termination</w:t>
            </w:r>
          </w:p>
        </w:tc>
        <w:tc>
          <w:tcPr>
            <w:tcW w:w="2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Following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Not for Cause ($)</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 Good Reason ($)</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 Change in Control ($)</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Disability ($)</w:t>
            </w:r>
          </w:p>
        </w:tc>
        <w:tc>
          <w:tcPr>
            <w:tcW w:w="0" w:type="dxa"/>
            <w:vAlign w:val="bottom"/>
          </w:tcPr>
          <w:p>
            <w:pPr>
              <w:spacing w:after="0"/>
              <w:rPr>
                <w:sz w:val="1"/>
                <w:szCs w:val="1"/>
                <w:color w:val="auto"/>
              </w:rPr>
            </w:pPr>
          </w:p>
        </w:tc>
      </w:tr>
      <w:tr>
        <w:trPr>
          <w:trHeight w:val="23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1,590,735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1,590,735</w:t>
            </w: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12,299,344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8,505,954</w:t>
            </w:r>
          </w:p>
        </w:tc>
        <w:tc>
          <w:tcPr>
            <w:tcW w:w="0" w:type="dxa"/>
            <w:vAlign w:val="bottom"/>
          </w:tcPr>
          <w:p>
            <w:pPr>
              <w:spacing w:after="0"/>
              <w:rPr>
                <w:sz w:val="1"/>
                <w:szCs w:val="1"/>
                <w:color w:val="auto"/>
              </w:rPr>
            </w:pP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Chad Plotkin</w:t>
            </w:r>
          </w:p>
        </w:tc>
        <w:tc>
          <w:tcPr>
            <w:tcW w:w="1880" w:type="dxa"/>
            <w:vAlign w:val="bottom"/>
          </w:tcPr>
          <w:p>
            <w:pPr>
              <w:jc w:val="right"/>
              <w:ind w:right="1"/>
              <w:spacing w:after="0"/>
              <w:rPr>
                <w:sz w:val="20"/>
                <w:szCs w:val="20"/>
                <w:color w:val="auto"/>
              </w:rPr>
            </w:pPr>
            <w:r>
              <w:rPr>
                <w:rFonts w:ascii="Arial" w:cs="Arial" w:eastAsia="Arial" w:hAnsi="Arial"/>
                <w:sz w:val="18"/>
                <w:szCs w:val="18"/>
                <w:color w:val="auto"/>
              </w:rPr>
              <w:t>851,363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4,461,981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2,560,101</w:t>
            </w:r>
          </w:p>
        </w:tc>
        <w:tc>
          <w:tcPr>
            <w:tcW w:w="0" w:type="dxa"/>
            <w:vAlign w:val="bottom"/>
          </w:tcPr>
          <w:p>
            <w:pPr>
              <w:spacing w:after="0"/>
              <w:rPr>
                <w:sz w:val="1"/>
                <w:szCs w:val="1"/>
                <w:color w:val="auto"/>
              </w:rPr>
            </w:pPr>
          </w:p>
        </w:tc>
      </w:tr>
      <w:tr>
        <w:trPr>
          <w:trHeight w:val="23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703,009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2,303,966</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a result of the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3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For purposes of the CEO pay ratio disclosure for the prior 3 years, we determined that we could use the same median employee given that there was no change in either our employee population or our employee compensation arrangements that we believe would significantly impact our pay ratio disclosure. Pursuant to the rules under the Dodd Frank Act, we are required to reasonably identify a new median employee for 2021. To reasonably identify the median employee, the Company extracted and ranked IRS Form W2 wages of all 303 employees employed as of December 31, 2021 (excluding the CEO) from the Company’s HRIS system of record. Our median employee’s annual total compensation for 2021 was determined using the same rules that apply to reporting the compensation of our NEOs (including our CEO) in the “Total” column of the “Summary Compensation Table — 2019 — 2021” above. The following total compensation amounts were determined based on that methodology:</w:t>
      </w:r>
    </w:p>
    <w:p>
      <w:pPr>
        <w:spacing w:after="0" w:line="117" w:lineRule="exact"/>
        <w:rPr>
          <w:sz w:val="20"/>
          <w:szCs w:val="20"/>
          <w:color w:val="auto"/>
        </w:rPr>
      </w:pPr>
    </w:p>
    <w:p>
      <w:pPr>
        <w:ind w:left="960" w:hanging="321"/>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2021 was $106,778.</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total compensation of Mr. Sotos for 2021 was $3,092,509.</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a result, we estimate that Mr. Sotos’ 2021 annual total compensation was approximately 29 times that of our median employee.</w:t>
      </w:r>
    </w:p>
    <w:p>
      <w:pPr>
        <w:spacing w:after="0" w:line="185"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8" w:name="page79"/>
    <w:bookmarkEnd w:id="78"/>
    <w:p>
      <w:pPr>
        <w:ind w:right="2780"/>
        <w:spacing w:after="0" w:line="431"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 Clearway Energy LLC Ownership</w:t>
      </w:r>
    </w:p>
    <w:p>
      <w:pPr>
        <w:spacing w:after="0" w:line="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As of December 31, 2021, GIP, through CEG, owned 42,738,750 of each of the Company's Class B units and Class D units and Clearway, Inc. owned 34,599,645 of the Company's Class A units and 81,779,021 of the Company's Class C units. As of December 31, 2021, Clearway, Inc., through its holdings of Class A units and Class C units, owned a 57.65% economic interest in the Company. Clearway, Inc. consolidates the results of the Company through its controlling interest as sole managing member. As of December 31, 2021, GIP, through CEG's holdings of Class B units and Class D units, owned a 42.35% economic interest in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Inc. Ownership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of Executive Officers</w:t>
      </w:r>
    </w:p>
    <w:p>
      <w:pPr>
        <w:spacing w:after="0" w:line="16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34,599,645 shares of Class A common stock outstanding as of February 18, 2022, and 81,869,907 shares of Class C common stock outstanding as of February 18, 2022, and percentage of combined voting power is based on 78,584,482 votes represented by Clearway, Inc.’s outstanding Class A, Class B, Class C and Class D common stock in the aggregate as of February 18, 2022. The percentage of beneficial ownership and the percentage of combined voting power also include any shares that such person has the right to acquire within 60 days of February 18, 2022. Unless otherwise indicated, each person has sole voting and dispositive power with respect to the shares set forth in the following table.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0" w:type="dxa"/>
            <w:vAlign w:val="bottom"/>
            <w:gridSpan w:val="2"/>
          </w:tcPr>
          <w:p>
            <w:pPr>
              <w:ind w:left="560"/>
              <w:spacing w:after="0" w:line="145" w:lineRule="exact"/>
              <w:rPr>
                <w:sz w:val="20"/>
                <w:szCs w:val="20"/>
                <w:color w:val="auto"/>
              </w:rPr>
            </w:pPr>
            <w:r>
              <w:rPr>
                <w:rFonts w:ascii="Arial" w:cs="Arial" w:eastAsia="Arial" w:hAnsi="Arial"/>
                <w:sz w:val="14"/>
                <w:szCs w:val="14"/>
                <w:b w:val="1"/>
                <w:bCs w:val="1"/>
                <w:color w:val="auto"/>
              </w:rPr>
              <w:t>Class A Common Stock</w:t>
            </w:r>
          </w:p>
        </w:tc>
        <w:tc>
          <w:tcPr>
            <w:tcW w:w="260" w:type="dxa"/>
            <w:vAlign w:val="bottom"/>
          </w:tcPr>
          <w:p>
            <w:pPr>
              <w:spacing w:after="0"/>
              <w:rPr>
                <w:sz w:val="12"/>
                <w:szCs w:val="12"/>
                <w:color w:val="auto"/>
              </w:rPr>
            </w:pPr>
          </w:p>
        </w:tc>
        <w:tc>
          <w:tcPr>
            <w:tcW w:w="2260" w:type="dxa"/>
            <w:vAlign w:val="bottom"/>
            <w:gridSpan w:val="2"/>
          </w:tcPr>
          <w:p>
            <w:pPr>
              <w:ind w:left="440"/>
              <w:spacing w:after="0" w:line="145" w:lineRule="exact"/>
              <w:rPr>
                <w:sz w:val="20"/>
                <w:szCs w:val="20"/>
                <w:color w:val="auto"/>
              </w:rPr>
            </w:pPr>
            <w:r>
              <w:rPr>
                <w:rFonts w:ascii="Arial" w:cs="Arial" w:eastAsia="Arial" w:hAnsi="Arial"/>
                <w:sz w:val="14"/>
                <w:szCs w:val="14"/>
                <w:b w:val="1"/>
                <w:bCs w:val="1"/>
                <w:color w:val="auto"/>
              </w:rPr>
              <w:t>Class C Common Stock</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 of Class A</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 Class C</w:t>
            </w: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7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Executive Officers</w:t>
            </w:r>
          </w:p>
        </w:tc>
        <w:tc>
          <w:tcPr>
            <w:tcW w:w="1380" w:type="dxa"/>
            <w:vAlign w:val="bottom"/>
          </w:tcPr>
          <w:p>
            <w:pPr>
              <w:jc w:val="right"/>
              <w:ind w:right="338"/>
              <w:spacing w:after="0" w:line="181"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8"/>
                <w:szCs w:val="18"/>
                <w:b w:val="1"/>
                <w:bCs w:val="1"/>
                <w:color w:val="auto"/>
                <w:vertAlign w:val="superscript"/>
              </w:rPr>
              <w:t>(1)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60" w:type="dxa"/>
            <w:vAlign w:val="bottom"/>
          </w:tcPr>
          <w:p>
            <w:pPr>
              <w:spacing w:after="0"/>
              <w:rPr>
                <w:sz w:val="15"/>
                <w:szCs w:val="15"/>
                <w:color w:val="auto"/>
              </w:rPr>
            </w:pPr>
          </w:p>
        </w:tc>
        <w:tc>
          <w:tcPr>
            <w:tcW w:w="1160" w:type="dxa"/>
            <w:vAlign w:val="bottom"/>
          </w:tcPr>
          <w:p>
            <w:pPr>
              <w:jc w:val="right"/>
              <w:ind w:right="318"/>
              <w:spacing w:after="0" w:line="181"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8"/>
                <w:szCs w:val="18"/>
                <w:b w:val="1"/>
                <w:bCs w:val="1"/>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Voting Power</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138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27,100</w:t>
            </w:r>
            <w:r>
              <w:rPr>
                <w:rFonts w:ascii="Arial" w:cs="Arial" w:eastAsia="Arial" w:hAnsi="Arial"/>
                <w:sz w:val="22"/>
                <w:szCs w:val="22"/>
                <w:color w:val="auto"/>
                <w:vertAlign w:val="superscript"/>
              </w:rPr>
              <w:t>(3)</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8"/>
              <w:spacing w:after="0" w:line="217" w:lineRule="exact"/>
              <w:rPr>
                <w:sz w:val="20"/>
                <w:szCs w:val="20"/>
                <w:color w:val="auto"/>
              </w:rPr>
            </w:pPr>
            <w:r>
              <w:rPr>
                <w:rFonts w:ascii="Arial" w:cs="Arial" w:eastAsia="Arial" w:hAnsi="Arial"/>
                <w:sz w:val="18"/>
                <w:szCs w:val="18"/>
                <w:color w:val="auto"/>
              </w:rPr>
              <w:t>248,656</w:t>
            </w:r>
            <w:r>
              <w:rPr>
                <w:rFonts w:ascii="Arial" w:cs="Arial" w:eastAsia="Arial" w:hAnsi="Arial"/>
                <w:sz w:val="22"/>
                <w:szCs w:val="22"/>
                <w:color w:val="auto"/>
                <w:vertAlign w:val="superscript"/>
              </w:rPr>
              <w:t>(3)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Chad Plotkin</w:t>
            </w:r>
          </w:p>
        </w:tc>
        <w:tc>
          <w:tcPr>
            <w:tcW w:w="1380" w:type="dxa"/>
            <w:vAlign w:val="bottom"/>
          </w:tcPr>
          <w:p>
            <w:pPr>
              <w:jc w:val="right"/>
              <w:spacing w:after="0" w:line="224" w:lineRule="exact"/>
              <w:rPr>
                <w:sz w:val="20"/>
                <w:szCs w:val="20"/>
                <w:color w:val="auto"/>
              </w:rPr>
            </w:pPr>
            <w:r>
              <w:rPr>
                <w:rFonts w:ascii="Arial" w:cs="Arial" w:eastAsia="Arial" w:hAnsi="Arial"/>
                <w:sz w:val="18"/>
                <w:szCs w:val="18"/>
                <w:color w:val="auto"/>
              </w:rPr>
              <w:t>6,697</w:t>
            </w:r>
            <w:r>
              <w:rPr>
                <w:rFonts w:ascii="Arial" w:cs="Arial" w:eastAsia="Arial" w:hAnsi="Arial"/>
                <w:sz w:val="22"/>
                <w:szCs w:val="22"/>
                <w:color w:val="auto"/>
                <w:vertAlign w:val="superscript"/>
              </w:rPr>
              <w:t>(4)</w:t>
            </w:r>
          </w:p>
        </w:tc>
        <w:tc>
          <w:tcPr>
            <w:tcW w:w="10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line="224" w:lineRule="exact"/>
              <w:rPr>
                <w:sz w:val="20"/>
                <w:szCs w:val="20"/>
                <w:color w:val="auto"/>
              </w:rPr>
            </w:pPr>
            <w:r>
              <w:rPr>
                <w:rFonts w:ascii="Arial" w:cs="Arial" w:eastAsia="Arial" w:hAnsi="Arial"/>
                <w:sz w:val="18"/>
                <w:szCs w:val="18"/>
                <w:color w:val="auto"/>
              </w:rPr>
              <w:t>63,579</w:t>
            </w:r>
            <w:r>
              <w:rPr>
                <w:rFonts w:ascii="Arial" w:cs="Arial" w:eastAsia="Arial" w:hAnsi="Arial"/>
                <w:sz w:val="22"/>
                <w:szCs w:val="22"/>
                <w:color w:val="auto"/>
                <w:vertAlign w:val="superscript"/>
              </w:rPr>
              <w:t>(4)</w:t>
            </w:r>
          </w:p>
        </w:tc>
        <w:tc>
          <w:tcPr>
            <w:tcW w:w="1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Kevin P. Malcarney</w:t>
            </w:r>
          </w:p>
        </w:tc>
        <w:tc>
          <w:tcPr>
            <w:tcW w:w="1380" w:type="dxa"/>
            <w:vAlign w:val="bottom"/>
            <w:shd w:val="clear" w:color="auto" w:fill="CCEEFF"/>
          </w:tcPr>
          <w:p>
            <w:pPr>
              <w:jc w:val="right"/>
              <w:spacing w:after="0" w:line="224" w:lineRule="exact"/>
              <w:rPr>
                <w:sz w:val="20"/>
                <w:szCs w:val="20"/>
                <w:color w:val="auto"/>
              </w:rPr>
            </w:pPr>
            <w:r>
              <w:rPr>
                <w:rFonts w:ascii="Arial" w:cs="Arial" w:eastAsia="Arial" w:hAnsi="Arial"/>
                <w:sz w:val="18"/>
                <w:szCs w:val="18"/>
                <w:color w:val="auto"/>
              </w:rPr>
              <w:t>600</w:t>
            </w:r>
            <w:r>
              <w:rPr>
                <w:rFonts w:ascii="Arial" w:cs="Arial" w:eastAsia="Arial" w:hAnsi="Arial"/>
                <w:sz w:val="22"/>
                <w:szCs w:val="22"/>
                <w:color w:val="auto"/>
                <w:vertAlign w:val="superscript"/>
              </w:rPr>
              <w:t>(5)</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8"/>
              <w:spacing w:after="0" w:line="224" w:lineRule="exact"/>
              <w:rPr>
                <w:sz w:val="20"/>
                <w:szCs w:val="20"/>
                <w:color w:val="auto"/>
              </w:rPr>
            </w:pPr>
            <w:r>
              <w:rPr>
                <w:rFonts w:ascii="Arial" w:cs="Arial" w:eastAsia="Arial" w:hAnsi="Arial"/>
                <w:sz w:val="18"/>
                <w:szCs w:val="18"/>
                <w:color w:val="auto"/>
              </w:rPr>
              <w:t>46,300</w:t>
            </w:r>
            <w:r>
              <w:rPr>
                <w:rFonts w:ascii="Arial" w:cs="Arial" w:eastAsia="Arial" w:hAnsi="Arial"/>
                <w:sz w:val="22"/>
                <w:szCs w:val="22"/>
                <w:color w:val="auto"/>
                <w:vertAlign w:val="superscript"/>
              </w:rPr>
              <w:t>(5)</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ind w:left="60"/>
              <w:spacing w:after="0" w:line="172" w:lineRule="exact"/>
              <w:rPr>
                <w:sz w:val="20"/>
                <w:szCs w:val="20"/>
                <w:color w:val="auto"/>
              </w:rPr>
            </w:pPr>
            <w:r>
              <w:rPr>
                <w:rFonts w:ascii="Arial" w:cs="Arial" w:eastAsia="Arial" w:hAnsi="Arial"/>
                <w:sz w:val="18"/>
                <w:szCs w:val="18"/>
                <w:color w:val="auto"/>
              </w:rPr>
              <w:t>All executive officers as a</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34,397</w:t>
            </w:r>
            <w:r>
              <w:rPr>
                <w:rFonts w:ascii="Arial" w:cs="Arial" w:eastAsia="Arial" w:hAnsi="Arial"/>
                <w:sz w:val="22"/>
                <w:szCs w:val="22"/>
                <w:color w:val="auto"/>
                <w:vertAlign w:val="superscript"/>
              </w:rPr>
              <w:t>(6)</w:t>
            </w:r>
          </w:p>
        </w:tc>
        <w:tc>
          <w:tcPr>
            <w:tcW w:w="1020" w:type="dxa"/>
            <w:vAlign w:val="bottom"/>
          </w:tcPr>
          <w:p>
            <w:pPr>
              <w:spacing w:after="0"/>
              <w:rPr>
                <w:sz w:val="14"/>
                <w:szCs w:val="14"/>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8"/>
                <w:szCs w:val="18"/>
                <w:color w:val="auto"/>
              </w:rPr>
              <w:t>358,535</w:t>
            </w:r>
            <w:r>
              <w:rPr>
                <w:rFonts w:ascii="Arial" w:cs="Arial" w:eastAsia="Arial" w:hAnsi="Arial"/>
                <w:sz w:val="22"/>
                <w:szCs w:val="22"/>
                <w:color w:val="auto"/>
                <w:vertAlign w:val="superscript"/>
              </w:rPr>
              <w:t>(6)</w:t>
            </w:r>
          </w:p>
        </w:tc>
        <w:tc>
          <w:tcPr>
            <w:tcW w:w="1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group (three people)</w:t>
            </w:r>
          </w:p>
        </w:tc>
        <w:tc>
          <w:tcPr>
            <w:tcW w:w="13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38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 of outstanding Class A common stock, Class C common stock or combined voting power, as applicable.</w:t>
      </w:r>
    </w:p>
    <w:p>
      <w:pPr>
        <w:spacing w:after="0" w:line="37" w:lineRule="exact"/>
        <w:rPr>
          <w:sz w:val="20"/>
          <w:szCs w:val="20"/>
          <w:color w:val="auto"/>
        </w:rPr>
      </w:pPr>
    </w:p>
    <w:p>
      <w:pPr>
        <w:jc w:val="both"/>
        <w:ind w:firstLine="6"/>
        <w:spacing w:after="0" w:line="241" w:lineRule="auto"/>
        <w:tabs>
          <w:tab w:leader="none" w:pos="1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 w:lineRule="exact"/>
        <w:rPr>
          <w:rFonts w:ascii="Arial" w:cs="Arial" w:eastAsia="Arial" w:hAnsi="Arial"/>
          <w:sz w:val="14"/>
          <w:szCs w:val="14"/>
          <w:color w:val="auto"/>
        </w:rPr>
      </w:pPr>
    </w:p>
    <w:p>
      <w:pPr>
        <w:jc w:val="both"/>
        <w:ind w:firstLine="6"/>
        <w:spacing w:after="0" w:line="254" w:lineRule="auto"/>
        <w:tabs>
          <w:tab w:leader="none" w:pos="199"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jc w:val="both"/>
        <w:ind w:right="140" w:firstLine="6"/>
        <w:spacing w:after="0" w:line="216" w:lineRule="auto"/>
        <w:tabs>
          <w:tab w:leader="none" w:pos="1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950 DERs to be paid in Class C common stock. Excludes 22,854 RSUs, 6,972 DERs and 98,111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firstLine="6"/>
        <w:spacing w:after="0" w:line="216" w:lineRule="auto"/>
        <w:tabs>
          <w:tab w:leader="none" w:pos="1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275 DERs to be paid in Class C common stock. Excludes 6,506 RSUs, 2,025 DERs and 28,205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firstLine="6"/>
        <w:spacing w:after="0" w:line="216" w:lineRule="auto"/>
        <w:tabs>
          <w:tab w:leader="none" w:pos="1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188 DERs to be paid in Class C common stock. Excludes 4,851 RSUs, 1,396 DERs and 20,214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left="200" w:hanging="194"/>
        <w:spacing w:after="0"/>
        <w:tabs>
          <w:tab w:leader="none" w:pos="2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of the total holdings of all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9" w:name="page80"/>
    <w:bookmarkEnd w:id="79"/>
    <w:p>
      <w:pPr>
        <w:ind w:right="4680"/>
        <w:spacing w:after="0" w:line="431" w:lineRule="auto"/>
        <w:rPr>
          <w:sz w:val="20"/>
          <w:szCs w:val="20"/>
          <w:color w:val="auto"/>
        </w:rPr>
      </w:pPr>
      <w:r>
        <w:rPr>
          <w:rFonts w:ascii="Arial" w:cs="Arial" w:eastAsia="Arial" w:hAnsi="Arial"/>
          <w:sz w:val="18"/>
          <w:szCs w:val="18"/>
          <w:b w:val="1"/>
          <w:bCs w:val="1"/>
          <w:color w:val="auto"/>
        </w:rPr>
        <w:t>Item 13 — Certain Relationships and Related Transactions, and Director Independence Relationship with GIP and Clearway Energy, Inc.</w:t>
      </w:r>
    </w:p>
    <w:p>
      <w:pPr>
        <w:spacing w:after="0" w:line="1"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GIP, through its ownership of CEG, indirectly owns all of Clearway, Inc.'s outstanding Class B common stock and Class D common stock, which represents, in the aggregate, 54.93% of the voting interest in Clearway, Inc.'s stock, and receives distributions from the Company through its ownership of the Company's Class B and Class D units. Holders of Clearway, Inc.'s Class A common stock and Class C common stock hold, in the aggregate, the remaining 45.07% of the voting interest in Clearway, Inc.'s stock. Each holder of Clearway, Inc.'s Class A or Class B common stock is entitled to one vote for each share held. Each holder of Clearway, Inc.'s Class C or Class D common stock is entitled to 1/100th of one vote for each share held. The holders of Clearway, Inc.'s outstanding shares of Class A and Class C common stock are entitled to dividends as declared. Clearway, Inc., through its holdings of the Company's Class A units and Class C units, owns a 57.65% economic interest in the Company. GIP, through CEG's holdings of the Company's Class B units and Class D units, owns a 42.35% economic interest in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Master Services Agreements</w:t>
      </w:r>
    </w:p>
    <w:p>
      <w:pPr>
        <w:spacing w:after="0" w:line="16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Company, along with Clearway, Inc. and Clearway Energy Operating LLC, entered into Master Services Agreements with CEG (the “CEG Master Services Agreements”), pursuant to which CEG and certain of its affiliates or third-party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 ended December 31, 2021, the Company paid approximately $4,473,000 under the CEG Master Services Agreements. In addition, certain Thermal and Conventional segments projects reimbursed CEG approximately $896,000 during the year ended December 31, 2021 for costs incurred by CEG on behalf of such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Offer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w:t>
      </w:r>
    </w:p>
    <w:p>
      <w:pPr>
        <w:spacing w:after="0" w:line="215"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On August 31, 2018, the Company entered into a ROFO Agreement with CEG, or the CEG ROFO Agreement, and, solely for certain purposes thereof, GIP, pursuant to which CEG granted the Company and its subsidiaries a right of first offer on any proposed sale or transfer of certain assets owned by CEG. On August 1, 2019, the CEG ROFO Agreement was amended to grant the Company and its affiliates a right of first offer on any proposed sale, transfer or other disposition of certain assets of CEG, or the CEG ROFO Assets, until August 31, 2023, as listed in the table below. CEG is not obligated to sell the remaining CEG ROFO Assets to the Company and, if offered by CEG, the Company cannot be sure whether these assets will be offered on acceptable terms or that the Company will choose to consummate such acquisitions.</w:t>
      </w:r>
    </w:p>
    <w:p>
      <w:pPr>
        <w:spacing w:after="0" w:line="114" w:lineRule="exact"/>
        <w:rPr>
          <w:sz w:val="20"/>
          <w:szCs w:val="20"/>
          <w:color w:val="auto"/>
        </w:rPr>
      </w:pPr>
    </w:p>
    <w:p>
      <w:pPr>
        <w:jc w:val="both"/>
        <w:ind w:firstLine="396"/>
        <w:spacing w:after="0" w:line="274" w:lineRule="auto"/>
        <w:rPr>
          <w:sz w:val="20"/>
          <w:szCs w:val="20"/>
          <w:color w:val="auto"/>
        </w:rPr>
      </w:pPr>
      <w:r>
        <w:rPr>
          <w:rFonts w:ascii="Arial" w:cs="Arial" w:eastAsia="Arial" w:hAnsi="Arial"/>
          <w:sz w:val="18"/>
          <w:szCs w:val="18"/>
          <w:color w:val="auto"/>
        </w:rPr>
        <w:t>The assets listed below, all of which are included in a co-investment partnership with Hannon Armstrong Sustainable Infrastructure Capital, Inc., represent the Company's currently committed investments in projects with CEG and the CEG ROFO Assets</w:t>
      </w:r>
      <w:r>
        <w:rPr>
          <w:rFonts w:ascii="Arial" w:cs="Arial" w:eastAsia="Arial" w:hAnsi="Arial"/>
          <w:sz w:val="21"/>
          <w:szCs w:val="21"/>
          <w:color w:val="auto"/>
        </w:rPr>
        <w: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2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Technology</w:t>
            </w:r>
          </w:p>
        </w:tc>
        <w:tc>
          <w:tcPr>
            <w:tcW w:w="24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Gross Capacity (MW)</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State</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08"/>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Mililani I</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9"/>
              </w:rPr>
              <w:t>HI</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2H22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08"/>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Waiawa</w:t>
            </w: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HI</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2H22</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Daggett Solar 2 and 3</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CA</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2H22/1H23</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bl>
    <w:p>
      <w:pPr>
        <w:spacing w:after="0" w:line="238" w:lineRule="exact"/>
        <w:rPr>
          <w:sz w:val="20"/>
          <w:szCs w:val="20"/>
          <w:color w:val="auto"/>
        </w:rPr>
      </w:pPr>
    </w:p>
    <w:p>
      <w:pPr>
        <w:jc w:val="both"/>
        <w:ind w:firstLine="396"/>
        <w:spacing w:after="0" w:line="213" w:lineRule="exact"/>
        <w:rPr>
          <w:sz w:val="20"/>
          <w:szCs w:val="20"/>
          <w:color w:val="auto"/>
        </w:rPr>
      </w:pPr>
      <w:r>
        <w:rPr>
          <w:rFonts w:ascii="Arial" w:cs="Arial" w:eastAsia="Arial" w:hAnsi="Arial"/>
          <w:sz w:val="18"/>
          <w:szCs w:val="18"/>
          <w:color w:val="auto"/>
        </w:rPr>
        <w:t>Prior to engaging in any negotiation regarding any disposition, sale or other transfer of any of the remaining CEG ROFO Assets, CEG will deliver a written notice to the Company setting forth the material terms and conditions of the proposed transaction. During the 30</w:t>
      </w:r>
      <w:r>
        <w:rPr>
          <w:rFonts w:ascii="MS PGothic" w:cs="MS PGothic" w:eastAsia="MS PGothic" w:hAnsi="MS PGothic"/>
          <w:sz w:val="18"/>
          <w:szCs w:val="18"/>
          <w:color w:val="auto"/>
        </w:rPr>
        <w:t>‑</w:t>
      </w:r>
      <w:r>
        <w:rPr>
          <w:rFonts w:ascii="Arial" w:cs="Arial" w:eastAsia="Arial" w:hAnsi="Arial"/>
          <w:sz w:val="18"/>
          <w:szCs w:val="18"/>
          <w:color w:val="auto"/>
        </w:rPr>
        <w:t>day period after the delivery of such notice, the Company will negotiate with CEG in good faith to reach an agreement on the transaction. If the Company and CEG do not reach an agreement within such 30</w:t>
      </w:r>
      <w:r>
        <w:rPr>
          <w:rFonts w:ascii="MS PGothic" w:cs="MS PGothic" w:eastAsia="MS PGothic" w:hAnsi="MS PGothic"/>
          <w:sz w:val="18"/>
          <w:szCs w:val="18"/>
          <w:color w:val="auto"/>
        </w:rPr>
        <w:t>‑</w:t>
      </w:r>
      <w:r>
        <w:rPr>
          <w:rFonts w:ascii="Arial" w:cs="Arial" w:eastAsia="Arial" w:hAnsi="Arial"/>
          <w:sz w:val="18"/>
          <w:szCs w:val="18"/>
          <w:color w:val="auto"/>
        </w:rPr>
        <w:t>day period, CEG will be able within the next 180 calendar days to sell, transfer, dispose or recontract such CEG ROFO Asset to a third-party (or to agree in writing to undertake such transaction with a third-party on terms generally no less favorable to CEG than those offered pursuant to the written notice.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ind w:firstLine="396"/>
        <w:spacing w:after="0" w:line="283" w:lineRule="auto"/>
        <w:rPr>
          <w:sz w:val="20"/>
          <w:szCs w:val="20"/>
          <w:color w:val="auto"/>
        </w:rPr>
      </w:pPr>
      <w:r>
        <w:rPr>
          <w:rFonts w:ascii="Arial" w:cs="Arial" w:eastAsia="Arial" w:hAnsi="Arial"/>
          <w:sz w:val="16"/>
          <w:szCs w:val="16"/>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the Company have responsibilities within CEG’s broader asset management business. Notwithstanding the significance of the services to be rendered by CEG or their designated affiliates on the Company's behalf or of the assets which the Company may elect to acquire from CEG in accordance with the terms of the CEG ROFO Agreement or otherwise, CEG does not owe fiduciary duties to the Company or its unit holders. Any material transaction with CEG (including the proposed acquisition of any CEG ROFO Asset) will be subject to the Company's related person transaction policy, which will require prior approval of such transaction by the Company's Corporate Governance, Conflicts and Nominating Committee.</w:t>
      </w:r>
    </w:p>
    <w:p>
      <w:pPr>
        <w:spacing w:after="0" w:line="11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and CEG work collaboratively in considering new assets to be added under the CEG ROFO Agreement or to be acquired by the Company outside of the CEG ROFO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Drown Transactions and Partnerships with CEG</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Black Rock Drop Down</w:t>
      </w:r>
    </w:p>
    <w:p>
      <w:pPr>
        <w:spacing w:after="0" w:line="16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On December 29, 2021, the Company, through its indirect subsidiary, Lighthouse Renewable Holding Sub LLC, acquired the 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Class A membership interests of Black Rock Wind Holding LLC were acquired by another third-party investor in 2020. Black Rock Wind Holding LLC, through its subsidiary, is the primary beneficiary and consolidates its interests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A majority of the project’s output is backed by contracts with investment-grade counterparties with a 15-year weighted average contract life.</w:t>
      </w:r>
    </w:p>
    <w:p>
      <w:pPr>
        <w:spacing w:after="0" w:line="33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Mesquite Sky Drop Down</w:t>
      </w:r>
    </w:p>
    <w:p>
      <w:pPr>
        <w:spacing w:after="0" w:line="162"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On December 17, 2021, the Company, through its indirect subsidiary Lighthouse Renewable Holdco 2 LLC, acquired the Class B membership interests in Mesquite Sky Holding LLC from Clearway Renew LLC, a subsidiary of CEG, for $61 million in cash consideration. Lighthouse Renewable Holdco 2 LLC is a partnership between the Company and a third-party investor. The Class A membership interests of Mesquite Sky Holding LLC were acquired by another third-party investor in 2020. Mesquite Sky Holding LLC, through its subsidiary, is the primary beneficiary and consolidates its interests in a tax equity fund, Mesquite Sky TE Holdco LLC that holds the Mesquite Sky wind project, a 340 MW utility scale wind project located in Callahan County, Texas, which achieved commercial operations in December 2021. A majority of the project’s output is backed by contracts with investment-grade counterparties with a 12-year weighted average contract life.</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Rattlesnake Drop Down</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On January 12, 2021, the Company acquired 100% of CEG's equity interest and a third-party investor's minority interest in CWSP Rattlesnake Holding, LLC for $132 million in cash consideration. CWSP Rattlesnake Holding LLC indirectly consolidates the Rattlesnake wind project, a 160 MW wind facility with 144 MW deliverable capacity in Adams County, Washington. The project has a 20-year PPA with Avista Corporation, which began when the facility reached commercial operations in December 2020.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1" w:name="page82"/>
    <w:bookmarkEnd w:id="81"/>
    <w:p>
      <w:pPr>
        <w:ind w:left="400"/>
        <w:spacing w:after="0"/>
        <w:rPr>
          <w:sz w:val="20"/>
          <w:szCs w:val="20"/>
          <w:color w:val="auto"/>
        </w:rPr>
      </w:pPr>
      <w:r>
        <w:rPr>
          <w:rFonts w:ascii="Arial" w:cs="Arial" w:eastAsia="Arial" w:hAnsi="Arial"/>
          <w:sz w:val="18"/>
          <w:szCs w:val="18"/>
          <w:i w:val="1"/>
          <w:iCs w:val="1"/>
          <w:color w:val="auto"/>
        </w:rPr>
        <w:t>Pinnacle Repowering Partnership</w:t>
      </w:r>
    </w:p>
    <w:p>
      <w:pPr>
        <w:spacing w:after="0" w:line="149"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6"/>
          <w:szCs w:val="16"/>
          <w:color w:val="auto"/>
        </w:rPr>
        <w:t>On February 26, 2021, the Company entered into an amended agreement with CWSP Pinnacle Holding LLC, an indirect subsidiary of CEG, with respect to Pinnacle Repowering Partnership LLC in order to facilitate the repowering of the Pinnacle wind project, a 54 MW wind facility located in Mineral County, West Virginia. On March 10, 2021, the Company contributed its interest in the Pinnacle wind project to Pinnacle Repowering Partnership LLC concurrent with entering into a financing agreement.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117"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December 15, 2021, in connection with the completion of the repowering of the project, a third-party tax equity investor acquired the Class A membership interests in Pinnacle Tax Equity Holdco LLC, which is a tax equity fund, and the holder of the Pinnacle wind project, for $48 million. The Company consolidates Pinnacle Tax Equity Holdco LLC, as primary beneficiary through its consolidated subsidiary Pinnacle Repowering Partnership LLC, who acts as managing member. In addition, upon completion of the repowering, the Company made a payment of $64 million, which was utilized along with the proceeds of the tax equity investment to repay the outstanding debt under the financing agreement referenced above.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contributed $9 million into the partnership during the year ended December 31, 2021.</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Kawailoa Solar Partnership</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$128,000 into the partnership during the year ended December 31, 2021.</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Oahu Solar Partnership</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less than $120,000 into the partnership during the year ended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Agreements</w:t>
      </w:r>
    </w:p>
    <w:p>
      <w:pPr>
        <w:spacing w:after="0" w:line="162"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6"/>
          <w:szCs w:val="16"/>
          <w:color w:val="auto"/>
        </w:rPr>
        <w:t>CEG provides operations and maintenance (“O&amp;M”) and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operational support to the Company's utility scale solar and wind facilities in accordance with O&amp;M agreements with the Company. Each of the counterparties to the O&amp;M agreements is an affiliate of CEG. The O&amp;M agreements for which the amount paid to CEG exceeded $120,000 during fiscal year 2021 are described in the table below. Under these O&amp;M agreements, the Company generally pays an annual or monthly fee, which may be subject to annual adjustment, plus any reimbursable expenses.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ind w:left="1620"/>
              <w:spacing w:after="0"/>
              <w:rPr>
                <w:sz w:val="20"/>
                <w:szCs w:val="20"/>
                <w:color w:val="auto"/>
              </w:rPr>
            </w:pPr>
            <w:r>
              <w:rPr>
                <w:rFonts w:ascii="Arial" w:cs="Arial" w:eastAsia="Arial" w:hAnsi="Arial"/>
                <w:sz w:val="18"/>
                <w:szCs w:val="18"/>
                <w:b w:val="1"/>
                <w:bCs w:val="1"/>
                <w:color w:val="auto"/>
              </w:rPr>
              <w:t>Project</w:t>
            </w:r>
          </w:p>
        </w:tc>
        <w:tc>
          <w:tcPr>
            <w:tcW w:w="5320" w:type="dxa"/>
            <w:vAlign w:val="bottom"/>
            <w:gridSpan w:val="2"/>
            <w:vMerge w:val="restart"/>
          </w:tcPr>
          <w:p>
            <w:pPr>
              <w:ind w:left="1740"/>
              <w:spacing w:after="0"/>
              <w:rPr>
                <w:sz w:val="20"/>
                <w:szCs w:val="20"/>
                <w:color w:val="auto"/>
              </w:rPr>
            </w:pPr>
            <w:r>
              <w:rPr>
                <w:rFonts w:ascii="Arial" w:cs="Arial" w:eastAsia="Arial" w:hAnsi="Arial"/>
                <w:sz w:val="18"/>
                <w:szCs w:val="18"/>
                <w:b w:val="1"/>
                <w:bCs w:val="1"/>
                <w:color w:val="auto"/>
              </w:rPr>
              <w:t>Agreement Description</w:t>
            </w:r>
          </w:p>
        </w:tc>
        <w:tc>
          <w:tcPr>
            <w:tcW w:w="2020" w:type="dxa"/>
            <w:vAlign w:val="bottom"/>
          </w:tcPr>
          <w:p>
            <w:pPr>
              <w:jc w:val="right"/>
              <w:ind w:right="255"/>
              <w:spacing w:after="0"/>
              <w:rPr>
                <w:sz w:val="20"/>
                <w:szCs w:val="20"/>
                <w:color w:val="auto"/>
              </w:rPr>
            </w:pPr>
            <w:r>
              <w:rPr>
                <w:rFonts w:ascii="Arial" w:cs="Arial" w:eastAsia="Arial" w:hAnsi="Arial"/>
                <w:sz w:val="14"/>
                <w:szCs w:val="14"/>
                <w:b w:val="1"/>
                <w:bCs w:val="1"/>
                <w:color w:val="auto"/>
              </w:rPr>
              <w:t>Approximate Amount</w:t>
            </w: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2020" w:type="dxa"/>
            <w:vAlign w:val="bottom"/>
          </w:tcPr>
          <w:p>
            <w:pPr>
              <w:jc w:val="right"/>
              <w:ind w:right="515"/>
              <w:spacing w:after="0"/>
              <w:rPr>
                <w:sz w:val="20"/>
                <w:szCs w:val="20"/>
                <w:color w:val="auto"/>
              </w:rPr>
            </w:pPr>
            <w:r>
              <w:rPr>
                <w:rFonts w:ascii="Arial" w:cs="Arial" w:eastAsia="Arial" w:hAnsi="Arial"/>
                <w:sz w:val="14"/>
                <w:szCs w:val="14"/>
                <w:b w:val="1"/>
                <w:bCs w:val="1"/>
                <w:color w:val="auto"/>
              </w:rPr>
              <w:t>Paid to CEG</w:t>
            </w:r>
          </w:p>
        </w:tc>
        <w:tc>
          <w:tcPr>
            <w:tcW w:w="0" w:type="dxa"/>
            <w:vAlign w:val="bottom"/>
          </w:tcPr>
          <w:p>
            <w:pPr>
              <w:spacing w:after="0"/>
              <w:rPr>
                <w:sz w:val="1"/>
                <w:szCs w:val="1"/>
                <w:color w:val="auto"/>
              </w:rPr>
            </w:pPr>
          </w:p>
        </w:tc>
      </w:tr>
      <w:tr>
        <w:trPr>
          <w:trHeight w:val="218"/>
        </w:trPr>
        <w:tc>
          <w:tcPr>
            <w:tcW w:w="38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Solar</w:t>
            </w:r>
          </w:p>
        </w:tc>
        <w:tc>
          <w:tcPr>
            <w:tcW w:w="100" w:type="dxa"/>
            <w:vAlign w:val="bottom"/>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Agua Caliente</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22,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Borrego</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August 1, 2012</w:t>
            </w:r>
          </w:p>
        </w:tc>
        <w:tc>
          <w:tcPr>
            <w:tcW w:w="2020" w:type="dxa"/>
            <w:vAlign w:val="bottom"/>
          </w:tcPr>
          <w:p>
            <w:pPr>
              <w:jc w:val="right"/>
              <w:spacing w:after="0"/>
              <w:rPr>
                <w:sz w:val="20"/>
                <w:szCs w:val="20"/>
                <w:color w:val="auto"/>
              </w:rPr>
            </w:pPr>
            <w:r>
              <w:rPr>
                <w:rFonts w:ascii="Arial" w:cs="Arial" w:eastAsia="Arial" w:hAnsi="Arial"/>
                <w:sz w:val="18"/>
                <w:szCs w:val="18"/>
                <w:color w:val="auto"/>
              </w:rPr>
              <w:t>$581,000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Buckthorn Solar</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22,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Chestnut Fund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9, 2018</w:t>
            </w:r>
          </w:p>
        </w:tc>
        <w:tc>
          <w:tcPr>
            <w:tcW w:w="2020" w:type="dxa"/>
            <w:vAlign w:val="bottom"/>
          </w:tcPr>
          <w:p>
            <w:pPr>
              <w:jc w:val="right"/>
              <w:spacing w:after="0"/>
              <w:rPr>
                <w:sz w:val="20"/>
                <w:szCs w:val="20"/>
                <w:color w:val="auto"/>
              </w:rPr>
            </w:pPr>
            <w:r>
              <w:rPr>
                <w:rFonts w:ascii="Arial" w:cs="Arial" w:eastAsia="Arial" w:hAnsi="Arial"/>
                <w:sz w:val="18"/>
                <w:szCs w:val="18"/>
                <w:color w:val="auto"/>
              </w:rPr>
              <w:t>$769,000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Clearway &amp; EFS Distributed Solar LLC</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October 28,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CS4 Fund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November 29, 2018</w:t>
            </w:r>
          </w:p>
        </w:tc>
        <w:tc>
          <w:tcPr>
            <w:tcW w:w="2020" w:type="dxa"/>
            <w:vAlign w:val="bottom"/>
          </w:tcPr>
          <w:p>
            <w:pPr>
              <w:jc w:val="right"/>
              <w:spacing w:after="0"/>
              <w:rPr>
                <w:sz w:val="20"/>
                <w:szCs w:val="20"/>
                <w:color w:val="auto"/>
              </w:rPr>
            </w:pPr>
            <w:r>
              <w:rPr>
                <w:rFonts w:ascii="Arial" w:cs="Arial" w:eastAsia="Arial" w:hAnsi="Arial"/>
                <w:sz w:val="18"/>
                <w:szCs w:val="18"/>
                <w:color w:val="auto"/>
              </w:rPr>
              <w:t>$919,000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CVSR</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September 30, 2011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DG-CS Holdco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November 2, 2020</w:t>
            </w:r>
          </w:p>
        </w:tc>
        <w:tc>
          <w:tcPr>
            <w:tcW w:w="2020" w:type="dxa"/>
            <w:vAlign w:val="bottom"/>
          </w:tcPr>
          <w:p>
            <w:pPr>
              <w:jc w:val="right"/>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DGPV Fund 1 LLC</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June 12, 2015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Project</w:t>
            </w:r>
          </w:p>
        </w:tc>
        <w:tc>
          <w:tcPr>
            <w:tcW w:w="100" w:type="dxa"/>
            <w:vAlign w:val="bottom"/>
            <w:vMerge w:val="restart"/>
          </w:tcPr>
          <w:p>
            <w:pPr>
              <w:spacing w:after="0"/>
              <w:rPr>
                <w:sz w:val="14"/>
                <w:szCs w:val="14"/>
                <w:color w:val="auto"/>
              </w:rPr>
            </w:pPr>
          </w:p>
        </w:tc>
        <w:tc>
          <w:tcPr>
            <w:tcW w:w="5240" w:type="dxa"/>
            <w:vAlign w:val="bottom"/>
            <w:vMerge w:val="restart"/>
          </w:tcPr>
          <w:p>
            <w:pPr>
              <w:ind w:left="1740"/>
              <w:spacing w:after="0"/>
              <w:rPr>
                <w:sz w:val="20"/>
                <w:szCs w:val="20"/>
                <w:color w:val="auto"/>
              </w:rPr>
            </w:pPr>
            <w:r>
              <w:rPr>
                <w:rFonts w:ascii="Arial" w:cs="Arial" w:eastAsia="Arial" w:hAnsi="Arial"/>
                <w:sz w:val="18"/>
                <w:szCs w:val="18"/>
                <w:b w:val="1"/>
                <w:bCs w:val="1"/>
                <w:color w:val="auto"/>
              </w:rPr>
              <w:t>Agreement Description</w:t>
            </w:r>
          </w:p>
        </w:tc>
        <w:tc>
          <w:tcPr>
            <w:tcW w:w="80" w:type="dxa"/>
            <w:vAlign w:val="bottom"/>
            <w:vMerge w:val="restart"/>
          </w:tcPr>
          <w:p>
            <w:pPr>
              <w:spacing w:after="0"/>
              <w:rPr>
                <w:sz w:val="14"/>
                <w:szCs w:val="14"/>
                <w:color w:val="auto"/>
              </w:rPr>
            </w:pPr>
          </w:p>
        </w:tc>
        <w:tc>
          <w:tcPr>
            <w:tcW w:w="2020" w:type="dxa"/>
            <w:vAlign w:val="bottom"/>
          </w:tcPr>
          <w:p>
            <w:pPr>
              <w:jc w:val="right"/>
              <w:ind w:right="253"/>
              <w:spacing w:after="0"/>
              <w:rPr>
                <w:sz w:val="20"/>
                <w:szCs w:val="20"/>
                <w:color w:val="auto"/>
              </w:rPr>
            </w:pPr>
            <w:r>
              <w:rPr>
                <w:rFonts w:ascii="Arial" w:cs="Arial" w:eastAsia="Arial" w:hAnsi="Arial"/>
                <w:sz w:val="14"/>
                <w:szCs w:val="14"/>
                <w:b w:val="1"/>
                <w:bCs w:val="1"/>
                <w:color w:val="auto"/>
              </w:rPr>
              <w:t>Approximate Amount</w:t>
            </w:r>
          </w:p>
        </w:tc>
        <w:tc>
          <w:tcPr>
            <w:tcW w:w="0" w:type="dxa"/>
            <w:vAlign w:val="bottom"/>
          </w:tcPr>
          <w:p>
            <w:pPr>
              <w:spacing w:after="0"/>
              <w:rPr>
                <w:sz w:val="1"/>
                <w:szCs w:val="1"/>
                <w:color w:val="auto"/>
              </w:rPr>
            </w:pPr>
          </w:p>
        </w:tc>
      </w:tr>
      <w:tr>
        <w:trPr>
          <w:trHeight w:val="184"/>
        </w:trPr>
        <w:tc>
          <w:tcPr>
            <w:tcW w:w="3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Paid to CEG</w:t>
            </w:r>
          </w:p>
        </w:tc>
        <w:tc>
          <w:tcPr>
            <w:tcW w:w="0" w:type="dxa"/>
            <w:vAlign w:val="bottom"/>
          </w:tcPr>
          <w:p>
            <w:pPr>
              <w:spacing w:after="0"/>
              <w:rPr>
                <w:sz w:val="1"/>
                <w:szCs w:val="1"/>
                <w:color w:val="auto"/>
              </w:rPr>
            </w:pPr>
          </w:p>
        </w:tc>
      </w:tr>
      <w:tr>
        <w:trPr>
          <w:trHeight w:val="21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DGPV Fund 2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September 4, 2015</w:t>
            </w:r>
          </w:p>
        </w:tc>
        <w:tc>
          <w:tcPr>
            <w:tcW w:w="2020" w:type="dxa"/>
            <w:vAlign w:val="bottom"/>
          </w:tcPr>
          <w:p>
            <w:pPr>
              <w:jc w:val="right"/>
              <w:spacing w:after="0"/>
              <w:rPr>
                <w:sz w:val="20"/>
                <w:szCs w:val="20"/>
                <w:color w:val="auto"/>
              </w:rPr>
            </w:pPr>
            <w:r>
              <w:rPr>
                <w:rFonts w:ascii="Arial" w:cs="Arial" w:eastAsia="Arial" w:hAnsi="Arial"/>
                <w:sz w:val="18"/>
                <w:szCs w:val="18"/>
                <w:color w:val="auto"/>
              </w:rPr>
              <w:t>$698,000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DGPV Fund 4 LLC</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June 16,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DGPV Holdco 3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October 30, 2020</w:t>
            </w:r>
          </w:p>
        </w:tc>
        <w:tc>
          <w:tcPr>
            <w:tcW w:w="2020" w:type="dxa"/>
            <w:vAlign w:val="bottom"/>
          </w:tcPr>
          <w:p>
            <w:pPr>
              <w:jc w:val="right"/>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Golden Fields Solar III LLC</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February 25, 2020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Golden Puma Fund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March 30, 2017</w:t>
            </w:r>
          </w:p>
        </w:tc>
        <w:tc>
          <w:tcPr>
            <w:tcW w:w="2020" w:type="dxa"/>
            <w:vAlign w:val="bottom"/>
          </w:tcPr>
          <w:p>
            <w:pPr>
              <w:jc w:val="right"/>
              <w:spacing w:after="0"/>
              <w:rPr>
                <w:sz w:val="20"/>
                <w:szCs w:val="20"/>
                <w:color w:val="auto"/>
              </w:rPr>
            </w:pPr>
            <w:r>
              <w:rPr>
                <w:rFonts w:ascii="Arial" w:cs="Arial" w:eastAsia="Arial" w:hAnsi="Arial"/>
                <w:sz w:val="18"/>
                <w:szCs w:val="18"/>
                <w:color w:val="auto"/>
              </w:rPr>
              <w:t>$642,000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Kansas South</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June 13,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Kawailoa Solar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14, 2017</w:t>
            </w:r>
          </w:p>
        </w:tc>
        <w:tc>
          <w:tcPr>
            <w:tcW w:w="2020" w:type="dxa"/>
            <w:vAlign w:val="bottom"/>
          </w:tcPr>
          <w:p>
            <w:pPr>
              <w:jc w:val="right"/>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Lanikuhana Solar LLC</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28,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Solar Blythe</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November 1, 2017</w:t>
            </w:r>
          </w:p>
        </w:tc>
        <w:tc>
          <w:tcPr>
            <w:tcW w:w="2020" w:type="dxa"/>
            <w:vAlign w:val="bottom"/>
          </w:tcPr>
          <w:p>
            <w:pPr>
              <w:jc w:val="right"/>
              <w:spacing w:after="0"/>
              <w:rPr>
                <w:sz w:val="20"/>
                <w:szCs w:val="20"/>
                <w:color w:val="auto"/>
              </w:rPr>
            </w:pPr>
            <w:r>
              <w:rPr>
                <w:rFonts w:ascii="Arial" w:cs="Arial" w:eastAsia="Arial" w:hAnsi="Arial"/>
                <w:sz w:val="18"/>
                <w:szCs w:val="18"/>
                <w:color w:val="auto"/>
              </w:rPr>
              <w:t>$283,000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Solar Blythe II</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March 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Solar Community 1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9, 2018</w:t>
            </w:r>
          </w:p>
        </w:tc>
        <w:tc>
          <w:tcPr>
            <w:tcW w:w="2020" w:type="dxa"/>
            <w:vAlign w:val="bottom"/>
          </w:tcPr>
          <w:p>
            <w:pPr>
              <w:jc w:val="right"/>
              <w:spacing w:after="0"/>
              <w:rPr>
                <w:sz w:val="20"/>
                <w:szCs w:val="20"/>
                <w:color w:val="auto"/>
              </w:rPr>
            </w:pPr>
            <w:r>
              <w:rPr>
                <w:rFonts w:ascii="Arial" w:cs="Arial" w:eastAsia="Arial" w:hAnsi="Arial"/>
                <w:sz w:val="18"/>
                <w:szCs w:val="18"/>
                <w:color w:val="auto"/>
              </w:rPr>
              <w:t>$214,000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SPP Fund II</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October 31,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SPP Fund III</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October 31, 2017</w:t>
            </w:r>
          </w:p>
        </w:tc>
        <w:tc>
          <w:tcPr>
            <w:tcW w:w="2020" w:type="dxa"/>
            <w:vAlign w:val="bottom"/>
          </w:tcPr>
          <w:p>
            <w:pPr>
              <w:jc w:val="right"/>
              <w:spacing w:after="0"/>
              <w:rPr>
                <w:sz w:val="20"/>
                <w:szCs w:val="20"/>
                <w:color w:val="auto"/>
              </w:rPr>
            </w:pPr>
            <w:r>
              <w:rPr>
                <w:rFonts w:ascii="Arial" w:cs="Arial" w:eastAsia="Arial" w:hAnsi="Arial"/>
                <w:sz w:val="18"/>
                <w:szCs w:val="18"/>
                <w:color w:val="auto"/>
              </w:rPr>
              <w:t>$214,000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 High Desert</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June 9, 2017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Waipio PV LLC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28, 2017</w:t>
            </w:r>
          </w:p>
        </w:tc>
        <w:tc>
          <w:tcPr>
            <w:tcW w:w="2020" w:type="dxa"/>
            <w:vAlign w:val="bottom"/>
          </w:tcPr>
          <w:p>
            <w:pPr>
              <w:jc w:val="right"/>
              <w:spacing w:after="0"/>
              <w:rPr>
                <w:sz w:val="20"/>
                <w:szCs w:val="20"/>
                <w:color w:val="auto"/>
              </w:rPr>
            </w:pPr>
            <w:r>
              <w:rPr>
                <w:rFonts w:ascii="Arial" w:cs="Arial" w:eastAsia="Arial" w:hAnsi="Arial"/>
                <w:sz w:val="18"/>
                <w:szCs w:val="18"/>
                <w:color w:val="auto"/>
              </w:rPr>
              <w:t>$762,000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Wind</w:t>
            </w:r>
          </w:p>
        </w:tc>
        <w:tc>
          <w:tcPr>
            <w:tcW w:w="5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Alta Wind X</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8"/>
                <w:szCs w:val="18"/>
                <w:color w:val="auto"/>
              </w:rPr>
              <w:t>$1,678,000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XI</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Alta Wind I</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II</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Alta Wind III</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8"/>
                <w:szCs w:val="18"/>
                <w:color w:val="auto"/>
              </w:rPr>
              <w:t>$577,000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Alta Wind IV</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Alta Wind V</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8"/>
                <w:szCs w:val="18"/>
                <w:color w:val="auto"/>
              </w:rPr>
              <w:t>$627,000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Buffalo Bear</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Crosswinds</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May 1, 2016</w:t>
            </w:r>
          </w:p>
        </w:tc>
        <w:tc>
          <w:tcPr>
            <w:tcW w:w="2020" w:type="dxa"/>
            <w:vAlign w:val="bottom"/>
          </w:tcPr>
          <w:p>
            <w:pPr>
              <w:jc w:val="right"/>
              <w:spacing w:after="0"/>
              <w:rPr>
                <w:sz w:val="20"/>
                <w:szCs w:val="20"/>
                <w:color w:val="auto"/>
              </w:rPr>
            </w:pPr>
            <w:r>
              <w:rPr>
                <w:rFonts w:ascii="Arial" w:cs="Arial" w:eastAsia="Arial" w:hAnsi="Arial"/>
                <w:sz w:val="18"/>
                <w:szCs w:val="18"/>
                <w:color w:val="auto"/>
              </w:rPr>
              <w:t>$671,000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Elbow Creek</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October 31, 2018</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Goat Wind</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18, 2008</w:t>
            </w:r>
          </w:p>
        </w:tc>
        <w:tc>
          <w:tcPr>
            <w:tcW w:w="2020" w:type="dxa"/>
            <w:vAlign w:val="bottom"/>
          </w:tcPr>
          <w:p>
            <w:pPr>
              <w:jc w:val="right"/>
              <w:spacing w:after="0"/>
              <w:rPr>
                <w:sz w:val="20"/>
                <w:szCs w:val="20"/>
                <w:color w:val="auto"/>
              </w:rPr>
            </w:pPr>
            <w:r>
              <w:rPr>
                <w:rFonts w:ascii="Arial" w:cs="Arial" w:eastAsia="Arial" w:hAnsi="Arial"/>
                <w:sz w:val="18"/>
                <w:szCs w:val="18"/>
                <w:color w:val="auto"/>
              </w:rPr>
              <w:t>$2,053,000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Hardin</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Langford Wind</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July 30, 2018</w:t>
            </w:r>
          </w:p>
        </w:tc>
        <w:tc>
          <w:tcPr>
            <w:tcW w:w="2020" w:type="dxa"/>
            <w:vAlign w:val="bottom"/>
          </w:tcPr>
          <w:p>
            <w:pPr>
              <w:jc w:val="right"/>
              <w:spacing w:after="0"/>
              <w:rPr>
                <w:sz w:val="20"/>
                <w:szCs w:val="20"/>
                <w:color w:val="auto"/>
              </w:rPr>
            </w:pPr>
            <w:r>
              <w:rPr>
                <w:rFonts w:ascii="Arial" w:cs="Arial" w:eastAsia="Arial" w:hAnsi="Arial"/>
                <w:sz w:val="18"/>
                <w:szCs w:val="18"/>
                <w:color w:val="auto"/>
              </w:rPr>
              <w:t>$2,593,000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Laredo Ridge</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24, 2015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Lookout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11, 2008</w:t>
            </w:r>
          </w:p>
        </w:tc>
        <w:tc>
          <w:tcPr>
            <w:tcW w:w="2020" w:type="dxa"/>
            <w:vAlign w:val="bottom"/>
          </w:tcPr>
          <w:p>
            <w:pPr>
              <w:jc w:val="right"/>
              <w:spacing w:after="0"/>
              <w:rPr>
                <w:sz w:val="20"/>
                <w:szCs w:val="20"/>
                <w:color w:val="auto"/>
              </w:rPr>
            </w:pPr>
            <w:r>
              <w:rPr>
                <w:rFonts w:ascii="Arial" w:cs="Arial" w:eastAsia="Arial" w:hAnsi="Arial"/>
                <w:sz w:val="18"/>
                <w:szCs w:val="18"/>
                <w:color w:val="auto"/>
              </w:rPr>
              <w:t>$945,000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Mesquite Star</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7, 2019</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Mt. Storm</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April 23, 2021</w:t>
            </w:r>
          </w:p>
        </w:tc>
        <w:tc>
          <w:tcPr>
            <w:tcW w:w="2020" w:type="dxa"/>
            <w:vAlign w:val="bottom"/>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Ocotillo</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November 3, 2020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Odin</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September 16, 2016</w:t>
            </w:r>
          </w:p>
        </w:tc>
        <w:tc>
          <w:tcPr>
            <w:tcW w:w="202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Pinnacle</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December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Rattlesnake</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February 5, 2020</w:t>
            </w:r>
          </w:p>
        </w:tc>
        <w:tc>
          <w:tcPr>
            <w:tcW w:w="2020" w:type="dxa"/>
            <w:vAlign w:val="bottom"/>
          </w:tcPr>
          <w:p>
            <w:pPr>
              <w:jc w:val="right"/>
              <w:spacing w:after="0"/>
              <w:rPr>
                <w:sz w:val="20"/>
                <w:szCs w:val="20"/>
                <w:color w:val="auto"/>
              </w:rPr>
            </w:pPr>
            <w:r>
              <w:rPr>
                <w:rFonts w:ascii="Arial" w:cs="Arial" w:eastAsia="Arial" w:hAnsi="Arial"/>
                <w:sz w:val="18"/>
                <w:szCs w:val="18"/>
                <w:color w:val="auto"/>
              </w:rPr>
              <w:t>$1,421,000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Sleeping Bear</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Spanish Fork</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September 16, 2016</w:t>
            </w:r>
          </w:p>
        </w:tc>
        <w:tc>
          <w:tcPr>
            <w:tcW w:w="2020" w:type="dxa"/>
            <w:vAlign w:val="bottom"/>
          </w:tcPr>
          <w:p>
            <w:pPr>
              <w:jc w:val="right"/>
              <w:spacing w:after="0"/>
              <w:rPr>
                <w:sz w:val="20"/>
                <w:szCs w:val="20"/>
                <w:color w:val="auto"/>
              </w:rPr>
            </w:pPr>
            <w:r>
              <w:rPr>
                <w:rFonts w:ascii="Arial" w:cs="Arial" w:eastAsia="Arial" w:hAnsi="Arial"/>
                <w:sz w:val="18"/>
                <w:szCs w:val="18"/>
                <w:color w:val="auto"/>
              </w:rPr>
              <w:t>$407,000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Trent</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O&amp;M Agreement, dated October 1, 2015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$1,214,000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Taloga</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O&amp;M Agreement, dated July 1, 2016</w:t>
            </w:r>
          </w:p>
        </w:tc>
        <w:tc>
          <w:tcPr>
            <w:tcW w:w="2020" w:type="dxa"/>
            <w:vAlign w:val="bottom"/>
          </w:tcPr>
          <w:p>
            <w:pPr>
              <w:jc w:val="right"/>
              <w:spacing w:after="0"/>
              <w:rPr>
                <w:sz w:val="20"/>
                <w:szCs w:val="20"/>
                <w:color w:val="auto"/>
              </w:rPr>
            </w:pPr>
            <w:r>
              <w:rPr>
                <w:rFonts w:ascii="Arial" w:cs="Arial" w:eastAsia="Arial" w:hAnsi="Arial"/>
                <w:sz w:val="18"/>
                <w:szCs w:val="18"/>
                <w:color w:val="auto"/>
              </w:rPr>
              <w:t>$2,309,000</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Wildorado</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O&amp;M Agreement, dated February 11, 2008</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Asset Management and Administrative Services Agreements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CEG provides day-to-day administrative support to certain of the Company's project-level entities in accordance with asset management and administrative services agreements (the “ASAs”). The ASAs for which the amount involved exceeded $120,000 during fiscal year 2020 are described in the table below. Under these agreements, the Company generally pays an annual or monthly fee, which may be subject to annual adjustment, plus any reimbursable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77"/>
        </w:trPr>
        <w:tc>
          <w:tcPr>
            <w:tcW w:w="2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Project</w:t>
            </w:r>
          </w:p>
        </w:tc>
        <w:tc>
          <w:tcPr>
            <w:tcW w:w="6500" w:type="dxa"/>
            <w:vAlign w:val="bottom"/>
            <w:gridSpan w:val="2"/>
            <w:vMerge w:val="restart"/>
          </w:tcPr>
          <w:p>
            <w:pPr>
              <w:ind w:left="2320"/>
              <w:spacing w:after="0"/>
              <w:rPr>
                <w:sz w:val="20"/>
                <w:szCs w:val="20"/>
                <w:color w:val="auto"/>
              </w:rPr>
            </w:pPr>
            <w:r>
              <w:rPr>
                <w:rFonts w:ascii="Arial" w:cs="Arial" w:eastAsia="Arial" w:hAnsi="Arial"/>
                <w:sz w:val="18"/>
                <w:szCs w:val="18"/>
                <w:b w:val="1"/>
                <w:bCs w:val="1"/>
                <w:color w:val="auto"/>
              </w:rPr>
              <w:t>Agreement Description</w:t>
            </w: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4"/>
        </w:trPr>
        <w:tc>
          <w:tcPr>
            <w:tcW w:w="2980" w:type="dxa"/>
            <w:vAlign w:val="bottom"/>
            <w:gridSpan w:val="2"/>
            <w:vMerge w:val="continue"/>
          </w:tcPr>
          <w:p>
            <w:pPr>
              <w:spacing w:after="0"/>
              <w:rPr>
                <w:sz w:val="19"/>
                <w:szCs w:val="19"/>
                <w:color w:val="auto"/>
              </w:rPr>
            </w:pPr>
          </w:p>
        </w:tc>
        <w:tc>
          <w:tcPr>
            <w:tcW w:w="6500" w:type="dxa"/>
            <w:vAlign w:val="bottom"/>
            <w:gridSpan w:val="2"/>
            <w:vMerge w:val="continue"/>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Paid to CEG</w:t>
            </w:r>
          </w:p>
        </w:tc>
        <w:tc>
          <w:tcPr>
            <w:tcW w:w="0" w:type="dxa"/>
            <w:vAlign w:val="bottom"/>
          </w:tcPr>
          <w:p>
            <w:pPr>
              <w:spacing w:after="0"/>
              <w:rPr>
                <w:sz w:val="1"/>
                <w:szCs w:val="1"/>
                <w:color w:val="auto"/>
              </w:rPr>
            </w:pPr>
          </w:p>
        </w:tc>
      </w:tr>
      <w:tr>
        <w:trPr>
          <w:trHeight w:val="217"/>
        </w:trPr>
        <w:tc>
          <w:tcPr>
            <w:tcW w:w="28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Solar</w:t>
            </w:r>
          </w:p>
        </w:tc>
        <w:tc>
          <w:tcPr>
            <w:tcW w:w="120" w:type="dxa"/>
            <w:vAlign w:val="bottom"/>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Agua Caliente</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January 18, 2012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Alpine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March 15,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Buckthorn Solar</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May 22,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Chestnut Fund LLC</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July 31, 2017</w:t>
            </w:r>
          </w:p>
        </w:tc>
        <w:tc>
          <w:tcPr>
            <w:tcW w:w="1760" w:type="dxa"/>
            <w:vAlign w:val="bottom"/>
          </w:tcPr>
          <w:p>
            <w:pPr>
              <w:jc w:val="right"/>
              <w:spacing w:after="0"/>
              <w:rPr>
                <w:sz w:val="20"/>
                <w:szCs w:val="20"/>
                <w:color w:val="auto"/>
              </w:rPr>
            </w:pPr>
            <w:r>
              <w:rPr>
                <w:rFonts w:ascii="Arial" w:cs="Arial" w:eastAsia="Arial" w:hAnsi="Arial"/>
                <w:sz w:val="18"/>
                <w:szCs w:val="18"/>
                <w:color w:val="auto"/>
              </w:rPr>
              <w:t>$219,000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CS4 Fund LLC</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November 29, 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CVSR</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April 26, 2016</w:t>
            </w:r>
          </w:p>
        </w:tc>
        <w:tc>
          <w:tcPr>
            <w:tcW w:w="1760" w:type="dxa"/>
            <w:vAlign w:val="bottom"/>
          </w:tcPr>
          <w:p>
            <w:pPr>
              <w:jc w:val="right"/>
              <w:spacing w:after="0"/>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DG CS Holdco LLC</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November 2,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DGPV Fund 4 LLC</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June 28, 2016</w:t>
            </w:r>
          </w:p>
        </w:tc>
        <w:tc>
          <w:tcPr>
            <w:tcW w:w="176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DGPV Holdco 3 LLC</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September 26,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Golden Fields Solar III LLC</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Project Administration Agreement, dated February 25, 2020</w:t>
            </w:r>
          </w:p>
        </w:tc>
        <w:tc>
          <w:tcPr>
            <w:tcW w:w="1760" w:type="dxa"/>
            <w:vAlign w:val="bottom"/>
          </w:tcPr>
          <w:p>
            <w:pPr>
              <w:jc w:val="right"/>
              <w:spacing w:after="0"/>
              <w:rPr>
                <w:sz w:val="20"/>
                <w:szCs w:val="20"/>
                <w:color w:val="auto"/>
              </w:rPr>
            </w:pPr>
            <w:r>
              <w:rPr>
                <w:rFonts w:ascii="Arial" w:cs="Arial" w:eastAsia="Arial" w:hAnsi="Arial"/>
                <w:sz w:val="18"/>
                <w:szCs w:val="18"/>
                <w:color w:val="auto"/>
              </w:rPr>
              <w:t>$213,000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Kawailoa Solar Holdings</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December 14,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Oahu Solar</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December 28, 2017</w:t>
            </w:r>
          </w:p>
        </w:tc>
        <w:tc>
          <w:tcPr>
            <w:tcW w:w="1760" w:type="dxa"/>
            <w:vAlign w:val="bottom"/>
          </w:tcPr>
          <w:p>
            <w:pPr>
              <w:jc w:val="right"/>
              <w:spacing w:after="0"/>
              <w:rPr>
                <w:sz w:val="20"/>
                <w:szCs w:val="20"/>
                <w:color w:val="auto"/>
              </w:rPr>
            </w:pPr>
            <w:r>
              <w:rPr>
                <w:rFonts w:ascii="Arial" w:cs="Arial" w:eastAsia="Arial" w:hAnsi="Arial"/>
                <w:sz w:val="18"/>
                <w:szCs w:val="18"/>
                <w:color w:val="auto"/>
              </w:rPr>
              <w:t>$203,000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SPP Fund III</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 Agreement, dated October 31,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SPP P-IV Master Lessee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Asset Management Agreement, dated July 12,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Wind</w:t>
            </w:r>
          </w:p>
        </w:tc>
        <w:tc>
          <w:tcPr>
            <w:tcW w:w="6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Buffalo Bear</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Amended and Restated Services Agreement, dated September 15, 2011</w:t>
            </w:r>
          </w:p>
        </w:tc>
        <w:tc>
          <w:tcPr>
            <w:tcW w:w="1760" w:type="dxa"/>
            <w:vAlign w:val="bottom"/>
          </w:tcPr>
          <w:p>
            <w:pPr>
              <w:jc w:val="right"/>
              <w:spacing w:after="0"/>
              <w:rPr>
                <w:sz w:val="20"/>
                <w:szCs w:val="20"/>
                <w:color w:val="auto"/>
              </w:rPr>
            </w:pPr>
            <w:r>
              <w:rPr>
                <w:rFonts w:ascii="Arial" w:cs="Arial" w:eastAsia="Arial" w:hAnsi="Arial"/>
                <w:sz w:val="18"/>
                <w:szCs w:val="18"/>
                <w:color w:val="auto"/>
              </w:rPr>
              <w:t>$171,000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Elbow Creek</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January 1, 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Forward</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Langford</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April 24,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Laredo Ridge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Support Services Agreement, dated May 27, 2010</w:t>
            </w:r>
          </w:p>
        </w:tc>
        <w:tc>
          <w:tcPr>
            <w:tcW w:w="1760" w:type="dxa"/>
            <w:vAlign w:val="bottom"/>
          </w:tcPr>
          <w:p>
            <w:pPr>
              <w:jc w:val="right"/>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Lookout</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Mesquite Star</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May 7, 2019</w:t>
            </w:r>
          </w:p>
        </w:tc>
        <w:tc>
          <w:tcPr>
            <w:tcW w:w="1760" w:type="dxa"/>
            <w:vAlign w:val="bottom"/>
          </w:tcPr>
          <w:p>
            <w:pPr>
              <w:jc w:val="right"/>
              <w:spacing w:after="0"/>
              <w:rPr>
                <w:sz w:val="20"/>
                <w:szCs w:val="20"/>
                <w:color w:val="auto"/>
              </w:rPr>
            </w:pPr>
            <w:r>
              <w:rPr>
                <w:rFonts w:ascii="Arial" w:cs="Arial" w:eastAsia="Arial" w:hAnsi="Arial"/>
                <w:sz w:val="18"/>
                <w:szCs w:val="18"/>
                <w:color w:val="auto"/>
              </w:rPr>
              <w:t>$497,000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Mt Storm</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April 23,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Pinnacle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Amended and Restated Services Agreement, dated September 15, 2011</w:t>
            </w:r>
          </w:p>
        </w:tc>
        <w:tc>
          <w:tcPr>
            <w:tcW w:w="1760" w:type="dxa"/>
            <w:vAlign w:val="bottom"/>
          </w:tcPr>
          <w:p>
            <w:pPr>
              <w:jc w:val="right"/>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Rattlesnake</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February 5,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Sleeping Bear</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Trent</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October 1, 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Spanish Fork</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Taloga</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Agreement, dated November 20, 2012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Viento Funding II, Inc.</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Management and Administration Agreement, dated July 1, 2013</w:t>
            </w:r>
          </w:p>
        </w:tc>
        <w:tc>
          <w:tcPr>
            <w:tcW w:w="1760" w:type="dxa"/>
            <w:vAlign w:val="bottom"/>
          </w:tcPr>
          <w:p>
            <w:pPr>
              <w:jc w:val="right"/>
              <w:spacing w:after="0"/>
              <w:rPr>
                <w:sz w:val="20"/>
                <w:szCs w:val="20"/>
                <w:color w:val="auto"/>
              </w:rPr>
            </w:pPr>
            <w:r>
              <w:rPr>
                <w:rFonts w:ascii="Arial" w:cs="Arial" w:eastAsia="Arial" w:hAnsi="Arial"/>
                <w:sz w:val="18"/>
                <w:szCs w:val="18"/>
                <w:color w:val="auto"/>
              </w:rPr>
              <w:t>$269,000</w:t>
            </w:r>
          </w:p>
        </w:tc>
        <w:tc>
          <w:tcPr>
            <w:tcW w:w="0" w:type="dxa"/>
            <w:vAlign w:val="bottom"/>
          </w:tcPr>
          <w:p>
            <w:pPr>
              <w:spacing w:after="0"/>
              <w:rPr>
                <w:sz w:val="1"/>
                <w:szCs w:val="1"/>
                <w:color w:val="auto"/>
              </w:rPr>
            </w:pPr>
          </w:p>
        </w:tc>
      </w:tr>
      <w:tr>
        <w:trPr>
          <w:trHeight w:val="225"/>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Wildorado</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 Administration Agreement, dated September 25, 2017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23"/>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Wind TE Holdco LLC</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Services Agreement, dated November 3, 2014</w:t>
            </w:r>
          </w:p>
        </w:tc>
        <w:tc>
          <w:tcPr>
            <w:tcW w:w="1760" w:type="dxa"/>
            <w:vAlign w:val="bottom"/>
          </w:tcPr>
          <w:p>
            <w:pPr>
              <w:jc w:val="right"/>
              <w:spacing w:after="0"/>
              <w:rPr>
                <w:sz w:val="20"/>
                <w:szCs w:val="20"/>
                <w:color w:val="auto"/>
              </w:rPr>
            </w:pPr>
            <w:r>
              <w:rPr>
                <w:rFonts w:ascii="Arial" w:cs="Arial" w:eastAsia="Arial" w:hAnsi="Arial"/>
                <w:sz w:val="18"/>
                <w:szCs w:val="18"/>
                <w:color w:val="auto"/>
              </w:rPr>
              <w:t>$1,118,000</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Reimbursements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2021, the Company paid approximately $1,310,000 for insurance premium reimbursements to CEG.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Fourth Amended and Restated Limited Liability Company Agreement of Clearway Energy LLC</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following is a description of the material terms of Clearway Energy LLC’s Fourth Amended and Restated Limited Liability Company Agreement (the “LLC Agreement”). For the year ended December 31, 2021, Clearway Energy LLC made approximately $154,437,000 in distributions to Clearway, Inc. and $113,381,000 to CEG (the holder of Class B and Class D units).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Governance</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Clearway, Inc. serves as the sole managing member of the Company. As such, Clearway, Inc. and effectively Clearway, Inc.’s Board, control the business and affairs of the Company and are responsible for the management of the business.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Voting and Economic Rights of Members</w:t>
      </w:r>
    </w:p>
    <w:p>
      <w:pPr>
        <w:spacing w:after="0" w:line="16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Company has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and each Class D unit is exchangeable for a share of Clearway, Inc.’s Class D common stock, in each case subject to equitable adjustments for stock splits, dividends and reclassifications in accordance with the terms of the Exchange Agreement (as described below).</w:t>
      </w:r>
    </w:p>
    <w:p>
      <w:pPr>
        <w:spacing w:after="0" w:line="11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Net profits and net losses and distributions by the Company are allocated and made to holders of units in accordance with the respective number of membership units of the Company held. Generally, the Company will make distributions to holders of units for the purpose of funding tax obligations in respect of income of the Company that is allocated to the members of the Company.</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Clearway, Inc.’s Coordination with Clearway Energy LLC</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Any time Clearway, Inc. issues a share of Class A common stock or a share of Class C common stock for cash, the net proceeds therefrom will promptly be transferred to the Company, and the Company will either:</w:t>
      </w:r>
    </w:p>
    <w:p>
      <w:pPr>
        <w:spacing w:after="0" w:line="181" w:lineRule="exact"/>
        <w:rPr>
          <w:sz w:val="20"/>
          <w:szCs w:val="20"/>
          <w:color w:val="auto"/>
        </w:rPr>
      </w:pPr>
    </w:p>
    <w:p>
      <w:pPr>
        <w:ind w:left="960" w:hanging="321"/>
        <w:spacing w:after="0" w:line="308" w:lineRule="auto"/>
        <w:tabs>
          <w:tab w:leader="none" w:pos="8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spacing w:after="0" w:line="28" w:lineRule="exact"/>
        <w:rPr>
          <w:rFonts w:ascii="Arial" w:cs="Arial" w:eastAsia="Arial" w:hAnsi="Arial"/>
          <w:sz w:val="16"/>
          <w:szCs w:val="16"/>
          <w:color w:val="auto"/>
        </w:rPr>
      </w:pPr>
    </w:p>
    <w:p>
      <w:pPr>
        <w:ind w:left="960" w:hanging="321"/>
        <w:spacing w:after="0" w:line="236" w:lineRule="auto"/>
        <w:tabs>
          <w:tab w:leader="none" w:pos="8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83"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62"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6"/>
          <w:szCs w:val="16"/>
          <w:color w:val="auto"/>
        </w:rPr>
        <w:t>Clearway, Inc. entered into an Amended and Restated Exchange Agreement with NRG (the “Exchange Agreement”), which was assigned to CEG upon the GIP Transaction. Under the Exchange Agreement, CEG (and certain permitted assignees and permitted transferees who acquire Class B units or Class D units of the Company) may from time to time cause us to exchange their Class B units for shares of Clearway, Inc.’s Class A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basis, subject to equitable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5" w:name="page86"/>
    <w:bookmarkEnd w:id="85"/>
    <w:p>
      <w:pPr>
        <w:jc w:val="both"/>
        <w:ind w:firstLine="396"/>
        <w:spacing w:after="0" w:line="247" w:lineRule="auto"/>
        <w:rPr>
          <w:sz w:val="20"/>
          <w:szCs w:val="20"/>
          <w:color w:val="auto"/>
        </w:rPr>
      </w:pPr>
      <w:r>
        <w:rPr>
          <w:rFonts w:ascii="Arial" w:cs="Arial" w:eastAsia="Arial" w:hAnsi="Arial"/>
          <w:sz w:val="18"/>
          <w:szCs w:val="18"/>
          <w:color w:val="auto"/>
        </w:rPr>
        <w:t>When CEG or its permitted transferee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CEG or its permitted transferee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the Company will be correspondingly increased.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Officers</w:t>
      </w:r>
    </w:p>
    <w:p>
      <w:pPr>
        <w:spacing w:after="0" w:line="16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Clearway, Inc. has entered into indemnification agreements with each of its executive officers. The indemnification agreements provide the executive officers with contractual rights to indemnification, expense advancement and reimbursement, to the fullest extent permitted under Delaware law.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Clearway, Inc.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Review, Approval and Ratification of Related Person Transactions; Conflicts of Interest</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Company does not have a separate policy regarding related party transactions, as all of its officers are subject to the written Related Person Policy provides that the Corporate Governance, Conflicts and Nominating Committee of the Board will periodically review all related person transactions that are required to be disclosed under SEC rules and, when appropriate, initially authorize or ratify all such transactions.</w:t>
      </w:r>
    </w:p>
    <w:p>
      <w:pPr>
        <w:spacing w:after="0" w:line="101" w:lineRule="exact"/>
        <w:rPr>
          <w:sz w:val="20"/>
          <w:szCs w:val="20"/>
          <w:color w:val="auto"/>
        </w:rPr>
      </w:pPr>
    </w:p>
    <w:p>
      <w:pPr>
        <w:ind w:right="160" w:firstLine="396"/>
        <w:spacing w:after="0" w:line="262" w:lineRule="auto"/>
        <w:rPr>
          <w:sz w:val="20"/>
          <w:szCs w:val="20"/>
          <w:color w:val="auto"/>
        </w:rPr>
      </w:pPr>
      <w:r>
        <w:rPr>
          <w:rFonts w:ascii="Arial" w:cs="Arial" w:eastAsia="Arial" w:hAnsi="Arial"/>
          <w:sz w:val="18"/>
          <w:szCs w:val="18"/>
          <w:color w:val="auto"/>
        </w:rPr>
        <w:t>The Related Person Policy operates in conjunction with Clearway, Inc.’s Code of Conduct and is applicable to all “Related Person Transactions”, which are all transactions, arrangements or relationships in which:</w:t>
      </w:r>
    </w:p>
    <w:p>
      <w:pPr>
        <w:spacing w:after="0" w:line="23" w:lineRule="exact"/>
        <w:rPr>
          <w:sz w:val="20"/>
          <w:szCs w:val="20"/>
          <w:color w:val="auto"/>
        </w:rPr>
      </w:pPr>
    </w:p>
    <w:p>
      <w:pPr>
        <w:ind w:left="1260" w:hanging="621"/>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$50,000 in any calendar year;</w:t>
      </w:r>
    </w:p>
    <w:p>
      <w:pPr>
        <w:spacing w:after="0" w:line="109" w:lineRule="exact"/>
        <w:rPr>
          <w:rFonts w:ascii="Arial" w:cs="Arial" w:eastAsia="Arial" w:hAnsi="Arial"/>
          <w:sz w:val="18"/>
          <w:szCs w:val="18"/>
          <w:color w:val="auto"/>
        </w:rPr>
      </w:pPr>
    </w:p>
    <w:p>
      <w:pPr>
        <w:ind w:left="1260" w:hanging="621"/>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Clearway, Inc. is a participant; and</w:t>
      </w:r>
    </w:p>
    <w:p>
      <w:pPr>
        <w:spacing w:after="0" w:line="109" w:lineRule="exact"/>
        <w:rPr>
          <w:rFonts w:ascii="Arial" w:cs="Arial" w:eastAsia="Arial" w:hAnsi="Arial"/>
          <w:sz w:val="18"/>
          <w:szCs w:val="18"/>
          <w:color w:val="auto"/>
        </w:rPr>
      </w:pPr>
    </w:p>
    <w:p>
      <w:pPr>
        <w:ind w:left="1260" w:hanging="621"/>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“Related Person” is:</w:t>
      </w:r>
    </w:p>
    <w:p>
      <w:pPr>
        <w:spacing w:after="0" w:line="57" w:lineRule="exact"/>
        <w:rPr>
          <w:sz w:val="20"/>
          <w:szCs w:val="20"/>
          <w:color w:val="auto"/>
        </w:rPr>
      </w:pPr>
    </w:p>
    <w:p>
      <w:pPr>
        <w:ind w:left="1280" w:hanging="641"/>
        <w:spacing w:after="0" w:line="262" w:lineRule="auto"/>
        <w:tabs>
          <w:tab w:leader="none" w:pos="12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the Company or a nominee for director or an executive officer;</w:t>
      </w:r>
    </w:p>
    <w:p>
      <w:pPr>
        <w:spacing w:after="0" w:line="75" w:lineRule="exact"/>
        <w:rPr>
          <w:rFonts w:ascii="Arial" w:cs="Arial" w:eastAsia="Arial" w:hAnsi="Arial"/>
          <w:sz w:val="18"/>
          <w:szCs w:val="18"/>
          <w:color w:val="auto"/>
        </w:rPr>
      </w:pPr>
    </w:p>
    <w:p>
      <w:pPr>
        <w:ind w:left="1260" w:hanging="621"/>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person who is known to Clearway, Inc.to be the beneficial owner of more than 5% of any class of Clearway, Inc.’s voting stock;</w:t>
      </w:r>
    </w:p>
    <w:p>
      <w:pPr>
        <w:spacing w:after="0" w:line="132" w:lineRule="exact"/>
        <w:rPr>
          <w:rFonts w:ascii="Arial" w:cs="Arial" w:eastAsia="Arial" w:hAnsi="Arial"/>
          <w:sz w:val="16"/>
          <w:szCs w:val="16"/>
          <w:color w:val="auto"/>
        </w:rPr>
      </w:pPr>
    </w:p>
    <w:p>
      <w:pPr>
        <w:jc w:val="both"/>
        <w:ind w:left="1280" w:hanging="641"/>
        <w:spacing w:after="0" w:line="214" w:lineRule="exact"/>
        <w:tabs>
          <w:tab w:leader="none" w:pos="12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father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son</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daughter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brother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or sister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spacing w:after="0" w:line="95" w:lineRule="exact"/>
        <w:rPr>
          <w:rFonts w:ascii="Arial" w:cs="Arial" w:eastAsia="Arial" w:hAnsi="Arial"/>
          <w:sz w:val="18"/>
          <w:szCs w:val="18"/>
          <w:color w:val="auto"/>
        </w:rPr>
      </w:pPr>
    </w:p>
    <w:p>
      <w:pPr>
        <w:ind w:left="1280" w:right="20" w:hanging="641"/>
        <w:spacing w:after="0" w:line="262" w:lineRule="auto"/>
        <w:tabs>
          <w:tab w:leader="none" w:pos="12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6" w:name="page87"/>
    <w:bookmarkEnd w:id="86"/>
    <w:p>
      <w:pPr>
        <w:jc w:val="both"/>
        <w:ind w:firstLine="396"/>
        <w:spacing w:after="0" w:line="283" w:lineRule="auto"/>
        <w:rPr>
          <w:sz w:val="20"/>
          <w:szCs w:val="20"/>
          <w:color w:val="auto"/>
        </w:rPr>
      </w:pPr>
      <w:r>
        <w:rPr>
          <w:rFonts w:ascii="Arial" w:cs="Arial" w:eastAsia="Arial" w:hAnsi="Arial"/>
          <w:sz w:val="16"/>
          <w:szCs w:val="16"/>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1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128" w:lineRule="exact"/>
        <w:rPr>
          <w:sz w:val="20"/>
          <w:szCs w:val="20"/>
          <w:color w:val="auto"/>
        </w:rPr>
      </w:pPr>
    </w:p>
    <w:p>
      <w:pPr>
        <w:jc w:val="both"/>
        <w:ind w:firstLine="396"/>
        <w:spacing w:after="0" w:line="214" w:lineRule="exact"/>
        <w:rPr>
          <w:sz w:val="20"/>
          <w:szCs w:val="20"/>
          <w:color w:val="auto"/>
        </w:rPr>
      </w:pPr>
      <w:r>
        <w:rPr>
          <w:rFonts w:ascii="Arial" w:cs="Arial" w:eastAsia="Arial" w:hAnsi="Arial"/>
          <w:sz w:val="16"/>
          <w:szCs w:val="16"/>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w:t>
      </w:r>
      <w:r>
        <w:rPr>
          <w:rFonts w:ascii="MS PGothic" w:cs="MS PGothic" w:eastAsia="MS PGothic" w:hAnsi="MS PGothic"/>
          <w:sz w:val="16"/>
          <w:szCs w:val="16"/>
          <w:color w:val="auto"/>
        </w:rPr>
        <w:t>‑</w:t>
      </w:r>
      <w:r>
        <w:rPr>
          <w:rFonts w:ascii="Arial" w:cs="Arial" w:eastAsia="Arial" w:hAnsi="Arial"/>
          <w:sz w:val="16"/>
          <w:szCs w:val="16"/>
          <w:color w:val="auto"/>
        </w:rPr>
        <w:t>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6"/>
          <w:szCs w:val="16"/>
          <w:color w:val="auto"/>
        </w:rPr>
        <w:t>‑</w:t>
      </w:r>
      <w:r>
        <w:rPr>
          <w:rFonts w:ascii="Arial" w:cs="Arial" w:eastAsia="Arial" w:hAnsi="Arial"/>
          <w:sz w:val="16"/>
          <w:szCs w:val="16"/>
          <w:color w:val="auto"/>
        </w:rPr>
        <w:t>approved or ratified by the Corporate Governance, Conflicts and Nominating Committee and do not require separate approval or ratification.</w:t>
      </w:r>
    </w:p>
    <w:p>
      <w:pPr>
        <w:spacing w:after="0" w:line="148"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8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the Company's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1"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following table presents fees for professional services rendered by Ernst &amp; Young LLP and KPMG LLP, the Company's principal independent registered public accounting firms, for the years ended December 31, 2021 and December 31, 2020,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Year Ended December 31,</w:t>
            </w:r>
          </w:p>
        </w:tc>
      </w:tr>
      <w:tr>
        <w:trPr>
          <w:trHeight w:val="218"/>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200"/>
              <w:spacing w:after="0" w:line="218" w:lineRule="exact"/>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2"/>
                <w:szCs w:val="22"/>
                <w:color w:val="auto"/>
                <w:vertAlign w:val="superscript"/>
              </w:rPr>
              <w:t>(a)</w:t>
            </w:r>
          </w:p>
        </w:tc>
        <w:tc>
          <w:tcPr>
            <w:tcW w:w="320" w:type="dxa"/>
            <w:vAlign w:val="bottom"/>
          </w:tcPr>
          <w:p>
            <w:pPr>
              <w:spacing w:after="0"/>
              <w:rPr>
                <w:sz w:val="18"/>
                <w:szCs w:val="18"/>
                <w:color w:val="auto"/>
              </w:rPr>
            </w:pPr>
          </w:p>
        </w:tc>
        <w:tc>
          <w:tcPr>
            <w:tcW w:w="1240" w:type="dxa"/>
            <w:vAlign w:val="bottom"/>
          </w:tcPr>
          <w:p>
            <w:pPr>
              <w:jc w:val="right"/>
              <w:ind w:right="412"/>
              <w:spacing w:after="0" w:line="218" w:lineRule="exact"/>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22"/>
                <w:szCs w:val="22"/>
                <w:b w:val="1"/>
                <w:bCs w:val="1"/>
                <w:color w:val="auto"/>
                <w:vertAlign w:val="superscript"/>
              </w:rPr>
              <w:t>(b)</w:t>
            </w:r>
          </w:p>
        </w:tc>
      </w:tr>
      <w:tr>
        <w:trPr>
          <w:trHeight w:val="217"/>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4,424,556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4,571,030</w:t>
            </w: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1,605,408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261,340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6,036,524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4,832,370</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160" w:hanging="154"/>
        <w:spacing w:after="0"/>
        <w:tabs>
          <w:tab w:leader="none" w:pos="160" w:val="left"/>
        </w:tabs>
        <w:numPr>
          <w:ilvl w:val="0"/>
          <w:numId w:val="54"/>
        </w:numPr>
        <w:rPr>
          <w:rFonts w:ascii="Arial" w:cs="Arial" w:eastAsia="Arial" w:hAnsi="Arial"/>
          <w:sz w:val="18"/>
          <w:szCs w:val="18"/>
          <w:color w:val="auto"/>
          <w:vertAlign w:val="superscript"/>
        </w:rPr>
      </w:pPr>
      <w:r>
        <w:rPr>
          <w:rFonts w:ascii="Arial" w:cs="Arial" w:eastAsia="Arial" w:hAnsi="Arial"/>
          <w:sz w:val="11"/>
          <w:szCs w:val="11"/>
          <w:color w:val="auto"/>
        </w:rPr>
        <w:t>Ernst &amp; Young LLP was the principal independent registered public accounting firm for the year ended December 31, 2021</w:t>
      </w:r>
      <w:r>
        <w:rPr>
          <w:rFonts w:ascii="Arial" w:cs="Arial" w:eastAsia="Arial" w:hAnsi="Arial"/>
          <w:sz w:val="13"/>
          <w:szCs w:val="13"/>
          <w:color w:val="auto"/>
        </w:rPr>
        <w:t>.</w:t>
      </w:r>
    </w:p>
    <w:p>
      <w:pPr>
        <w:spacing w:after="0" w:line="88" w:lineRule="exact"/>
        <w:rPr>
          <w:rFonts w:ascii="Arial" w:cs="Arial" w:eastAsia="Arial" w:hAnsi="Arial"/>
          <w:sz w:val="18"/>
          <w:szCs w:val="18"/>
          <w:color w:val="auto"/>
          <w:vertAlign w:val="superscript"/>
        </w:rPr>
      </w:pPr>
    </w:p>
    <w:p>
      <w:pPr>
        <w:ind w:left="180" w:hanging="174"/>
        <w:spacing w:after="0" w:line="184" w:lineRule="auto"/>
        <w:tabs>
          <w:tab w:leader="none" w:pos="180" w:val="left"/>
        </w:tabs>
        <w:numPr>
          <w:ilvl w:val="0"/>
          <w:numId w:val="54"/>
        </w:numPr>
        <w:rPr>
          <w:rFonts w:ascii="Arial" w:cs="Arial" w:eastAsia="Arial" w:hAnsi="Arial"/>
          <w:sz w:val="20"/>
          <w:szCs w:val="20"/>
          <w:color w:val="auto"/>
          <w:vertAlign w:val="superscript"/>
        </w:rPr>
      </w:pPr>
      <w:r>
        <w:rPr>
          <w:rFonts w:ascii="Arial" w:cs="Arial" w:eastAsia="Arial" w:hAnsi="Arial"/>
          <w:sz w:val="12"/>
          <w:szCs w:val="12"/>
          <w:color w:val="auto"/>
        </w:rPr>
        <w:t>KPMG LLP was the principal independent registered public accounting firm for the year ended December 31, 2020</w:t>
      </w:r>
      <w:r>
        <w:rPr>
          <w:rFonts w:ascii="Arial" w:cs="Arial" w:eastAsia="Arial" w:hAnsi="Arial"/>
          <w:sz w:val="15"/>
          <w:szCs w:val="15"/>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Company was billed approximately $4,424,556 and $4,571,030 in 2021 and 2020 audit fees, respectively, covering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audit-related fees billed to the Company in 2021 or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was billed approximately $1,605,408 and $261,340 in 2021 and 2020 tax fees relating mainly to compliance work.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6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 was billed approximately $6,560 in 2021 in other fees relating to online subscription fees. There were no other fees billed to the Company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Audit Committee of Clearway Energy, Inc. is responsible for appointing, setting compensation for, and overseeing the work of the independent registered public accounting firm of the Company. The Audit Committee of Clearway Energy, Inc. has established a policy regarding pre-approval of all audit and permissible nonaudit services provided by the independent registered public accounting firm of the Company.</w:t>
      </w:r>
    </w:p>
    <w:p>
      <w:pPr>
        <w:spacing w:after="0" w:line="10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Audit Committee of Clearway Energy, Inc. will annually review and pre-approve services that are expected to be provided by the independent registered public accounting firm. The term of the pre-approval will be 12 months from the date of the pre-approval, unless the Audit Committee of Clearway Energy, Inc. approves a shorter time period. The Audit Committee may periodically amend and/or supplement the pre-approved services based on subsequent determinations.</w:t>
      </w:r>
    </w:p>
    <w:p>
      <w:pPr>
        <w:spacing w:after="0" w:line="140"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Unless the Audit Committee of Clearway Energy, Inc. has pre-approved Audit Services or a specified category of nonaudit services, any engagement to provide such services must be pre-approved by the Audit Committee of Clearway Energy, Inc. if it is to be provided by the independent registered public accounting firm. The Audit Committee of Clearway Energy, Inc. must also pre-approve any proposed services exceeding the pre-approved budgeted fee levels for a specified type of service.</w:t>
      </w:r>
    </w:p>
    <w:p>
      <w:pPr>
        <w:spacing w:after="0" w:line="140"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Audit Committee of Clearway Energy, Inc. has authorized its Chair to pre-approve services in amounts up to $100,000 per engagement. Engagements exceeding $100,000 must be approved by the full Audit Committee of Clearway Energy, Inc. Engagements pre-approved by the Chair are reported to the Audit Committee of Clearway Energy, Inc. at its next scheduled meeting. The Audit Committee of Clearway Energy, Inc. approved all of the audit-related fees, tax fees and all other fees disclosed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8" w:name="page89"/>
    <w:bookmarkEnd w:id="88"/>
    <w:p>
      <w:pPr>
        <w:jc w:val="center"/>
        <w:ind w:right="-459"/>
        <w:spacing w:after="0"/>
        <w:rPr>
          <w:sz w:val="20"/>
          <w:szCs w:val="20"/>
          <w:color w:val="auto"/>
        </w:rPr>
      </w:pPr>
      <w:r>
        <w:rPr>
          <w:rFonts w:ascii="Arial" w:cs="Arial" w:eastAsia="Arial" w:hAnsi="Arial"/>
          <w:sz w:val="18"/>
          <w:szCs w:val="18"/>
          <w:b w:val="1"/>
          <w:bCs w:val="1"/>
          <w:color w:val="auto"/>
        </w:rPr>
        <w:t>PART IV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(a)(1) Financial Statements</w:t>
      </w:r>
    </w:p>
    <w:p>
      <w:pPr>
        <w:spacing w:after="0" w:line="162" w:lineRule="exact"/>
        <w:rPr>
          <w:sz w:val="20"/>
          <w:szCs w:val="20"/>
          <w:color w:val="auto"/>
        </w:rPr>
      </w:pPr>
    </w:p>
    <w:p>
      <w:pPr>
        <w:ind w:left="960" w:right="180" w:hanging="236"/>
        <w:spacing w:after="0" w:line="262" w:lineRule="auto"/>
        <w:rPr>
          <w:sz w:val="20"/>
          <w:szCs w:val="20"/>
          <w:color w:val="auto"/>
        </w:rPr>
      </w:pPr>
      <w:r>
        <w:rPr>
          <w:rFonts w:ascii="Arial" w:cs="Arial" w:eastAsia="Arial" w:hAnsi="Arial"/>
          <w:sz w:val="18"/>
          <w:szCs w:val="18"/>
          <w:color w:val="auto"/>
        </w:rPr>
        <w:t>The following consolidated financial statements of Clearway Energy LLC and related notes thereto, together with the Report of Independent Registered Public Accounting Firm thereon, are included herein:</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Operations — Years ended December 31, 2021, 2020 and 2019</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Comprehensive Income (Loss) — Years ended December 31, 2021, 2020 and 2019</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Balance Sheets — As of December 31, 2021 and 2020</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Cash Flows — Years ended December 31, 2021, 2020 and 2019</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Members' Equity — Years ended December 31, 2021, 2020 and 2019</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(a)(2) Financial Statement Schedules</w:t>
      </w:r>
    </w:p>
    <w:p>
      <w:pPr>
        <w:spacing w:after="0" w:line="1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following schedules of Clearway Energy, Inc. are filed as part of Item 15 of this report and should be read in conjunction with the</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Financial Statements:</w:t>
      </w:r>
    </w:p>
    <w:p>
      <w:pPr>
        <w:spacing w:after="0" w:line="151" w:lineRule="exact"/>
        <w:rPr>
          <w:sz w:val="20"/>
          <w:szCs w:val="20"/>
          <w:color w:val="auto"/>
        </w:rPr>
      </w:pPr>
    </w:p>
    <w:p>
      <w:pPr>
        <w:ind w:left="960" w:right="20"/>
        <w:spacing w:after="0" w:line="325" w:lineRule="auto"/>
        <w:rPr>
          <w:sz w:val="20"/>
          <w:szCs w:val="20"/>
          <w:color w:val="auto"/>
        </w:rPr>
      </w:pPr>
      <w:r>
        <w:rPr>
          <w:rFonts w:ascii="Arial" w:cs="Arial" w:eastAsia="Arial" w:hAnsi="Arial"/>
          <w:sz w:val="16"/>
          <w:szCs w:val="16"/>
          <w:color w:val="auto"/>
        </w:rPr>
        <w:t>Schedule I — Clearway Energy LLC (Parent) Condensed Financial Statements for the years ended December 31, 2021, 2020 and 2019, are included in Clearway Energy LLC's Annual Report on Form 10-K pursuant to the requirements of Rule 5-04(c) of Regulation S-X</w:t>
      </w:r>
    </w:p>
    <w:p>
      <w:pPr>
        <w:spacing w:after="0" w:line="82" w:lineRule="exact"/>
        <w:rPr>
          <w:sz w:val="20"/>
          <w:szCs w:val="20"/>
          <w:color w:val="auto"/>
        </w:rPr>
      </w:pPr>
    </w:p>
    <w:p>
      <w:pPr>
        <w:ind w:left="960"/>
        <w:spacing w:after="0" w:line="262"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62" w:lineRule="exact"/>
        <w:rPr>
          <w:sz w:val="20"/>
          <w:szCs w:val="20"/>
          <w:color w:val="auto"/>
        </w:rPr>
      </w:pPr>
    </w:p>
    <w:p>
      <w:pPr>
        <w:ind w:left="720" w:hanging="240"/>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16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62" w:lineRule="exact"/>
        <w:rPr>
          <w:rFonts w:ascii="Arial" w:cs="Arial" w:eastAsia="Arial" w:hAnsi="Arial"/>
          <w:sz w:val="18"/>
          <w:szCs w:val="18"/>
          <w:color w:val="auto"/>
        </w:rPr>
      </w:pPr>
    </w:p>
    <w:p>
      <w:pPr>
        <w:ind w:left="720" w:hanging="240"/>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320" w:top="873" w:right="79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audited the accompanying consolidated balance sheet of Clearway Energy LLC (the Company) as of December 31, 2021, the related consolidated statements of operations, comprehensive income (loss), members’ equity, and cash flows for the year then ended,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then ended, in conformity with U.S. generally accepted accounting principles.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0" w:name="page91"/>
    <w:bookmarkEnd w:id="90"/>
    <w:p>
      <w:pPr>
        <w:ind w:left="2420"/>
        <w:spacing w:after="0"/>
        <w:rPr>
          <w:sz w:val="20"/>
          <w:szCs w:val="20"/>
          <w:color w:val="auto"/>
        </w:rPr>
      </w:pPr>
      <w:r>
        <w:rPr>
          <w:rFonts w:ascii="Arial" w:cs="Arial" w:eastAsia="Arial" w:hAnsi="Arial"/>
          <w:sz w:val="15"/>
          <w:szCs w:val="15"/>
          <w:b w:val="1"/>
          <w:bCs w:val="1"/>
          <w:i w:val="1"/>
          <w:iCs w:val="1"/>
          <w:color w:val="auto"/>
        </w:rPr>
        <w:t>Allocation of earnings to noncontrolling interests in tax equity arrangements</w:t>
      </w:r>
    </w:p>
    <w:p>
      <w:pPr>
        <w:sectPr>
          <w:pgSz w:w="11900" w:h="16838" w:orient="portrait"/>
          <w:cols w:equalWidth="0" w:num="1">
            <w:col w:w="11200"/>
          </w:cols>
          <w:pgMar w:left="340" w:top="919" w:right="359" w:bottom="1440" w:gutter="0" w:footer="0" w:header="0"/>
        </w:sect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5 to the consolidated financial statements, during 2021 third-party tax equity investors purchased</w:t>
      </w:r>
    </w:p>
    <w:p>
      <w:pPr>
        <w:spacing w:after="0" w:line="15" w:lineRule="exact"/>
        <w:rPr>
          <w:sz w:val="20"/>
          <w:szCs w:val="20"/>
          <w:color w:val="auto"/>
        </w:rPr>
      </w:pPr>
    </w:p>
    <w:p>
      <w:pPr>
        <w:sectPr>
          <w:pgSz w:w="11900" w:h="16838" w:orient="portrait"/>
          <w:cols w:equalWidth="0" w:num="2">
            <w:col w:w="1800" w:space="620"/>
            <w:col w:w="8780"/>
          </w:cols>
          <w:pgMar w:left="340" w:top="919" w:right="35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noncontrolling interests in Rattlesnake TE Holdco LLC (Rattlesnake), Black Rock TE Holdco LLC, Mesquite Sky TE</w:t>
      </w:r>
    </w:p>
    <w:p>
      <w:pPr>
        <w:ind w:left="2420"/>
        <w:spacing w:after="0"/>
        <w:rPr>
          <w:sz w:val="20"/>
          <w:szCs w:val="20"/>
          <w:color w:val="auto"/>
        </w:rPr>
      </w:pPr>
      <w:r>
        <w:rPr>
          <w:rFonts w:ascii="Arial" w:cs="Arial" w:eastAsia="Arial" w:hAnsi="Arial"/>
          <w:sz w:val="16"/>
          <w:szCs w:val="16"/>
          <w:color w:val="auto"/>
        </w:rPr>
        <w:t>Holdco LLC and Pinnacle Repowering Tax Equity Holdco LLC (the “new tax equity arrangements”). Each tax equity</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investor received Class A membership interests in the respective entity. The Company utilizes the output of a hypothetical</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liquidation at book value (HLBV) model to determine the earnings allocated to the tax equity noncontrolling interest holders</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as the contractual agreements between the parties represent substantive profit-sharing arrangements.</w:t>
      </w:r>
    </w:p>
    <w:p>
      <w:pPr>
        <w:spacing w:after="0" w:line="20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Auditing the allocation of earnings using the HLBV method to the new tax equity arrangements was complex due to the</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judgments required at the inception of the arrangement to evaluate whether the HLBV model appropriately reflects the</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unique substantive profit-sharing terms and features within each arrangement. A greater extent of audit effort and</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specialized skill and knowledge was required with respect to evaluating the appropriateness of the tax capital account</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balances used in the HLBV model for compliance with the provisions of the Internal Revenue Code, as well as compliance</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 the contractual provisions in each agreement.</w:t>
      </w:r>
    </w:p>
    <w:p>
      <w:pPr>
        <w:sectPr>
          <w:pgSz w:w="11900" w:h="16838" w:orient="portrait"/>
          <w:cols w:equalWidth="0" w:num="1">
            <w:col w:w="11200"/>
          </w:cols>
          <w:pgMar w:left="340" w:top="919" w:right="35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How We Addressed the Matter in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We obtained an understanding, evaluated the design and tested the operating effectiveness of the control over the Company's</w:t>
      </w:r>
    </w:p>
    <w:p>
      <w:pPr>
        <w:spacing w:after="0" w:line="38" w:lineRule="exact"/>
        <w:rPr>
          <w:sz w:val="20"/>
          <w:szCs w:val="20"/>
          <w:color w:val="auto"/>
        </w:rPr>
      </w:pPr>
    </w:p>
    <w:p>
      <w:pPr>
        <w:sectPr>
          <w:pgSz w:w="11900" w:h="16838" w:orient="portrait"/>
          <w:cols w:equalWidth="0" w:num="2">
            <w:col w:w="2320" w:space="100"/>
            <w:col w:w="8780"/>
          </w:cols>
          <w:pgMar w:left="340" w:top="919" w:right="3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process for establishing the HLBV model for the new tax equity arrangements. For example, we tested a control over</w:t>
      </w:r>
    </w:p>
    <w:p>
      <w:pPr>
        <w:spacing w:after="0" w:line="1" w:lineRule="exact"/>
        <w:rPr>
          <w:sz w:val="20"/>
          <w:szCs w:val="20"/>
          <w:color w:val="auto"/>
        </w:rPr>
      </w:pPr>
    </w:p>
    <w:p>
      <w:pPr>
        <w:sectPr>
          <w:pgSz w:w="11900" w:h="16838" w:orient="portrait"/>
          <w:cols w:equalWidth="0" w:num="2">
            <w:col w:w="1700" w:space="720"/>
            <w:col w:w="8780"/>
          </w:cols>
          <w:pgMar w:left="340" w:top="919" w:right="359" w:bottom="1440" w:gutter="0" w:footer="0" w:header="0"/>
          <w:type w:val="continuous"/>
        </w:sectPr>
      </w:pPr>
    </w:p>
    <w:p>
      <w:pPr>
        <w:ind w:left="2420"/>
        <w:spacing w:after="0" w:line="214" w:lineRule="auto"/>
        <w:rPr>
          <w:sz w:val="20"/>
          <w:szCs w:val="20"/>
          <w:color w:val="auto"/>
        </w:rPr>
      </w:pPr>
      <w:r>
        <w:rPr>
          <w:rFonts w:ascii="Arial" w:cs="Arial" w:eastAsia="Arial" w:hAnsi="Arial"/>
          <w:sz w:val="18"/>
          <w:szCs w:val="18"/>
          <w:color w:val="auto"/>
        </w:rPr>
        <w:t>management’s review of the substantive profit-sharing terms and features within each arrangement and evaluating whether they are properly reflected in each HLBV model.</w:t>
      </w:r>
    </w:p>
    <w:p>
      <w:pPr>
        <w:spacing w:after="0" w:line="200"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To test the allocation of earnings to noncontrolling interest holders in the new tax equity arrangements, we read the related</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agreements to understand the business purpose and the substantive profit-sharing provisions. We evaluated each HLBV</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model for consistency with the contractual provisions in the related agreements and tested the initial recognition of the</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noncontrolling interest balance by agreeing capital contributions to supporting documentation. We involved tax subject</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matter professionals to assist in evaluating the calculation of the tax capital accounts used in each HLBV model for</w:t>
      </w:r>
    </w:p>
    <w:p>
      <w:pPr>
        <w:ind w:left="2420"/>
        <w:spacing w:after="0" w:line="238" w:lineRule="auto"/>
        <w:rPr>
          <w:sz w:val="20"/>
          <w:szCs w:val="20"/>
          <w:color w:val="auto"/>
        </w:rPr>
      </w:pPr>
      <w:r>
        <w:rPr>
          <w:rFonts w:ascii="Arial" w:cs="Arial" w:eastAsia="Arial" w:hAnsi="Arial"/>
          <w:sz w:val="16"/>
          <w:szCs w:val="16"/>
          <w:color w:val="auto"/>
        </w:rPr>
        <w:t>compliance with the provisions of the Internal Revenue Code, as well as compliance with the contractual provisions in the</w:t>
      </w:r>
    </w:p>
    <w:p>
      <w:pPr>
        <w:ind w:left="2420"/>
        <w:spacing w:after="0"/>
        <w:rPr>
          <w:sz w:val="20"/>
          <w:szCs w:val="20"/>
          <w:color w:val="auto"/>
        </w:rPr>
      </w:pPr>
      <w:r>
        <w:rPr>
          <w:rFonts w:ascii="Arial" w:cs="Arial" w:eastAsia="Arial" w:hAnsi="Arial"/>
          <w:sz w:val="16"/>
          <w:szCs w:val="16"/>
          <w:color w:val="auto"/>
        </w:rPr>
        <w:t>agreements. Additionally, we tested the period end noncontrolling interest balances for the new tax equity arrangements by</w:t>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agreeing distributions to supporting documentation and recalculating the allocation of earnings using each HLBV model.</w:t>
      </w:r>
    </w:p>
    <w:p>
      <w:pPr>
        <w:spacing w:after="0" w:line="303" w:lineRule="exact"/>
        <w:rPr>
          <w:sz w:val="20"/>
          <w:szCs w:val="20"/>
          <w:color w:val="auto"/>
        </w:rPr>
      </w:pPr>
    </w:p>
    <w:p>
      <w:pPr>
        <w:ind w:left="2420"/>
        <w:spacing w:after="0"/>
        <w:rPr>
          <w:sz w:val="20"/>
          <w:szCs w:val="20"/>
          <w:color w:val="auto"/>
        </w:rPr>
      </w:pPr>
      <w:r>
        <w:rPr>
          <w:rFonts w:ascii="Arial" w:cs="Arial" w:eastAsia="Arial" w:hAnsi="Arial"/>
          <w:sz w:val="18"/>
          <w:szCs w:val="18"/>
          <w:b w:val="1"/>
          <w:bCs w:val="1"/>
          <w:i w:val="1"/>
          <w:iCs w:val="1"/>
          <w:color w:val="auto"/>
        </w:rPr>
        <w:t>Fair value of Level 3 energy related commodity contracts</w:t>
      </w:r>
    </w:p>
    <w:p>
      <w:pPr>
        <w:sectPr>
          <w:pgSz w:w="11900" w:h="16838" w:orient="portrait"/>
          <w:cols w:equalWidth="0" w:num="1">
            <w:col w:w="11200"/>
          </w:cols>
          <w:pgMar w:left="340" w:top="919" w:right="359"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 described in Note 6 to the consolidated financial statements, as of December 31, 2021, the aggregate fair value of energy related commodity contracts classified as Level 3 derivative instruments was $179 million. The Company's determination of the fair value of long-term physically-settled power commodity contracts executed in illiquid markets are considered Level 3 fair value measurements as they contain significant unobservable inputs, including forward market energy pricing curves. The Company uses a discounted cash flow valuation technique to determine the fair value of its energy related commodity contracts.</w:t>
      </w:r>
    </w:p>
    <w:p>
      <w:pPr>
        <w:spacing w:after="0" w:line="124" w:lineRule="exact"/>
        <w:rPr>
          <w:sz w:val="20"/>
          <w:szCs w:val="20"/>
          <w:color w:val="auto"/>
        </w:rPr>
      </w:pPr>
    </w:p>
    <w:p>
      <w:pPr>
        <w:sectPr>
          <w:pgSz w:w="11900" w:h="16838" w:orient="portrait"/>
          <w:cols w:equalWidth="0" w:num="2">
            <w:col w:w="1800" w:space="620"/>
            <w:col w:w="8780"/>
          </w:cols>
          <w:pgMar w:left="340" w:top="919" w:right="359" w:bottom="1440" w:gutter="0" w:footer="0" w:header="0"/>
          <w:type w:val="continuous"/>
        </w:sectPr>
      </w:pPr>
    </w:p>
    <w:p>
      <w:pPr>
        <w:jc w:val="both"/>
        <w:ind w:left="2420"/>
        <w:spacing w:after="0" w:line="218" w:lineRule="auto"/>
        <w:rPr>
          <w:sz w:val="20"/>
          <w:szCs w:val="20"/>
          <w:color w:val="auto"/>
        </w:rPr>
      </w:pPr>
      <w:r>
        <w:rPr>
          <w:rFonts w:ascii="Arial" w:cs="Arial" w:eastAsia="Arial" w:hAnsi="Arial"/>
          <w:sz w:val="18"/>
          <w:szCs w:val="18"/>
          <w:color w:val="auto"/>
        </w:rPr>
        <w:t>Auditing the fair value measurement of energy related commodity contracts classified as Level 3 financial instruments was complex due to the judgmental nature of the forward market energy pricing curve assumptions used as an input into the valuation models.</w:t>
      </w:r>
    </w:p>
    <w:p>
      <w:pPr>
        <w:sectPr>
          <w:pgSz w:w="11900" w:h="16838" w:orient="portrait"/>
          <w:cols w:equalWidth="0" w:num="1">
            <w:col w:w="11200"/>
          </w:cols>
          <w:pgMar w:left="340" w:top="9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79375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919" w:right="359" w:bottom="144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16"/>
          <w:szCs w:val="16"/>
          <w:i w:val="1"/>
          <w:iCs w:val="1"/>
          <w:color w:val="auto"/>
        </w:rPr>
        <w:t xml:space="preserve">How We Addressed the Matter in </w:t>
      </w:r>
      <w:r>
        <w:rPr>
          <w:rFonts w:ascii="Arial" w:cs="Arial" w:eastAsia="Arial" w:hAnsi="Arial"/>
          <w:sz w:val="16"/>
          <w:szCs w:val="16"/>
          <w:color w:val="auto"/>
        </w:rPr>
        <w:t>We obtained an understanding, evaluated the design and tested the operating effectiveness of controls over the Company's</w:t>
      </w:r>
    </w:p>
    <w:p>
      <w:pPr>
        <w:spacing w:after="0" w:line="1" w:lineRule="exact"/>
        <w:rPr>
          <w:sz w:val="20"/>
          <w:szCs w:val="20"/>
          <w:color w:val="auto"/>
        </w:rPr>
      </w:pPr>
    </w:p>
    <w:p>
      <w:pPr>
        <w:ind w:left="2440" w:hanging="2413"/>
        <w:spacing w:after="0" w:line="255" w:lineRule="auto"/>
        <w:tabs>
          <w:tab w:leader="none" w:pos="242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6"/>
          <w:szCs w:val="16"/>
          <w:color w:val="auto"/>
        </w:rPr>
        <w:t>processes for reviewing the key assumptions in estimating Level 3 fair values. For example, we tested controls over management’s review of the specific forward market energy pricing curves used as an input into the valuation models.</w:t>
      </w:r>
    </w:p>
    <w:p>
      <w:pPr>
        <w:spacing w:after="0" w:line="109" w:lineRule="exact"/>
        <w:rPr>
          <w:sz w:val="20"/>
          <w:szCs w:val="20"/>
          <w:color w:val="auto"/>
        </w:rPr>
      </w:pPr>
    </w:p>
    <w:p>
      <w:pPr>
        <w:jc w:val="both"/>
        <w:ind w:left="2440"/>
        <w:spacing w:after="0" w:line="231" w:lineRule="auto"/>
        <w:rPr>
          <w:sz w:val="20"/>
          <w:szCs w:val="20"/>
          <w:color w:val="auto"/>
        </w:rPr>
      </w:pPr>
      <w:r>
        <w:rPr>
          <w:rFonts w:ascii="Arial" w:cs="Arial" w:eastAsia="Arial" w:hAnsi="Arial"/>
          <w:sz w:val="16"/>
          <w:szCs w:val="16"/>
          <w:color w:val="auto"/>
        </w:rPr>
        <w:t>To test the fair value of Level 3 energy related commodity contracts, our audit procedures included, among others, evaluating the valuation methodologies used by the Company and testing significant inputs, estimates and the mathematical accuracy of the calculations. In certain instances, with the assistance of 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 sensitivity analyses using independent sources of market data to evaluate the significance of the change in fair value of Level 3 energy related commodity contracts that would result from changes in underlying assumptions.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2"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62"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We have audited the accompanying consolidated balance sheet of Clearway Energy LLC and subsidiaries (the Company) as of December 31, 2020, the related consolidated statements of operations, comprehensive income (loss), members’ equity, and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and financial statement schedule “Schedule I-Condensed Financial Information of Registrant” (collectively, the consolidated financial statements). In our opinion, the consolidated financial statements present fairly, in all material respects, the financial position of the Company as of December 31, 2020, and the results of its operations and its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2012 to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r>
      <w:tr>
        <w:trPr>
          <w:trHeight w:val="205"/>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4"/>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05"/>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w w:val="99"/>
              </w:rPr>
              <w:t>Cost of operations, exclusive of depreciation, amortization and accretion shown separately below</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5"/>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04"/>
        </w:trPr>
        <w:tc>
          <w:tcPr>
            <w:tcW w:w="78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4"/>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Impairment loss on investment</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4"/>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2"/>
        </w:trPr>
        <w:tc>
          <w:tcPr>
            <w:tcW w:w="7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16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4"/>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78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LLC</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5"/>
              </w:rPr>
              <w:t>December 31, 2020</w:t>
            </w:r>
          </w:p>
        </w:tc>
      </w:tr>
      <w:tr>
        <w:trPr>
          <w:trHeight w:val="211"/>
        </w:trPr>
        <w:tc>
          <w:tcPr>
            <w:tcW w:w="7680" w:type="dxa"/>
            <w:vAlign w:val="bottom"/>
            <w:tcBorders>
              <w:bottom w:val="single" w:sz="8" w:color="CCEEFF"/>
            </w:tcBorders>
          </w:tcPr>
          <w:p>
            <w:pPr>
              <w:ind w:left="35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321"/>
              <w:spacing w:after="0"/>
              <w:rPr>
                <w:sz w:val="20"/>
                <w:szCs w:val="20"/>
                <w:color w:val="auto"/>
              </w:rPr>
            </w:pPr>
            <w:r>
              <w:rPr>
                <w:rFonts w:ascii="Arial" w:cs="Arial" w:eastAsia="Arial" w:hAnsi="Arial"/>
                <w:sz w:val="14"/>
                <w:szCs w:val="14"/>
                <w:b w:val="1"/>
                <w:bCs w:val="1"/>
                <w:color w:val="auto"/>
              </w:rPr>
              <w:t>(In millions)</w:t>
            </w:r>
          </w:p>
        </w:tc>
      </w:tr>
      <w:tr>
        <w:trPr>
          <w:trHeight w:val="191"/>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Current assets held-for-sale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1"/>
        </w:trPr>
        <w:tc>
          <w:tcPr>
            <w:tcW w:w="76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08"/>
        </w:trPr>
        <w:tc>
          <w:tcPr>
            <w:tcW w:w="7680" w:type="dxa"/>
            <w:vAlign w:val="bottom"/>
          </w:tcPr>
          <w:p>
            <w:pPr>
              <w:ind w:left="160"/>
              <w:spacing w:after="0"/>
              <w:rPr>
                <w:sz w:val="20"/>
                <w:szCs w:val="20"/>
                <w:color w:val="auto"/>
              </w:rPr>
            </w:pPr>
            <w:r>
              <w:rPr>
                <w:rFonts w:ascii="Arial" w:cs="Arial" w:eastAsia="Arial" w:hAnsi="Arial"/>
                <w:sz w:val="16"/>
                <w:szCs w:val="16"/>
                <w:color w:val="auto"/>
              </w:rPr>
              <w:t>Intangible assets for power purchase agreements, net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1,230</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08"/>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4"/>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1"/>
        </w:trPr>
        <w:tc>
          <w:tcPr>
            <w:tcW w:w="7680" w:type="dxa"/>
            <w:vAlign w:val="bottom"/>
            <w:shd w:val="clear" w:color="auto" w:fill="CCEEFF"/>
          </w:tcPr>
          <w:p>
            <w:pPr>
              <w:ind w:left="2220"/>
              <w:spacing w:after="0" w:line="190" w:lineRule="exact"/>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held-for-sale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08"/>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18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Long-term lease liabilities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01"/>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r>
      <w:tr>
        <w:trPr>
          <w:trHeight w:val="208"/>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w:t>
            </w:r>
          </w:p>
        </w:tc>
      </w:tr>
      <w:tr>
        <w:trPr>
          <w:trHeight w:val="201"/>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Contributed capital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1,723</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8"/>
        </w:trPr>
        <w:tc>
          <w:tcPr>
            <w:tcW w:w="76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4"/>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r>
      <w:tr>
        <w:trPr>
          <w:trHeight w:val="20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3"/>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r>
      <w:tr>
        <w:trPr>
          <w:trHeight w:val="176"/>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1"/>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193"/>
        </w:trPr>
        <w:tc>
          <w:tcPr>
            <w:tcW w:w="8200" w:type="dxa"/>
            <w:vAlign w:val="bottom"/>
          </w:tcPr>
          <w:p>
            <w:pPr>
              <w:ind w:left="14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Equity in earnings of unconsolidated affiliates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Distributions from unconsolidated affiliates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Depreciation, amortization and accretion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Amortization of financing costs and debt discounts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intangibles and out-of-market contracts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Loss on debt extinguishment</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Reduction in carrying amount of right-of-use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Gain on sale of unconsolidated affiliate</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Impairment losses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Change in deferred income taxes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derivative instruments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Loss on disposal of asset components</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02"/>
        </w:trPr>
        <w:tc>
          <w:tcPr>
            <w:tcW w:w="8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provided (used) in changes in other working capital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Changes in prepaid and accrued liabilities for tolling agreements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other working capital</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8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701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w:t>
            </w:r>
          </w:p>
        </w:tc>
      </w:tr>
      <w:tr>
        <w:trPr>
          <w:trHeight w:val="182"/>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Acquisitions, net of cash acquired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Partnership interest acquisition</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Acquisition of Drop Down Assets, net of cash acquired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Capital expenditures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Asset purchase from affiliate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Buyout of Wind TE Holdco non-controlling interest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Return of investment from unconsolidated affiliates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Investments in unconsolidated affiliates</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Proceeds from sale of assets</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Consolidation of DGPV Holdco 3 LLC</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r>
      <w:tr>
        <w:trPr>
          <w:trHeight w:val="175"/>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0"/>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Contributions from noncontrolling interests, net of distributions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Contributions from CEG, net of distributions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Buyout of Repowering Partnership II LLC noncontrolling interest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Proceeds from the issuance of class C units</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Payments of distributions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Proceeds from the revolving credit facility</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622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Payments for the revolving credit facility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Proceeds from issuance of long-term debt — external</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1,728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1,215</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issuance of long-term debt — affiliate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Payments of debt issuance costs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Payments for long-term debt — external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w:t>
            </w:r>
          </w:p>
        </w:tc>
      </w:tr>
      <w:tr>
        <w:trPr>
          <w:trHeight w:val="193"/>
        </w:trPr>
        <w:tc>
          <w:tcPr>
            <w:tcW w:w="8200" w:type="dxa"/>
            <w:vAlign w:val="bottom"/>
          </w:tcPr>
          <w:p>
            <w:pPr>
              <w:ind w:left="340"/>
              <w:spacing w:after="0"/>
              <w:rPr>
                <w:sz w:val="20"/>
                <w:szCs w:val="20"/>
                <w:color w:val="auto"/>
              </w:rPr>
            </w:pPr>
            <w:r>
              <w:rPr>
                <w:rFonts w:ascii="Arial" w:cs="Arial" w:eastAsia="Arial" w:hAnsi="Arial"/>
                <w:sz w:val="15"/>
                <w:szCs w:val="15"/>
                <w:color w:val="auto"/>
              </w:rPr>
              <w:t>Payments for long-term debt — affiliate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(215)</w:t>
            </w:r>
          </w:p>
        </w:tc>
      </w:tr>
      <w:tr>
        <w:trPr>
          <w:trHeight w:val="202"/>
        </w:trPr>
        <w:tc>
          <w:tcPr>
            <w:tcW w:w="8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367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Reclassification of Cash to Assets Held-for-Sale</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200"/>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583</w:t>
            </w:r>
          </w:p>
        </w:tc>
      </w:tr>
      <w:tr>
        <w:trPr>
          <w:trHeight w:val="193"/>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654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4"/>
        </w:trPr>
        <w:tc>
          <w:tcPr>
            <w:tcW w:w="8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5"/>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8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paid, net of amount capitalized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r>
      <w:tr>
        <w:trPr>
          <w:trHeight w:val="195"/>
        </w:trPr>
        <w:tc>
          <w:tcPr>
            <w:tcW w:w="820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8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Reductions to fixed assets for accrued capital expenditures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9"/>
        </w:trPr>
        <w:tc>
          <w:tcPr>
            <w:tcW w:w="8200" w:type="dxa"/>
            <w:vAlign w:val="bottom"/>
          </w:tcPr>
          <w:p>
            <w:pPr>
              <w:ind w:left="220"/>
              <w:spacing w:after="0"/>
              <w:rPr>
                <w:sz w:val="20"/>
                <w:szCs w:val="20"/>
                <w:color w:val="auto"/>
              </w:rPr>
            </w:pPr>
            <w:r>
              <w:rPr>
                <w:rFonts w:ascii="Arial" w:cs="Arial" w:eastAsia="Arial" w:hAnsi="Arial"/>
                <w:sz w:val="15"/>
                <w:szCs w:val="15"/>
                <w:color w:val="auto"/>
              </w:rPr>
              <w:t>Non-cash contributions from CEG, net of distributions</w:t>
            </w:r>
          </w:p>
        </w:tc>
        <w:tc>
          <w:tcPr>
            <w:tcW w:w="2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2"/>
              </w:rPr>
              <w:t>Retained Earnings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Contributed</w:t>
            </w:r>
          </w:p>
        </w:tc>
        <w:tc>
          <w:tcPr>
            <w:tcW w:w="12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104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9"/>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Interest</w:t>
            </w:r>
          </w:p>
        </w:tc>
        <w:tc>
          <w:tcPr>
            <w:tcW w:w="10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2"/>
                <w:szCs w:val="12"/>
                <w:b w:val="1"/>
                <w:bCs w:val="1"/>
                <w:color w:val="auto"/>
                <w:w w:val="94"/>
              </w:rPr>
              <w:t>Members' Equity</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Net loss</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Unrealized gain on derivatives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Buyout of Wind TE Holdco non-controlling interest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Contributions from CEG net of distributions, non-cash</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Cumulative effect from change in accounting principle</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paid to CEG on Class B and Class D units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Distributions paid to Clearway Energy, Inc., cash</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paid to Clearway Energy, Inc., non-cash</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Contributions to tax equity non-controlling interests, net of distributions, cash</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to CEG, net of contributions, cash</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Proceeds from the issuance of Class C Common Stock</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Carlsbad Drop Down</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7"/>
        </w:trPr>
        <w:tc>
          <w:tcPr>
            <w:tcW w:w="5220" w:type="dxa"/>
            <w:vAlign w:val="bottom"/>
          </w:tcPr>
          <w:p>
            <w:pPr>
              <w:ind w:left="20"/>
              <w:spacing w:after="0"/>
              <w:rPr>
                <w:sz w:val="20"/>
                <w:szCs w:val="20"/>
                <w:color w:val="auto"/>
              </w:rPr>
            </w:pPr>
            <w:r>
              <w:rPr>
                <w:rFonts w:ascii="Arial" w:cs="Arial" w:eastAsia="Arial" w:hAnsi="Arial"/>
                <w:sz w:val="15"/>
                <w:szCs w:val="15"/>
                <w:b w:val="1"/>
                <w:bCs w:val="1"/>
                <w:color w:val="auto"/>
              </w:rPr>
              <w:t>Balances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1,882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2,173</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income (loss)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Unrealized gain on derivatives</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Contributions from CEG, non-cash</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Contributions from CEG, cash</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to noncontrolling interests, non-cash</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Contributions from noncontrolling interests, net of distributions, cash</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DGPV Drop Down and Consolidation</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Mesquite Star Drop Down and Consolidation</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Langford Drop Down</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Rosamond Central Drop Down</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Lighthouse Partnership Yield Protection Agreement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Buyout of Repowering Partnership II LLC non-controlling interest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proceeds from the sales of units, Clearway Energy, Inc.</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Distributions paid to CEG on Class B and Class D units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paid to Clearway Energy, Inc.</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7"/>
        </w:trPr>
        <w:tc>
          <w:tcPr>
            <w:tcW w:w="5220" w:type="dxa"/>
            <w:vAlign w:val="bottom"/>
          </w:tcPr>
          <w:p>
            <w:pPr>
              <w:ind w:left="20"/>
              <w:spacing w:after="0"/>
              <w:rPr>
                <w:sz w:val="20"/>
                <w:szCs w:val="20"/>
                <w:color w:val="auto"/>
              </w:rPr>
            </w:pPr>
            <w:r>
              <w:rPr>
                <w:rFonts w:ascii="Arial" w:cs="Arial" w:eastAsia="Arial" w:hAnsi="Arial"/>
                <w:sz w:val="15"/>
                <w:szCs w:val="15"/>
                <w:b w:val="1"/>
                <w:bCs w:val="1"/>
                <w:color w:val="auto"/>
              </w:rPr>
              <w:t>Balances at December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1,723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2,612</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income (loss)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Unrealized gain on derivatives</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Contributions from CEG, net of distributions, non-cash</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Contributions from CEG, net of distributions, cash</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Contributions from noncontrolling interests, net of distributions, cash</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Distributions paid to CEG on Class B and Class D units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Distributions paid to Clearway Energy, Inc.</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Lighthouse Partnership Yield Protection Agreement Amendment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Agua Acquisition</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Rattlesnake Drop Down</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Mesquite Sky Drop Down</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93"/>
        </w:trPr>
        <w:tc>
          <w:tcPr>
            <w:tcW w:w="5220" w:type="dxa"/>
            <w:vAlign w:val="bottom"/>
          </w:tcPr>
          <w:p>
            <w:pPr>
              <w:ind w:left="100"/>
              <w:spacing w:after="0"/>
              <w:rPr>
                <w:sz w:val="20"/>
                <w:szCs w:val="20"/>
                <w:color w:val="auto"/>
              </w:rPr>
            </w:pPr>
            <w:r>
              <w:rPr>
                <w:rFonts w:ascii="Arial" w:cs="Arial" w:eastAsia="Arial" w:hAnsi="Arial"/>
                <w:sz w:val="15"/>
                <w:szCs w:val="15"/>
                <w:color w:val="auto"/>
              </w:rPr>
              <w:t>Black Rock Drop Down</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6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CEG. GIP is an independent infrastructure fund manager that makes equity and debt investments in infrastructure assets and businesses.</w:t>
      </w:r>
    </w:p>
    <w:p>
      <w:pPr>
        <w:spacing w:after="0" w:line="10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w:t>
      </w:r>
    </w:p>
    <w:p>
      <w:pPr>
        <w:spacing w:after="0" w:line="140"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On October 22, 2021, Clearway Energy Operating LLC entered into a binding agreement to sell the Thermal Business to KKR, or the Thermal Disposition. For further details of the Thermal Disposition,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8"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Inc., or Clearway, Inc., consolidates the results of the Company through its controlling interest, with CEG's interest shown as non-controlling interest in the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0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As of December 31, 2021, Clearway, Inc. owned 57.65% of the economic interests of the Company, with CEG owning 42.35% of the economic interests of the Company. For further discussion, see Note 11, </w:t>
      </w:r>
      <w:r>
        <w:rPr>
          <w:rFonts w:ascii="Arial" w:cs="Arial" w:eastAsia="Arial" w:hAnsi="Arial"/>
          <w:sz w:val="18"/>
          <w:szCs w:val="18"/>
          <w:i w:val="1"/>
          <w:iCs w:val="1"/>
          <w:color w:val="auto"/>
        </w:rPr>
        <w:t>Members'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left="400"/>
        <w:spacing w:after="0"/>
        <w:rPr>
          <w:sz w:val="20"/>
          <w:szCs w:val="20"/>
          <w:color w:val="auto"/>
        </w:rPr>
      </w:pPr>
      <w:r>
        <w:rPr>
          <w:rFonts w:ascii="Arial" w:cs="Arial" w:eastAsia="Arial" w:hAnsi="Arial"/>
          <w:sz w:val="18"/>
          <w:szCs w:val="18"/>
          <w:color w:val="auto"/>
        </w:rPr>
        <w:t>The following table represents the structure of the Company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10160</wp:posOffset>
            </wp:positionV>
            <wp:extent cx="5728335" cy="42964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28335"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37"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$146 million and $149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0" w:name="page101"/>
    <w:bookmarkEnd w:id="100"/>
    <w:p>
      <w:pPr>
        <w:jc w:val="both"/>
        <w:ind w:firstLine="396"/>
        <w:spacing w:after="0" w:line="262"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2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r>
      <w:tr>
        <w:trPr>
          <w:trHeight w:val="183"/>
        </w:trPr>
        <w:tc>
          <w:tcPr>
            <w:tcW w:w="8620" w:type="dxa"/>
            <w:vAlign w:val="bottom"/>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178"/>
        </w:trPr>
        <w:tc>
          <w:tcPr>
            <w:tcW w:w="8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r>
      <w:tr>
        <w:trPr>
          <w:trHeight w:val="225"/>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4"/>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475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Restricted cash consists primarily of funds held to satisfy the requirements of certain debt agreements and funds held within the Company's projects that are restricted in their use. As of December 31, 2021, these restricted funds comprised of $246 million designated to fund operating expenses, approximately $34 million designated for current debt service payments and $131 million restricted for reserves including debt service, performance obligations and other reserves as well as capital expenditures. The remaining $64 million is held in distributions reserve accounts.</w:t>
      </w:r>
    </w:p>
    <w:p>
      <w:pPr>
        <w:spacing w:after="0" w:line="10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December 31, 2021, $20 million of the $49 million has been utilized to offset invoiced amounts under the projects' PPAs.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 and Allowance for Credit Losses</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Accounts receivable — trade are reported on the consolidated balance sheet at the invoiced amount adjusted for any write-offs and the allowance for credit losses. The allowance for credit losses is reviewed periodically based on amounts past due and significance. The allowance for credit losses was immaterial as of December 31, 2021 and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is removed when used for repairs, maintenance or capital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Property, plant and equipment are stated at cost;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w:t>
      </w:r>
    </w:p>
    <w:p>
      <w:pPr>
        <w:spacing w:after="0" w:line="11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3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Long-lived assets that are held and used are reviewed for impairment whenever events or changes in circumstances indicate their carrying values may not be recoverable. Such reviews are performed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 impairment loss is indicated if the total future estimated undiscounted cash flows expected from an asset are less than its carrying value. An impairment charge is measured as the excess of an asset's carrying amount over its fair value with the difference recorded in operating costs and expenses in the consolidated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6"/>
          <w:szCs w:val="16"/>
          <w:i w:val="1"/>
          <w:iCs w:val="1"/>
          <w:color w:val="auto"/>
        </w:rPr>
        <w:t>Asset Impairments</w:t>
      </w:r>
      <w:r>
        <w:rPr>
          <w:rFonts w:ascii="Arial" w:cs="Arial" w:eastAsia="Arial" w:hAnsi="Arial"/>
          <w:sz w:val="16"/>
          <w:szCs w:val="16"/>
          <w:color w:val="auto"/>
        </w:rPr>
        <w:t>.</w:t>
      </w:r>
    </w:p>
    <w:p>
      <w:pPr>
        <w:spacing w:after="0" w:line="11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 xml:space="preserve">Intangible assets represent contractual rights held by the Company. The Company recognizes specifically identifiable intangible assets including power purchase agreements, leasehold rights, customer relationships, customer contracts,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8"/>
          <w:szCs w:val="18"/>
          <w:i w:val="1"/>
          <w:iCs w:val="1"/>
          <w:color w:val="auto"/>
        </w:rPr>
        <w:t>Intangible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is classified as a partnership for federal and state income tax purposes. Therefore, federal and most state income taxes are assessed at the</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partner level. The franchise tax imposed by the state of Texas, however, is being assessed at the level of certain project subsidiaries of the Company, and therefore reflected as an income tax expense of the Company.</w:t>
      </w:r>
    </w:p>
    <w:p>
      <w:pPr>
        <w:spacing w:after="0" w:line="12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For the year ended December 31, 2021, the Company recorded a deferred tax expense and associated deferred tax liability of $2 million with respect to future years. At December 31, 2021, the Company had no current tax liability.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Thermal Revenues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2" w:name="page103"/>
    <w:bookmarkEnd w:id="102"/>
    <w:p>
      <w:pPr>
        <w:jc w:val="both"/>
        <w:ind w:firstLine="396"/>
        <w:spacing w:after="0" w:line="292"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On October 22, 2021, Clearway Energy Operating LLC entered into a binding agreement to sell the Thermal Business to KKR. For further details of the Thermal Disposition,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Power Purchase Agreements, or PPAs</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17"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 xml:space="preserve">Certain of these leases have no minimum lease payments and all of the lease revenue derived from these leases is recorded as contingent rent on an actual basis when the electricity is delivered. The contingent lease revenue recognized in the years ended December 31, 2021, 2020 and 2019 was $741 million, $589 million and $537 million, respectively. See Note 15,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 related to the Company's PPAs accounted for as leases.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Renewable Energy Credits, or RECs</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stated above, 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3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Disaggregated Revenues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2021, along with the reportable segment for each category: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 2021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46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7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8"/>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8"/>
        </w:trPr>
        <w:tc>
          <w:tcPr>
            <w:tcW w:w="6460" w:type="dxa"/>
            <w:vAlign w:val="bottom"/>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hanging="154"/>
        <w:spacing w:after="0"/>
        <w:tabs>
          <w:tab w:leader="none" w:pos="160" w:val="left"/>
        </w:tabs>
        <w:numPr>
          <w:ilvl w:val="0"/>
          <w:numId w:val="56"/>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15,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the amounts of energy and capacity revenue that relate to leases and are accounted for under ASC 842.</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98"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3" w:name="page104"/>
    <w:bookmarkEnd w:id="103"/>
    <w:p>
      <w:pPr>
        <w:ind w:firstLine="396"/>
        <w:spacing w:after="0" w:line="262"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2020, along with the reportable segment for each category: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46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7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1"/>
        </w:trPr>
        <w:tc>
          <w:tcPr>
            <w:tcW w:w="6460" w:type="dxa"/>
            <w:vAlign w:val="bottom"/>
          </w:tcPr>
          <w:p>
            <w:pPr>
              <w:ind w:left="20"/>
              <w:spacing w:after="0"/>
              <w:rPr>
                <w:sz w:val="20"/>
                <w:szCs w:val="20"/>
                <w:color w:val="auto"/>
              </w:rPr>
            </w:pPr>
            <w:r>
              <w:rPr>
                <w:rFonts w:ascii="Arial" w:cs="Arial" w:eastAsia="Arial" w:hAnsi="Arial"/>
                <w:sz w:val="16"/>
                <w:szCs w:val="16"/>
                <w:color w:val="auto"/>
              </w:rPr>
              <w:t>Total operating revenue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0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Contract amortization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160" w:hanging="154"/>
        <w:spacing w:after="0"/>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15,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the amounts of energy and capacity revenue that relate to leases and are accounted for under ASC 842.</w:t>
      </w:r>
    </w:p>
    <w:p>
      <w:pPr>
        <w:spacing w:after="0" w:line="162"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2019, along with the reportable segment for each category: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42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7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6420" w:type="dxa"/>
            <w:vAlign w:val="bottom"/>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160" w:hanging="154"/>
        <w:spacing w:after="0"/>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15,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the amounts of energy and capacity revenue that relate to leases and are accounted for under ASC 842.</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Contract Amortization</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net amount of contract assets and liabilities included on the Company’s consolidated balance sheets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ind w:left="4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Pr>
          <w:p>
            <w:pPr>
              <w:spacing w:after="0"/>
              <w:rPr>
                <w:sz w:val="16"/>
                <w:szCs w:val="16"/>
                <w:color w:val="auto"/>
              </w:rPr>
            </w:pPr>
          </w:p>
        </w:tc>
        <w:tc>
          <w:tcPr>
            <w:tcW w:w="1420" w:type="dxa"/>
            <w:vAlign w:val="bottom"/>
          </w:tcPr>
          <w:p>
            <w:pPr>
              <w:jc w:val="right"/>
              <w:ind w:right="143"/>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71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Accounts receivable, net - Contracts with customers</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8"/>
        </w:trPr>
        <w:tc>
          <w:tcPr>
            <w:tcW w:w="71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Accounts receivable, net - Leases</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33"/>
        </w:trPr>
        <w:tc>
          <w:tcPr>
            <w:tcW w:w="7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accounts receivable, net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 xml:space="preserve">The Company accounts for derivative financial instruments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49" w:lineRule="exact"/>
        <w:rPr>
          <w:sz w:val="20"/>
          <w:szCs w:val="20"/>
          <w:color w:val="auto"/>
        </w:rPr>
      </w:pPr>
    </w:p>
    <w:p>
      <w:pPr>
        <w:ind w:left="640" w:hanging="31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62" w:lineRule="exact"/>
        <w:rPr>
          <w:sz w:val="20"/>
          <w:szCs w:val="20"/>
          <w:color w:val="auto"/>
        </w:rPr>
      </w:pPr>
    </w:p>
    <w:p>
      <w:pPr>
        <w:jc w:val="both"/>
        <w:ind w:firstLine="396"/>
        <w:spacing w:after="0" w:line="302" w:lineRule="auto"/>
        <w:rPr>
          <w:sz w:val="20"/>
          <w:szCs w:val="20"/>
          <w:color w:val="auto"/>
        </w:rPr>
      </w:pPr>
      <w:r>
        <w:rPr>
          <w:rFonts w:ascii="Arial" w:cs="Arial" w:eastAsia="Arial" w:hAnsi="Arial"/>
          <w:sz w:val="15"/>
          <w:szCs w:val="15"/>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commodity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instrument is terminated, the effective portion of this derivative deferred in accumulated OCI will be frozen until the underlying hedged item is delivered.</w:t>
      </w:r>
    </w:p>
    <w:p>
      <w:pPr>
        <w:spacing w:after="0" w:line="10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Financial instruments which potentially subject the Company to concentrations of credit risk consist primarily of accounts receivable — trade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6"/>
          <w:szCs w:val="16"/>
          <w:i w:val="1"/>
          <w:iCs w:val="1"/>
          <w:color w:val="auto"/>
        </w:rPr>
        <w:t>Risks related to the Company's Business,</w:t>
      </w:r>
      <w:r>
        <w:rPr>
          <w:rFonts w:ascii="Arial" w:cs="Arial" w:eastAsia="Arial" w:hAnsi="Arial"/>
          <w:sz w:val="16"/>
          <w:szCs w:val="16"/>
          <w:color w:val="auto"/>
        </w:rPr>
        <w:t xml:space="preserve"> for a discussion on the Company’s dependence on major customers</w:t>
      </w:r>
      <w:r>
        <w:rPr>
          <w:rFonts w:ascii="Arial" w:cs="Arial" w:eastAsia="Arial" w:hAnsi="Arial"/>
          <w:sz w:val="16"/>
          <w:szCs w:val="16"/>
          <w:color w:val="1F497D"/>
        </w:rPr>
        <w:t>.</w:t>
      </w:r>
      <w:r>
        <w:rPr>
          <w:rFonts w:ascii="Arial" w:cs="Arial" w:eastAsia="Arial" w:hAnsi="Arial"/>
          <w:sz w:val="16"/>
          <w:szCs w:val="16"/>
          <w:color w:val="auto"/>
        </w:rPr>
        <w:t xml:space="preserve"> See Note 6,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a further discussion of derivative concentrations and Note 12,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for concentration of counterparties.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The carrying amount of cash and cash equivalents, restricted cash, accounts receivable — trade, accounts payable — trade, account payable — affiliate and accrued expenses and other current liabilities approximate fair value because of the short-term maturity of these instruments. See Note 6, </w:t>
      </w:r>
      <w:r>
        <w:rPr>
          <w:rFonts w:ascii="Arial" w:cs="Arial" w:eastAsia="Arial" w:hAnsi="Arial"/>
          <w:sz w:val="18"/>
          <w:szCs w:val="18"/>
          <w:i w:val="1"/>
          <w:iCs w:val="1"/>
          <w:color w:val="auto"/>
        </w:rPr>
        <w:t>Fair Value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a further discussion of fair value of financial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6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5" w:name="page106"/>
    <w:bookmarkEnd w:id="105"/>
    <w:p>
      <w:pPr>
        <w:jc w:val="both"/>
        <w:ind w:firstLine="396"/>
        <w:spacing w:after="0" w:line="249" w:lineRule="auto"/>
        <w:rPr>
          <w:sz w:val="20"/>
          <w:szCs w:val="20"/>
          <w:color w:val="auto"/>
        </w:rPr>
      </w:pPr>
      <w:r>
        <w:rPr>
          <w:rFonts w:ascii="Arial" w:cs="Arial" w:eastAsia="Arial" w:hAnsi="Arial"/>
          <w:sz w:val="18"/>
          <w:szCs w:val="18"/>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represents the balance of ARO obligations as of December 31, 2021 and 2020, along with the additions and accretion related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ARO obligations for the year ended December 31,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4"/>
        </w:trPr>
        <w:tc>
          <w:tcPr>
            <w:tcW w:w="9560" w:type="dxa"/>
            <w:vAlign w:val="bottom"/>
          </w:tcPr>
          <w:p>
            <w:pPr>
              <w:ind w:left="140"/>
              <w:spacing w:after="0"/>
              <w:rPr>
                <w:sz w:val="20"/>
                <w:szCs w:val="20"/>
                <w:color w:val="auto"/>
              </w:rPr>
            </w:pPr>
            <w:r>
              <w:rPr>
                <w:rFonts w:ascii="Arial" w:cs="Arial" w:eastAsia="Arial" w:hAnsi="Arial"/>
                <w:sz w:val="18"/>
                <w:szCs w:val="18"/>
                <w:color w:val="auto"/>
              </w:rPr>
              <w:t>Thermal Business AROs reclassified to held for sale</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in estimates for current obligations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95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4"/>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 expense</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9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62"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The Company has investments in various energy projects accounted for by the equity method, several of which are VIEs, where the Company is not a primary beneficiary, as described in Note 5, Investments Accounted for by the Equity Method and Variable Interest Entities.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13"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Business and Asset Acquisitions</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 xml:space="preserve">The Company accounts for its acquisitions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for business combinations, transaction costs are expensed as incurred. For asset acquisitions, identifiable assets acquired and liabilities assumed are recorded at acquisition date fair value. No goodwill is recognized and excess purchase price or negative goodwill are allocated to the acquired assets on a relative fair value basis. For acquisitions that relate to entities under common control, ASC 805 requires retrospective combination of the entities for all annual periods presented as if the combination has been in effect from the beginning of the earliest financial statement period presented or from the date the entities were under common control (if later than the beginning of the earliest financial statement period). The difference between the cash paid and historical value of the entities' equity is recorded as a distribution/contribution from/to CEG with the offset to noncontrolling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40"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62"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solar and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that are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operations using a systematic and rational method over the period during which the investor is expected to achieve its target return.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December 31, 2021, the Company has applied the amendments to all its eligible contract modifications, where applicable, during the reference rate reform period. Additionally, the Company has not elected any optional expedients provided in the standard.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Acquisitions</w:t>
      </w:r>
    </w:p>
    <w:p>
      <w:pPr>
        <w:spacing w:after="0" w:line="162"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b w:val="1"/>
          <w:bCs w:val="1"/>
          <w:i w:val="1"/>
          <w:iCs w:val="1"/>
          <w:color w:val="auto"/>
        </w:rPr>
        <w:t xml:space="preserve">Black Rock Drop Down — </w:t>
      </w:r>
      <w:r>
        <w:rPr>
          <w:rFonts w:ascii="Arial" w:cs="Arial" w:eastAsia="Arial" w:hAnsi="Arial"/>
          <w:sz w:val="16"/>
          <w:szCs w:val="16"/>
          <w:color w:val="auto"/>
        </w:rPr>
        <w:t>On December 29, 2021, the Company, through its indirect subsidiary Lighthouse Renewable Holding Sub LLC, acquired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third-party investor also contributed cash consideration utilized to acquire their portion of the Class B membership interests. The Class A membership interests in Black Rock Wind Holding LLC were acquired by another third-party investor in 2020. Black Rock Wind Holding LLC, through its wholly-owned subsidiary, Black Rock Class B Holdco LLC, is the primary beneficiary and consolidates its interests in a tax equity fund, Black Rock TE Holdco LLC, that holds the Black Rock wind project, a 115 MW utility scale wind project located in Mineral County and Grant County, West Virginia, which achieved commercial operations in December 2021, as further described in Note 5, </w:t>
      </w:r>
      <w:r>
        <w:rPr>
          <w:rFonts w:ascii="Arial" w:cs="Arial" w:eastAsia="Arial" w:hAnsi="Arial"/>
          <w:sz w:val="16"/>
          <w:szCs w:val="16"/>
          <w:i w:val="1"/>
          <w:iCs w:val="1"/>
          <w:color w:val="auto"/>
        </w:rPr>
        <w:t>Investments Accounted for by the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As of December 31, 2021, 70 MW of the 115 MW rated capacity were operational, representing fourteen of the twenty-three wind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turbines, and the remaining 45 MW rated capacity became operational in January 2022. A majority of the project’s output is backed by contracts with investment-grade counterparties with a 15-year weighted average contract life. The Black Rock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Black Rock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of $60 million and the historical cost of the Company's acquired interests of $19 million was recorded as an adjustment to CEG's contributed capital balance. In addition, the Company reflected additional contributions paid by CEG and the portion of the Company’s purchase price utilized to repay long-term debt, totaling $133 million, as contributions from CEG in the statement of stockholders’ equity, and as an impact of the Black Rock Drop Down in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8" w:name="page109"/>
    <w:bookmarkEnd w:id="108"/>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29,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33"/>
              <w:spacing w:after="0"/>
              <w:rPr>
                <w:sz w:val="20"/>
                <w:szCs w:val="20"/>
                <w:color w:val="auto"/>
              </w:rPr>
            </w:pPr>
            <w:r>
              <w:rPr>
                <w:rFonts w:ascii="Arial" w:cs="Arial" w:eastAsia="Arial" w:hAnsi="Arial"/>
                <w:sz w:val="16"/>
                <w:szCs w:val="16"/>
                <w:b w:val="1"/>
                <w:bCs w:val="1"/>
                <w:color w:val="auto"/>
              </w:rPr>
              <w:t>Black Rock</w:t>
            </w:r>
          </w:p>
        </w:tc>
      </w:tr>
      <w:tr>
        <w:trPr>
          <w:trHeight w:val="221"/>
        </w:trPr>
        <w:tc>
          <w:tcPr>
            <w:tcW w:w="8420" w:type="dxa"/>
            <w:vAlign w:val="bottom"/>
            <w:shd w:val="clear" w:color="auto" w:fill="CCEEFF"/>
          </w:tcPr>
          <w:p>
            <w:pPr>
              <w:ind w:left="140"/>
              <w:spacing w:after="0" w:line="221"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2"/>
                <w:szCs w:val="22"/>
                <w:color w:val="auto"/>
                <w:vertAlign w:val="superscript"/>
              </w:rPr>
              <w:t>(a)</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51"/>
        </w:trPr>
        <w:tc>
          <w:tcPr>
            <w:tcW w:w="8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24"/>
        </w:trPr>
        <w:tc>
          <w:tcPr>
            <w:tcW w:w="842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2"/>
                <w:szCs w:val="22"/>
                <w:color w:val="auto"/>
                <w:vertAlign w:val="superscript"/>
              </w:rPr>
              <w:t>(b)</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8420" w:type="dxa"/>
            <w:vAlign w:val="bottom"/>
            <w:tcBorders>
              <w:bottom w:val="single" w:sz="8" w:color="CCEEFF"/>
            </w:tcBorders>
          </w:tcPr>
          <w:p>
            <w:pPr>
              <w:ind w:left="240"/>
              <w:spacing w:after="0" w:line="218" w:lineRule="exact"/>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22"/>
                <w:szCs w:val="22"/>
                <w:color w:val="auto"/>
                <w:vertAlign w:val="superscript"/>
              </w:rPr>
              <w:t>(c)</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firstLine="6"/>
        <w:spacing w:after="0" w:line="245" w:lineRule="auto"/>
        <w:tabs>
          <w:tab w:leader="none" w:pos="154" w:val="left"/>
        </w:tabs>
        <w:numPr>
          <w:ilvl w:val="0"/>
          <w:numId w:val="60"/>
        </w:numPr>
        <w:rPr>
          <w:rFonts w:ascii="Arial" w:cs="Arial" w:eastAsia="Arial" w:hAnsi="Arial"/>
          <w:sz w:val="17"/>
          <w:szCs w:val="17"/>
          <w:color w:val="auto"/>
          <w:vertAlign w:val="superscript"/>
        </w:rPr>
      </w:pPr>
      <w:r>
        <w:rPr>
          <w:rFonts w:ascii="Arial" w:cs="Arial" w:eastAsia="Arial" w:hAnsi="Arial"/>
          <w:sz w:val="12"/>
          <w:szCs w:val="12"/>
          <w:color w:val="auto"/>
        </w:rPr>
        <w:t>Includes $35 million reserved for project completion costs included in restricted cash on the Company's balance sheet at acquisition date, which is included within the $133 million contributed by CEG described above.</w:t>
      </w:r>
    </w:p>
    <w:p>
      <w:pPr>
        <w:spacing w:after="0" w:line="28" w:lineRule="exact"/>
        <w:rPr>
          <w:rFonts w:ascii="Arial" w:cs="Arial" w:eastAsia="Arial" w:hAnsi="Arial"/>
          <w:sz w:val="17"/>
          <w:szCs w:val="17"/>
          <w:color w:val="auto"/>
          <w:vertAlign w:val="superscript"/>
        </w:rPr>
      </w:pPr>
    </w:p>
    <w:p>
      <w:pPr>
        <w:jc w:val="both"/>
        <w:ind w:firstLine="6"/>
        <w:spacing w:after="0" w:line="260" w:lineRule="auto"/>
        <w:tabs>
          <w:tab w:leader="none" w:pos="142" w:val="left"/>
        </w:tabs>
        <w:numPr>
          <w:ilvl w:val="0"/>
          <w:numId w:val="60"/>
        </w:numPr>
        <w:rPr>
          <w:rFonts w:ascii="Arial" w:cs="Arial" w:eastAsia="Arial" w:hAnsi="Arial"/>
          <w:sz w:val="16"/>
          <w:szCs w:val="16"/>
          <w:color w:val="auto"/>
          <w:vertAlign w:val="superscript"/>
        </w:rPr>
      </w:pPr>
      <w:r>
        <w:rPr>
          <w:rFonts w:ascii="Arial" w:cs="Arial" w:eastAsia="Arial" w:hAnsi="Arial"/>
          <w:sz w:val="12"/>
          <w:szCs w:val="12"/>
          <w:color w:val="auto"/>
        </w:rPr>
        <w:t>Repaid at acquisition date utilizing $56 million contributed by the tax equity investor, $36 million from the cash equity investor and $61 million contributed by CEG, all recorded as contributions in noncontrolling interest, as well as $37 million of the Company's acquisition price. Of the $190 million contributed, $186 million was utilized to pay down the acquired debt and $4 million was utilized to pay associated fees. The $61 million contributed by CEG and the Company’s initial acquisition price of $37 million are also included within the $133 million contributed by CEG described above.</w:t>
      </w:r>
    </w:p>
    <w:p>
      <w:pPr>
        <w:spacing w:after="0" w:line="29" w:lineRule="exact"/>
        <w:rPr>
          <w:rFonts w:ascii="Arial" w:cs="Arial" w:eastAsia="Arial" w:hAnsi="Arial"/>
          <w:sz w:val="16"/>
          <w:szCs w:val="16"/>
          <w:color w:val="auto"/>
          <w:vertAlign w:val="superscript"/>
        </w:rPr>
      </w:pPr>
    </w:p>
    <w:p>
      <w:pPr>
        <w:ind w:firstLine="6"/>
        <w:spacing w:after="0" w:line="220" w:lineRule="auto"/>
        <w:tabs>
          <w:tab w:leader="none" w:pos="156"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Total liabilities assumed excludes amounts due to CEG as of December 31, 2021 for the remaining turbines that became operational in January 2022. The liabilities totaled $83 million, of which $59 million was received from the tax equity and cash equity investors and was held in escrow accounts as of December 31, 2021.</w:t>
      </w:r>
    </w:p>
    <w:p>
      <w:pPr>
        <w:spacing w:after="0" w:line="144"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b w:val="1"/>
          <w:bCs w:val="1"/>
          <w:i w:val="1"/>
          <w:iCs w:val="1"/>
          <w:color w:val="auto"/>
        </w:rPr>
        <w:t xml:space="preserve">Mesquite Sky Drop Down — </w:t>
      </w:r>
      <w:r>
        <w:rPr>
          <w:rFonts w:ascii="Arial" w:cs="Arial" w:eastAsia="Arial" w:hAnsi="Arial"/>
          <w:sz w:val="16"/>
          <w:szCs w:val="16"/>
          <w:color w:val="auto"/>
        </w:rPr>
        <w:t>On December 17, 2021, the Company, through its indirect subsidiary Lighthouse Renewable Holdco 2 LLC, acquired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B membership interests of Mesquite Sky Holding LLC from Clearway Renew LLC, a subsidiary of CEG, for $61 million in cash consideration. Lighthouse Renewable Holdco 2 LLC is a partnership between the Company and a third-party investor. The third-party investor also contributed cash consideration utilized to acquire their portion of the Class B membership interests. The Class A membership interests of Mesquite Sky Holding LLC were acquired by another third-party investor in 2020. Mesquite Sky Holding LLC, through its wholly-owned subsidiary, Mesquite Sky Class B Holdco LLC, is the primary beneficiary and consolidates its interests in a tax equity fund, Mesquite Sky TE Holdco LLC, that holds the Mesquite Sky wind project, a 340 MW utility scale wind project located in Callahan County, Texas, which achieved commercial operations in December 2021,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A majority of the project’s output is backed by contracts with investment-grade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counterparties with a 12-year weighted average contract life. The Mesquite Sky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Mesquite Sky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sum of the cash paid of $61 million and the historical cost of the Company's net liabilities assumed of $7 million was recorded as an adjustment to CEG's contributed capital balance. The difference between cash paid, interests acquired, and the balance in equity is capital reserved for project completion. In addition, the Company reflected additional contributions paid by CEG and the portion of the Company’s purchase price utilized to repay long-term debt, totaling $52 million, as contributions from CEG in the statement of stockholders’ equity, and as an impact of the Mesquite Sky drop down in noncontrolling interest.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9" w:name="page110"/>
    <w:bookmarkEnd w:id="109"/>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17,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53"/>
              <w:spacing w:after="0"/>
              <w:rPr>
                <w:sz w:val="20"/>
                <w:szCs w:val="20"/>
                <w:color w:val="auto"/>
              </w:rPr>
            </w:pPr>
            <w:r>
              <w:rPr>
                <w:rFonts w:ascii="Arial" w:cs="Arial" w:eastAsia="Arial" w:hAnsi="Arial"/>
                <w:sz w:val="16"/>
                <w:szCs w:val="16"/>
                <w:b w:val="1"/>
                <w:bCs w:val="1"/>
                <w:color w:val="auto"/>
              </w:rPr>
              <w:t>Mesquite Sky</w:t>
            </w:r>
          </w:p>
        </w:tc>
      </w:tr>
      <w:tr>
        <w:trPr>
          <w:trHeight w:val="221"/>
        </w:trPr>
        <w:tc>
          <w:tcPr>
            <w:tcW w:w="8420" w:type="dxa"/>
            <w:vAlign w:val="bottom"/>
            <w:shd w:val="clear" w:color="auto" w:fill="CCEEFF"/>
          </w:tcPr>
          <w:p>
            <w:pPr>
              <w:ind w:left="140"/>
              <w:spacing w:after="0" w:line="221"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2"/>
                <w:szCs w:val="22"/>
                <w:color w:val="auto"/>
                <w:vertAlign w:val="superscript"/>
              </w:rPr>
              <w:t>(a)</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 use assets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5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64"/>
        </w:trPr>
        <w:tc>
          <w:tcPr>
            <w:tcW w:w="8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24"/>
        </w:trPr>
        <w:tc>
          <w:tcPr>
            <w:tcW w:w="842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2"/>
                <w:szCs w:val="22"/>
                <w:color w:val="auto"/>
                <w:vertAlign w:val="superscript"/>
              </w:rPr>
              <w:t>(b)</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8"/>
        </w:trPr>
        <w:tc>
          <w:tcPr>
            <w:tcW w:w="8420" w:type="dxa"/>
            <w:vAlign w:val="bottom"/>
            <w:shd w:val="clear" w:color="auto" w:fill="CCEEFF"/>
          </w:tcPr>
          <w:p>
            <w:pPr>
              <w:ind w:left="240"/>
              <w:spacing w:after="0" w:line="218" w:lineRule="exact"/>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22"/>
                <w:szCs w:val="22"/>
                <w:color w:val="auto"/>
                <w:vertAlign w:val="superscript"/>
              </w:rPr>
              <w:t>(c)</w:t>
            </w:r>
          </w:p>
        </w:tc>
        <w:tc>
          <w:tcPr>
            <w:tcW w:w="5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17"/>
        </w:trPr>
        <w:tc>
          <w:tcPr>
            <w:tcW w:w="8420" w:type="dxa"/>
            <w:vAlign w:val="bottom"/>
          </w:tcPr>
          <w:p>
            <w:pPr>
              <w:ind w:left="240"/>
              <w:spacing w:after="0"/>
              <w:rPr>
                <w:sz w:val="20"/>
                <w:szCs w:val="20"/>
                <w:color w:val="auto"/>
              </w:rPr>
            </w:pPr>
            <w:r>
              <w:rPr>
                <w:rFonts w:ascii="Arial" w:cs="Arial" w:eastAsia="Arial" w:hAnsi="Arial"/>
                <w:sz w:val="18"/>
                <w:szCs w:val="18"/>
                <w:color w:val="auto"/>
              </w:rPr>
              <w:t>Net liabilities assumed</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firstLine="6"/>
        <w:spacing w:after="0" w:line="267" w:lineRule="auto"/>
        <w:tabs>
          <w:tab w:leader="none" w:pos="137" w:val="left"/>
        </w:tabs>
        <w:numPr>
          <w:ilvl w:val="0"/>
          <w:numId w:val="61"/>
        </w:numPr>
        <w:rPr>
          <w:rFonts w:ascii="Arial" w:cs="Arial" w:eastAsia="Arial" w:hAnsi="Arial"/>
          <w:sz w:val="16"/>
          <w:szCs w:val="16"/>
          <w:color w:val="auto"/>
          <w:vertAlign w:val="superscript"/>
        </w:rPr>
      </w:pPr>
      <w:r>
        <w:rPr>
          <w:rFonts w:ascii="Arial" w:cs="Arial" w:eastAsia="Arial" w:hAnsi="Arial"/>
          <w:sz w:val="12"/>
          <w:szCs w:val="12"/>
          <w:color w:val="auto"/>
        </w:rPr>
        <w:t>Includes $44 million reserved for project completion costs included in restricted cash on the Company's balance sheet at acquisition date, which is included within the $52 million contributed by CEG described above.</w:t>
      </w:r>
    </w:p>
    <w:p>
      <w:pPr>
        <w:spacing w:after="0" w:line="37" w:lineRule="exact"/>
        <w:rPr>
          <w:rFonts w:ascii="Arial" w:cs="Arial" w:eastAsia="Arial" w:hAnsi="Arial"/>
          <w:sz w:val="16"/>
          <w:szCs w:val="16"/>
          <w:color w:val="auto"/>
          <w:vertAlign w:val="superscript"/>
        </w:rPr>
      </w:pPr>
    </w:p>
    <w:p>
      <w:pPr>
        <w:jc w:val="both"/>
        <w:ind w:firstLine="6"/>
        <w:spacing w:after="0" w:line="253" w:lineRule="auto"/>
        <w:tabs>
          <w:tab w:leader="none" w:pos="159" w:val="left"/>
        </w:tabs>
        <w:numPr>
          <w:ilvl w:val="0"/>
          <w:numId w:val="61"/>
        </w:numPr>
        <w:rPr>
          <w:rFonts w:ascii="Arial" w:cs="Arial" w:eastAsia="Arial" w:hAnsi="Arial"/>
          <w:sz w:val="17"/>
          <w:szCs w:val="17"/>
          <w:color w:val="auto"/>
          <w:vertAlign w:val="superscript"/>
        </w:rPr>
      </w:pPr>
      <w:r>
        <w:rPr>
          <w:rFonts w:ascii="Arial" w:cs="Arial" w:eastAsia="Arial" w:hAnsi="Arial"/>
          <w:sz w:val="12"/>
          <w:szCs w:val="12"/>
          <w:color w:val="auto"/>
        </w:rPr>
        <w:t>Repaid at acquisition date utilizing $241 million contributed by the tax equity investor and $107 million contributed by the cash equity investor, both recorded as contributions in noncontrolling interest, as well as the Company's $61 million acquisition price. Of the $409 million contributed, $355 million was utilized to pay down the acquired debt and $1 million was utilized to pay associated fees. The remaining $53 million was distributed to CEG for the acquisition. The net of the Company’s $61 million acquisition price and the distribution to CEG of $53 million are included within the $52 million contributed by CEG described above.</w:t>
      </w:r>
    </w:p>
    <w:p>
      <w:pPr>
        <w:spacing w:after="0" w:line="188" w:lineRule="exact"/>
        <w:rPr>
          <w:rFonts w:ascii="Arial" w:cs="Arial" w:eastAsia="Arial" w:hAnsi="Arial"/>
          <w:sz w:val="17"/>
          <w:szCs w:val="17"/>
          <w:color w:val="auto"/>
          <w:vertAlign w:val="superscript"/>
        </w:rPr>
      </w:pPr>
    </w:p>
    <w:p>
      <w:pPr>
        <w:ind w:firstLine="6"/>
        <w:spacing w:after="0" w:line="220" w:lineRule="auto"/>
        <w:tabs>
          <w:tab w:leader="none" w:pos="159"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Total liabilities assumed excludes amounts due to CEG as of December 31, 2021 of $6 million, of which $5 million was received from the tax equity and cash equity investors and was held in escrow accounts as of December 31, 2021.</w:t>
      </w:r>
    </w:p>
    <w:p>
      <w:pPr>
        <w:spacing w:after="0" w:line="144"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b w:val="1"/>
          <w:bCs w:val="1"/>
          <w:i w:val="1"/>
          <w:iCs w:val="1"/>
          <w:color w:val="auto"/>
        </w:rPr>
        <w:t xml:space="preserve">Utah Solar Portfolio Acquisition — </w:t>
      </w:r>
      <w:r>
        <w:rPr>
          <w:rFonts w:ascii="Arial" w:cs="Arial" w:eastAsia="Arial" w:hAnsi="Arial"/>
          <w:sz w:val="16"/>
          <w:szCs w:val="16"/>
          <w:color w:val="auto"/>
        </w:rPr>
        <w:t>On December 1, 2021, the Company acquired the remaining 50% equity interest in the Utah Solar Portfolio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Dominion Solar Projects III, Inc., for approximately $335 million before working capital and purchase price adjustments in the net amount of $5 million, representing total net consideration of $330 million.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and consolidates the Utah Solar Portfolio. The Utah Solar Portfolio operations are included in the Company's Renewables segment. The acquisition was determined to be an asset acquisition and the cash consideration of $330 million, net of restricted cash acquired of $8 million, represented a net cash outflow of $322 million, which was allocated to the fair value of the assets acquired and liabilities assumed on the acquisition date. The acquisition was funded with the borrowings under the Bridge Loan Agreement, as described in Note 10, </w:t>
      </w:r>
      <w:r>
        <w:rPr>
          <w:rFonts w:ascii="Arial" w:cs="Arial" w:eastAsia="Arial" w:hAnsi="Arial"/>
          <w:sz w:val="16"/>
          <w:szCs w:val="16"/>
          <w:i w:val="1"/>
          <w:iCs w:val="1"/>
          <w:color w:val="auto"/>
        </w:rPr>
        <w:t>Long-term Debt.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8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Utah Solar Portfolio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for power purchase agreement</w:t>
            </w:r>
          </w:p>
        </w:tc>
        <w:tc>
          <w:tcPr>
            <w:tcW w:w="3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 use assets</w:t>
            </w:r>
          </w:p>
        </w:tc>
        <w:tc>
          <w:tcPr>
            <w:tcW w:w="38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38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38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assumed</w:t>
            </w:r>
          </w:p>
        </w:tc>
        <w:tc>
          <w:tcPr>
            <w:tcW w:w="38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38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4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80" w:type="dxa"/>
            <w:vAlign w:val="bottom"/>
            <w:vMerge w:val="restart"/>
          </w:tcPr>
          <w:p>
            <w:pPr>
              <w:jc w:val="right"/>
              <w:ind w:right="2532"/>
              <w:spacing w:after="0"/>
              <w:rPr>
                <w:sz w:val="20"/>
                <w:szCs w:val="20"/>
                <w:color w:val="auto"/>
              </w:rPr>
            </w:pPr>
            <w:r>
              <w:rPr>
                <w:rFonts w:ascii="Arial" w:cs="Arial" w:eastAsia="Arial" w:hAnsi="Arial"/>
                <w:sz w:val="18"/>
                <w:szCs w:val="18"/>
                <w:color w:val="auto"/>
              </w:rPr>
              <w:t>110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1"/>
        </w:trPr>
        <w:tc>
          <w:tcPr>
            <w:tcW w:w="45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0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0" w:name="page111"/>
    <w:bookmarkEnd w:id="110"/>
    <w:p>
      <w:pPr>
        <w:jc w:val="both"/>
        <w:ind w:firstLine="396"/>
        <w:spacing w:after="0" w:line="287" w:lineRule="auto"/>
        <w:rPr>
          <w:sz w:val="20"/>
          <w:szCs w:val="20"/>
          <w:color w:val="auto"/>
        </w:rPr>
      </w:pPr>
      <w:r>
        <w:rPr>
          <w:rFonts w:ascii="Arial" w:cs="Arial" w:eastAsia="Arial" w:hAnsi="Arial"/>
          <w:sz w:val="16"/>
          <w:szCs w:val="16"/>
          <w:b w:val="1"/>
          <w:bCs w:val="1"/>
          <w:i w:val="1"/>
          <w:iCs w:val="1"/>
          <w:color w:val="auto"/>
        </w:rPr>
        <w:t xml:space="preserve">Mt. Storm Wind Acquisition — </w:t>
      </w:r>
      <w:r>
        <w:rPr>
          <w:rFonts w:ascii="Arial" w:cs="Arial" w:eastAsia="Arial" w:hAnsi="Arial"/>
          <w:sz w:val="16"/>
          <w:szCs w:val="16"/>
          <w:color w:val="auto"/>
        </w:rPr>
        <w:t>On April 23, 2021, the Company acquired 100% of the equity interests in NedPower Mount Storm LLC, or Mt. Storm,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Castleton Commodities 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73"/>
              <w:spacing w:after="0"/>
              <w:rPr>
                <w:sz w:val="20"/>
                <w:szCs w:val="20"/>
                <w:color w:val="auto"/>
              </w:rPr>
            </w:pPr>
            <w:r>
              <w:rPr>
                <w:rFonts w:ascii="Arial" w:cs="Arial" w:eastAsia="Arial" w:hAnsi="Arial"/>
                <w:sz w:val="16"/>
                <w:szCs w:val="16"/>
                <w:b w:val="1"/>
                <w:bCs w:val="1"/>
                <w:color w:val="auto"/>
              </w:rPr>
              <w:t>Mt. Storm</w:t>
            </w:r>
          </w:p>
        </w:tc>
      </w:tr>
      <w:tr>
        <w:trPr>
          <w:trHeight w:val="221"/>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4"/>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4"/>
        </w:trPr>
        <w:tc>
          <w:tcPr>
            <w:tcW w:w="838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16"/>
        <w:spacing w:after="0" w:line="283" w:lineRule="auto"/>
        <w:rPr>
          <w:sz w:val="20"/>
          <w:szCs w:val="20"/>
          <w:color w:val="auto"/>
        </w:rPr>
      </w:pPr>
      <w:r>
        <w:rPr>
          <w:rFonts w:ascii="Arial" w:cs="Arial" w:eastAsia="Arial" w:hAnsi="Arial"/>
          <w:sz w:val="16"/>
          <w:szCs w:val="16"/>
          <w:b w:val="1"/>
          <w:bCs w:val="1"/>
          <w:i w:val="1"/>
          <w:iCs w:val="1"/>
          <w:color w:val="auto"/>
        </w:rPr>
        <w:t xml:space="preserve">Agua Caliente Acquisition — </w:t>
      </w:r>
      <w:r>
        <w:rPr>
          <w:rFonts w:ascii="Arial" w:cs="Arial" w:eastAsia="Arial" w:hAnsi="Arial"/>
          <w:sz w:val="16"/>
          <w:szCs w:val="16"/>
          <w:color w:val="auto"/>
        </w:rPr>
        <w:t>On February 3, 2021, the Company acquired an additional 35% equity interest in the Agua Caliente solar project from NRG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Inc. for $202 million. Agua Caliente is a 290 MW solar project located in Dateland, Arizona in which Clearway previously owned a 16% equity interest. The project has a 25-year PPA with PG&amp;E, with approximately 17 years remaining under the agreement. Following the close of the transaction, the Company owns a 51% equity interest in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acquired and liabilities assumed on the acquisition date. A third-party investor holds the remaining 49% equity interest in Agua Caliente, which is reflected in noncontrolling interest at fair value at the acquisition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obtained in connection with the acquisition as of February 3,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9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Agua Caliente</w:t>
            </w:r>
          </w:p>
        </w:tc>
        <w:tc>
          <w:tcPr>
            <w:tcW w:w="0" w:type="dxa"/>
            <w:vAlign w:val="bottom"/>
          </w:tcPr>
          <w:p>
            <w:pPr>
              <w:spacing w:after="0"/>
              <w:rPr>
                <w:sz w:val="1"/>
                <w:szCs w:val="1"/>
                <w:color w:val="auto"/>
              </w:rPr>
            </w:pPr>
          </w:p>
        </w:tc>
      </w:tr>
      <w:tr>
        <w:trPr>
          <w:trHeight w:val="221"/>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3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4"/>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39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4"/>
        </w:trPr>
        <w:tc>
          <w:tcPr>
            <w:tcW w:w="45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4"/>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3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39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7"/>
        </w:trPr>
        <w:tc>
          <w:tcPr>
            <w:tcW w:w="45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39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4520" w:type="dxa"/>
            <w:vAlign w:val="bottom"/>
          </w:tcPr>
          <w:p>
            <w:pPr>
              <w:ind w:left="240"/>
              <w:spacing w:after="0"/>
              <w:rPr>
                <w:sz w:val="20"/>
                <w:szCs w:val="20"/>
                <w:color w:val="auto"/>
              </w:rPr>
            </w:pPr>
            <w:r>
              <w:rPr>
                <w:rFonts w:ascii="Arial" w:cs="Arial" w:eastAsia="Arial" w:hAnsi="Arial"/>
                <w:sz w:val="18"/>
                <w:szCs w:val="18"/>
                <w:color w:val="auto"/>
              </w:rPr>
              <w:t>Net assets acquired less noncontrolling interest</w:t>
            </w:r>
          </w:p>
        </w:tc>
        <w:tc>
          <w:tcPr>
            <w:tcW w:w="4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900" w:type="dxa"/>
            <w:vAlign w:val="bottom"/>
            <w:vMerge w:val="restart"/>
          </w:tcPr>
          <w:p>
            <w:pPr>
              <w:jc w:val="right"/>
              <w:ind w:right="2592"/>
              <w:spacing w:after="0"/>
              <w:rPr>
                <w:sz w:val="20"/>
                <w:szCs w:val="20"/>
                <w:color w:val="auto"/>
              </w:rPr>
            </w:pPr>
            <w:r>
              <w:rPr>
                <w:rFonts w:ascii="Arial" w:cs="Arial" w:eastAsia="Arial" w:hAnsi="Arial"/>
                <w:sz w:val="18"/>
                <w:szCs w:val="18"/>
                <w:color w:val="auto"/>
              </w:rPr>
              <w:t>111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4"/>
        </w:trPr>
        <w:tc>
          <w:tcPr>
            <w:tcW w:w="45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2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1" w:name="page112"/>
    <w:bookmarkEnd w:id="111"/>
    <w:p>
      <w:pPr>
        <w:jc w:val="both"/>
        <w:ind w:firstLine="396"/>
        <w:spacing w:after="0" w:line="281"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in cash consideration. CWSP Rattlesnake Holding LLC indirectly consolidates the Rattlesnake wind project, a 160 MW wind facility with 144 MW of deliverable capacity in Adams County, Washington, as further described in Note 5, </w:t>
      </w:r>
      <w:r>
        <w:rPr>
          <w:rFonts w:ascii="Arial" w:cs="Arial" w:eastAsia="Arial" w:hAnsi="Arial"/>
          <w:sz w:val="16"/>
          <w:szCs w:val="16"/>
          <w:i w:val="1"/>
          <w:iCs w:val="1"/>
          <w:color w:val="auto"/>
        </w:rPr>
        <w:t>Investments Accounted for by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Method and Variable Interest Entities. </w:t>
      </w:r>
      <w:r>
        <w:rPr>
          <w:rFonts w:ascii="Arial" w:cs="Arial" w:eastAsia="Arial" w:hAnsi="Arial"/>
          <w:sz w:val="16"/>
          <w:szCs w:val="16"/>
          <w:color w:val="auto"/>
        </w:rPr>
        <w:t>The project has a 20-year PPA with Avista Corporation, which began when the facility reached commercial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of $132 million and the historical cost of the Company's acquired interests of $14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was recorded as an adjustment to CEG's contributed capital balance.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13"/>
              <w:spacing w:after="0"/>
              <w:rPr>
                <w:sz w:val="20"/>
                <w:szCs w:val="20"/>
                <w:color w:val="auto"/>
              </w:rPr>
            </w:pPr>
            <w:r>
              <w:rPr>
                <w:rFonts w:ascii="Arial" w:cs="Arial" w:eastAsia="Arial" w:hAnsi="Arial"/>
                <w:sz w:val="16"/>
                <w:szCs w:val="16"/>
                <w:b w:val="1"/>
                <w:bCs w:val="1"/>
                <w:color w:val="auto"/>
              </w:rPr>
              <w:t>Rattlesnake</w:t>
            </w:r>
          </w:p>
        </w:tc>
      </w:tr>
      <w:tr>
        <w:trPr>
          <w:trHeight w:val="221"/>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842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64"/>
        </w:trPr>
        <w:tc>
          <w:tcPr>
            <w:tcW w:w="8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r>
      <w:tr>
        <w:trPr>
          <w:trHeight w:val="224"/>
        </w:trPr>
        <w:tc>
          <w:tcPr>
            <w:tcW w:w="842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2"/>
                <w:szCs w:val="22"/>
                <w:color w:val="auto"/>
                <w:vertAlign w:val="superscript"/>
              </w:rPr>
              <w:t>(a)</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4"/>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8"/>
        </w:trPr>
        <w:tc>
          <w:tcPr>
            <w:tcW w:w="84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 w:firstLine="6"/>
        <w:spacing w:after="0" w:line="213" w:lineRule="auto"/>
        <w:tabs>
          <w:tab w:leader="none" w:pos="172" w:val="left"/>
        </w:tabs>
        <w:numPr>
          <w:ilvl w:val="0"/>
          <w:numId w:val="62"/>
        </w:numPr>
        <w:rPr>
          <w:rFonts w:ascii="Arial" w:cs="Arial" w:eastAsia="Arial" w:hAnsi="Arial"/>
          <w:sz w:val="20"/>
          <w:szCs w:val="20"/>
          <w:color w:val="auto"/>
          <w:vertAlign w:val="superscript"/>
        </w:rPr>
      </w:pPr>
      <w:r>
        <w:rPr>
          <w:rFonts w:ascii="Arial" w:cs="Arial" w:eastAsia="Arial" w:hAnsi="Arial"/>
          <w:sz w:val="13"/>
          <w:szCs w:val="13"/>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144"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b w:val="1"/>
          <w:bCs w:val="1"/>
          <w:i w:val="1"/>
          <w:iCs w:val="1"/>
          <w:color w:val="auto"/>
        </w:rPr>
        <w:t xml:space="preserve">Langford Drop Down — </w:t>
      </w:r>
      <w:r>
        <w:rPr>
          <w:rFonts w:ascii="Arial" w:cs="Arial" w:eastAsia="Arial" w:hAnsi="Arial"/>
          <w:sz w:val="16"/>
          <w:szCs w:val="16"/>
          <w:color w:val="auto"/>
        </w:rPr>
        <w:t>On November 20, 2020, the Company acquired 100% of the Class B membership interest in Langford Holding LLC from CEG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$55 million as well as a minority interest from a third-party investor for $9 million. Langford Holding LLC indirectly consolidates its interest in the Langford wind project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Langford project is a 160 MW wind project located in West Texas which achieved repowering commercial operations in November 2020. The Langford operations are included in the Company's Renewables segment and the acquisition was funded with cash on hand. The acquisition was determined to be an asset acquisition and not a business combination, therefore the Company consolidated the financial information for Langford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cash paid of $64 million and the historical value of the Company's acquired interests of $21 million was recorded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adjustment to noncontrolling interest.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November 20,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8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993"/>
              <w:spacing w:after="0"/>
              <w:rPr>
                <w:sz w:val="20"/>
                <w:szCs w:val="20"/>
                <w:color w:val="auto"/>
              </w:rPr>
            </w:pPr>
            <w:r>
              <w:rPr>
                <w:rFonts w:ascii="Arial" w:cs="Arial" w:eastAsia="Arial" w:hAnsi="Arial"/>
                <w:sz w:val="16"/>
                <w:szCs w:val="16"/>
                <w:b w:val="1"/>
                <w:bCs w:val="1"/>
                <w:color w:val="auto"/>
              </w:rPr>
              <w:t>Langford</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56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8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38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4"/>
        </w:trPr>
        <w:tc>
          <w:tcPr>
            <w:tcW w:w="456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38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38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38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8"/>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assets acquired less noncontrolling interests</w:t>
            </w:r>
          </w:p>
        </w:tc>
        <w:tc>
          <w:tcPr>
            <w:tcW w:w="4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572"/>
              <w:spacing w:after="0"/>
              <w:rPr>
                <w:sz w:val="20"/>
                <w:szCs w:val="20"/>
                <w:color w:val="auto"/>
              </w:rPr>
            </w:pPr>
            <w:r>
              <w:rPr>
                <w:rFonts w:ascii="Arial" w:cs="Arial" w:eastAsia="Arial" w:hAnsi="Arial"/>
                <w:sz w:val="18"/>
                <w:szCs w:val="18"/>
                <w:color w:val="auto"/>
              </w:rPr>
              <w:t>112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4"/>
        </w:trPr>
        <w:tc>
          <w:tcPr>
            <w:tcW w:w="45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2" w:name="page113"/>
    <w:bookmarkEnd w:id="112"/>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Rosamond Central Drop Down — </w:t>
      </w:r>
      <w:r>
        <w:rPr>
          <w:rFonts w:ascii="Arial" w:cs="Arial" w:eastAsia="Arial" w:hAnsi="Arial"/>
          <w:sz w:val="16"/>
          <w:szCs w:val="16"/>
          <w:color w:val="auto"/>
        </w:rPr>
        <w:t>On December 21, 2020, Rosamond Solar Investment LLC, a subsidiary of the Company, acquired 100% of the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 membership interests of Rosie TargetCo LLC from Renew Development HoldCo LLC, a subsidiary of CEG, for $23 million in cash consideration and an additional $1 million adjustment concurrent with the tax equity investor's final funding which was paid in January 2021. Rosie Target Co LLC is the primary beneficiary and consolidates its interest in a tax equity fund that owns the 192 MW Rosamond Central solar project, located in Kern County, California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Rosamond Central operations are included in the Company's Renewables segment. The acquisition was determined to be an asset acquisition and not a business combination, and therefore, the Company consolidated the financial information for Rosamond Central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of $24 million and the historical value of the Company's acquired interests of $28 million was recorded as an adjustment to noncontrolling interest.</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21,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Rosamond Central</w:t>
            </w:r>
          </w:p>
        </w:tc>
      </w:tr>
      <w:tr>
        <w:trPr>
          <w:trHeight w:val="221"/>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44"/>
        </w:trPr>
        <w:tc>
          <w:tcPr>
            <w:tcW w:w="8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r>
      <w:tr>
        <w:trPr>
          <w:trHeight w:val="224"/>
        </w:trPr>
        <w:tc>
          <w:tcPr>
            <w:tcW w:w="84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8"/>
        </w:trPr>
        <w:tc>
          <w:tcPr>
            <w:tcW w:w="8420" w:type="dxa"/>
            <w:vAlign w:val="bottom"/>
          </w:tcPr>
          <w:p>
            <w:pPr>
              <w:ind w:left="240"/>
              <w:spacing w:after="0"/>
              <w:rPr>
                <w:sz w:val="20"/>
                <w:szCs w:val="20"/>
                <w:color w:val="auto"/>
              </w:rPr>
            </w:pPr>
            <w:r>
              <w:rPr>
                <w:rFonts w:ascii="Arial" w:cs="Arial" w:eastAsia="Arial" w:hAnsi="Arial"/>
                <w:sz w:val="18"/>
                <w:szCs w:val="18"/>
                <w:color w:val="auto"/>
              </w:rPr>
              <w:t>Net assets acquired less noncontrolling interests</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Mesquite Star Drop Down — </w:t>
      </w:r>
      <w:r>
        <w:rPr>
          <w:rFonts w:ascii="Arial" w:cs="Arial" w:eastAsia="Arial" w:hAnsi="Arial"/>
          <w:sz w:val="16"/>
          <w:szCs w:val="16"/>
          <w:color w:val="auto"/>
        </w:rPr>
        <w:t>On September 1, 2020, the Company, through its indirect subsidiary Lighthouse Renewable Class A LLC, acquired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A membership interests in Lighthouse Renewable Holdco LLC (formerly Mesquite Star Pledgor LLC) from Clearway Renew LLC, a subsidiary of CEG, for $74 million in cash consideration inclusive of a purchase price adjustment received in the fourth quarter of 2020 concurrent with the partnership amendment referenced below.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investment-grade counterparties with a 12 year weighted average contract life. The Mesquite Star operations are reflected in the Company's Renewables segment and the acquisition was funded with cash on hand. The Company initially recorded its interest in Lighthouse Renewable Class A LLC as an equity method investment.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$74 million cash paid and the historical value of the Company's acquired interests of $83 million was recorded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noncontrolling interest.</w:t>
      </w:r>
    </w:p>
    <w:p>
      <w:pPr>
        <w:spacing w:after="0" w:line="11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On December 21, 2020, Clearway Renew LLC sold the Class B membership interest in Lighthouse Renewable Holdco LLC to a third-party investor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investor and the Company amended the terms of the related partnership and as a result, the Company now consolidates its interest in the Mesquite Star wind project, through its consolidation of Lighthouse Renewable Holdco LLC. The membership interests acquired by the Company relate to interests under common control by GIP and were recorded at historical cost. The difference between the carrying value of the Company's equity method investment of $58 million and the historical value of the net assets consolidated for Mesquite Star of $63 million was recorded as an adjustment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3" w:name="page114"/>
    <w:bookmarkEnd w:id="113"/>
    <w:p>
      <w:pPr>
        <w:ind w:left="400"/>
        <w:spacing w:after="0"/>
        <w:rPr>
          <w:sz w:val="20"/>
          <w:szCs w:val="20"/>
          <w:color w:val="auto"/>
        </w:rPr>
      </w:pPr>
      <w:r>
        <w:rPr>
          <w:rFonts w:ascii="Arial" w:cs="Arial" w:eastAsia="Arial" w:hAnsi="Arial"/>
          <w:sz w:val="18"/>
          <w:szCs w:val="18"/>
          <w:color w:val="auto"/>
        </w:rPr>
        <w:t>The following table shows the balances that were consolidated effective on December 21,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1033"/>
              <w:spacing w:after="0"/>
              <w:rPr>
                <w:sz w:val="20"/>
                <w:szCs w:val="20"/>
                <w:color w:val="auto"/>
              </w:rPr>
            </w:pPr>
            <w:r>
              <w:rPr>
                <w:rFonts w:ascii="Arial" w:cs="Arial" w:eastAsia="Arial" w:hAnsi="Arial"/>
                <w:sz w:val="16"/>
                <w:szCs w:val="16"/>
                <w:b w:val="1"/>
                <w:bCs w:val="1"/>
                <w:color w:val="auto"/>
              </w:rPr>
              <w:t>Mesquite Star</w:t>
            </w:r>
          </w:p>
        </w:tc>
      </w:tr>
      <w:tr>
        <w:trPr>
          <w:trHeight w:val="22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7"/>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 acquired</w:t>
            </w:r>
          </w:p>
        </w:tc>
        <w:tc>
          <w:tcPr>
            <w:tcW w:w="6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44"/>
        </w:trPr>
        <w:tc>
          <w:tcPr>
            <w:tcW w:w="8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r>
      <w:tr>
        <w:trPr>
          <w:trHeight w:val="22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6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8"/>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62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less noncontrolling interests</w:t>
            </w: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b w:val="1"/>
          <w:bCs w:val="1"/>
          <w:i w:val="1"/>
          <w:iCs w:val="1"/>
          <w:color w:val="auto"/>
        </w:rPr>
        <w:t xml:space="preserve">DG Residual Interest and SREC Contract Drop Down — </w:t>
      </w:r>
      <w:r>
        <w:rPr>
          <w:rFonts w:ascii="Arial" w:cs="Arial" w:eastAsia="Arial" w:hAnsi="Arial"/>
          <w:sz w:val="16"/>
          <w:szCs w:val="16"/>
          <w:color w:val="auto"/>
        </w:rPr>
        <w:t>On November 2, 2020, the Company acquired the Class B membership interests in DGPV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Holdco 1, DGPV Holdco 2 and DGPV Holdco 3, or DGPV Holdco Entities, from Renew DG Holdings LLC, a subsidiary of CEG, for approximately $20 million in cash consideration and an SREC contract for approximately $24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in Note 5, </w:t>
      </w:r>
      <w:r>
        <w:rPr>
          <w:rFonts w:ascii="Arial" w:cs="Arial" w:eastAsia="Arial" w:hAnsi="Arial"/>
          <w:sz w:val="16"/>
          <w:szCs w:val="16"/>
          <w:i w:val="1"/>
          <w:iCs w:val="1"/>
          <w:color w:val="auto"/>
        </w:rPr>
        <w:t>Investments Accounted for by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Variable Interest Entities</w:t>
      </w:r>
      <w:r>
        <w:rPr>
          <w:rFonts w:ascii="Arial" w:cs="Arial" w:eastAsia="Arial" w:hAnsi="Arial"/>
          <w:sz w:val="16"/>
          <w:szCs w:val="16"/>
          <w:color w:val="auto"/>
        </w:rPr>
        <w:t>. Subsequent to the acquisition of the remaining interests in the DGPV Holdco Entities, the Company transferred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to DG-CS Master Borrower LLC, and issued debt that was utilized to repay existing project-level debt outstanding and unwind interest rate swaps for certain of the tax equity arrangements related to the underlying project funds, as further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acquired SREC contract is a contract to receive incremental cash flows related to renewable energy credits from certain underlying solar projects.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cash paid for the residual interest of the DGPV Holdco Entities and the historical value of the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less the carrying value of the equity method investments was recorded as an adjustment to noncontrolling interest.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balances that were consolidated: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40" w:type="dxa"/>
            <w:vAlign w:val="bottom"/>
          </w:tcPr>
          <w:p>
            <w:pPr>
              <w:spacing w:after="0"/>
              <w:rPr>
                <w:sz w:val="15"/>
                <w:szCs w:val="15"/>
                <w:color w:val="auto"/>
              </w:rPr>
            </w:pPr>
          </w:p>
        </w:tc>
        <w:tc>
          <w:tcPr>
            <w:tcW w:w="1920" w:type="dxa"/>
            <w:vAlign w:val="bottom"/>
          </w:tcPr>
          <w:p>
            <w:pPr>
              <w:jc w:val="right"/>
              <w:ind w:right="161"/>
              <w:spacing w:after="0"/>
              <w:rPr>
                <w:sz w:val="20"/>
                <w:szCs w:val="20"/>
                <w:color w:val="auto"/>
              </w:rPr>
            </w:pPr>
            <w:r>
              <w:rPr>
                <w:rFonts w:ascii="Arial" w:cs="Arial" w:eastAsia="Arial" w:hAnsi="Arial"/>
                <w:sz w:val="14"/>
                <w:szCs w:val="14"/>
                <w:b w:val="1"/>
                <w:bCs w:val="1"/>
                <w:color w:val="auto"/>
              </w:rPr>
              <w:t>November 2, 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ind w:right="675"/>
              <w:spacing w:after="0"/>
              <w:rPr>
                <w:sz w:val="20"/>
                <w:szCs w:val="20"/>
                <w:color w:val="auto"/>
              </w:rPr>
            </w:pPr>
            <w:r>
              <w:rPr>
                <w:rFonts w:ascii="Arial" w:cs="Arial" w:eastAsia="Arial" w:hAnsi="Arial"/>
                <w:sz w:val="14"/>
                <w:szCs w:val="14"/>
                <w:b w:val="1"/>
                <w:bCs w:val="1"/>
                <w:color w:val="auto"/>
              </w:rPr>
              <w:t>May 29, 2020</w:t>
            </w:r>
          </w:p>
        </w:tc>
      </w:tr>
      <w:tr>
        <w:trPr>
          <w:trHeight w:val="19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rPr>
              <w:t xml:space="preserve">DGPV Holdco 1 and 2 </w:t>
            </w:r>
            <w:r>
              <w:rPr>
                <w:rFonts w:ascii="Arial" w:cs="Arial" w:eastAsia="Arial" w:hAnsi="Arial"/>
                <w:sz w:val="18"/>
                <w:szCs w:val="18"/>
                <w:b w:val="1"/>
                <w:bCs w:val="1"/>
                <w:color w:val="auto"/>
                <w:vertAlign w:val="superscript"/>
              </w:rPr>
              <w:t>(a)</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15"/>
              <w:spacing w:after="0" w:line="197" w:lineRule="exact"/>
              <w:rPr>
                <w:sz w:val="20"/>
                <w:szCs w:val="20"/>
                <w:color w:val="auto"/>
              </w:rPr>
            </w:pPr>
            <w:r>
              <w:rPr>
                <w:rFonts w:ascii="Arial" w:cs="Arial" w:eastAsia="Arial" w:hAnsi="Arial"/>
                <w:sz w:val="14"/>
                <w:szCs w:val="14"/>
                <w:b w:val="1"/>
                <w:bCs w:val="1"/>
                <w:color w:val="auto"/>
              </w:rPr>
              <w:t xml:space="preserve">DGPV Holdco 3 </w:t>
            </w:r>
            <w:r>
              <w:rPr>
                <w:rFonts w:ascii="Arial" w:cs="Arial" w:eastAsia="Arial" w:hAnsi="Arial"/>
                <w:sz w:val="18"/>
                <w:szCs w:val="18"/>
                <w:b w:val="1"/>
                <w:bCs w:val="1"/>
                <w:color w:val="auto"/>
                <w:vertAlign w:val="superscript"/>
              </w:rPr>
              <w:t>(b)</w:t>
            </w:r>
          </w:p>
        </w:tc>
      </w:tr>
      <w:tr>
        <w:trPr>
          <w:trHeight w:val="21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920" w:type="dxa"/>
            <w:vAlign w:val="bottom"/>
            <w:shd w:val="clear" w:color="auto" w:fill="CCEEFF"/>
          </w:tcPr>
          <w:p>
            <w:pPr>
              <w:jc w:val="right"/>
              <w:ind w:right="174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4"/>
        </w:trPr>
        <w:tc>
          <w:tcPr>
            <w:tcW w:w="65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4"/>
        </w:trPr>
        <w:tc>
          <w:tcPr>
            <w:tcW w:w="6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1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1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less noncontrolling interests</w:t>
            </w:r>
          </w:p>
        </w:tc>
        <w:tc>
          <w:tcPr>
            <w:tcW w:w="1920" w:type="dxa"/>
            <w:vAlign w:val="bottom"/>
            <w:tcBorders>
              <w:bottom w:val="single" w:sz="8" w:color="auto"/>
            </w:tcBorders>
            <w:shd w:val="clear" w:color="auto" w:fill="CCEEFF"/>
          </w:tcPr>
          <w:p>
            <w:pPr>
              <w:jc w:val="right"/>
              <w:ind w:right="174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60" w:hanging="154"/>
        <w:spacing w:after="0"/>
        <w:tabs>
          <w:tab w:leader="none" w:pos="160"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Includes DGPV 1, LLC, DGPV 2, LLC, CA Fund, LLC, DGPV 4 Borrower LLC and Puma Class B LLC</w:t>
      </w:r>
    </w:p>
    <w:p>
      <w:pPr>
        <w:spacing w:after="0" w:line="43" w:lineRule="exact"/>
        <w:rPr>
          <w:rFonts w:ascii="Arial" w:cs="Arial" w:eastAsia="Arial" w:hAnsi="Arial"/>
          <w:sz w:val="17"/>
          <w:szCs w:val="17"/>
          <w:color w:val="auto"/>
          <w:vertAlign w:val="superscript"/>
        </w:rPr>
      </w:pPr>
    </w:p>
    <w:p>
      <w:pPr>
        <w:ind w:left="160" w:hanging="154"/>
        <w:spacing w:after="0" w:line="205" w:lineRule="auto"/>
        <w:tabs>
          <w:tab w:leader="none" w:pos="160"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Includes Renew Solar CS4 Fund LLC and Chestnut Fund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4" w:name="page115"/>
    <w:bookmarkEnd w:id="114"/>
    <w:p>
      <w:pPr>
        <w:jc w:val="both"/>
        <w:ind w:firstLine="396"/>
        <w:spacing w:after="0" w:line="283" w:lineRule="auto"/>
        <w:rPr>
          <w:sz w:val="20"/>
          <w:szCs w:val="20"/>
          <w:color w:val="auto"/>
        </w:rPr>
      </w:pPr>
      <w:r>
        <w:rPr>
          <w:rFonts w:ascii="Arial" w:cs="Arial" w:eastAsia="Arial" w:hAnsi="Arial"/>
          <w:sz w:val="16"/>
          <w:szCs w:val="16"/>
          <w:color w:val="auto"/>
        </w:rPr>
        <w:t>The fair value of property, plant and equipment determined at GIP's acquisition date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b w:val="1"/>
          <w:bCs w:val="1"/>
          <w:i w:val="1"/>
          <w:iCs w:val="1"/>
          <w:color w:val="auto"/>
        </w:rPr>
        <w:t xml:space="preserve">Thermal Disposition </w:t>
      </w:r>
      <w:r>
        <w:rPr>
          <w:rFonts w:ascii="Arial" w:cs="Arial" w:eastAsia="Arial" w:hAnsi="Arial"/>
          <w:sz w:val="16"/>
          <w:szCs w:val="16"/>
          <w:color w:val="auto"/>
        </w:rPr>
        <w:t>— On October 22, 2021, Clearway Energy Operating LLC entered into a binding agreement to sell the Thermal Business to KKR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total consideration of $1.9 billion, subject to customary closing adjustments. The closing of the transaction is subject to various customary closing conditions, approvals and consents and is expected to close in the first half of 2022. Effective with the approval by the Board of Directors and signing of the agreement to sell the Thermal Business, the Company concluded that all entities that are included within the Thermal Business will be treated as held for sale on a prospective basis, resulting in the assets and liabilities being reported as separate held for sale line items on the Company’s consolidated balance sheet as of December 31, 2021. Property, plant and equipment represents 78% and intangible assets represents 9% of assets classified as held for sale while long-term debt represents 85% of liabilities classified as held for sale. The Company expects to recognize a gain upon the completion of the Thermal Disposition. The Company's Thermal segment is comprised solely of the Thermal Business's results of operations.</w:t>
      </w:r>
    </w:p>
    <w:p>
      <w:pPr>
        <w:spacing w:after="0" w:line="11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7"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b w:val="1"/>
          <w:bCs w:val="1"/>
          <w:i w:val="1"/>
          <w:iCs w:val="1"/>
          <w:color w:val="auto"/>
        </w:rPr>
        <w:t xml:space="preserve">Sale of Energy Center Dover LLC and Energy Center Smyrna LLC Assets </w:t>
      </w:r>
      <w:r>
        <w:rPr>
          <w:rFonts w:ascii="Arial" w:cs="Arial" w:eastAsia="Arial" w:hAnsi="Arial"/>
          <w:sz w:val="16"/>
          <w:szCs w:val="16"/>
          <w:color w:val="auto"/>
        </w:rPr>
        <w:t>— On March 3, 2020, the Company, through Clearway Thermal LLC,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its interests in Energy Center Dover LLC and Energy Center Smyrna LLC to DB Energy Assets, LLC for cash proceeds of approximately $15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Depreciable Lives</w:t>
            </w:r>
          </w:p>
        </w:tc>
      </w:tr>
      <w:tr>
        <w:trPr>
          <w:trHeight w:val="183"/>
        </w:trPr>
        <w:tc>
          <w:tcPr>
            <w:tcW w:w="2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4"/>
          </w:tcPr>
          <w:p>
            <w:pPr>
              <w:jc w:val="right"/>
              <w:ind w:right="119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5"/>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Facilities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2 - 40 Years</w:t>
            </w:r>
          </w:p>
        </w:tc>
      </w:tr>
      <w:tr>
        <w:trPr>
          <w:trHeight w:val="224"/>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5"/>
        </w:trPr>
        <w:tc>
          <w:tcPr>
            <w:tcW w:w="6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2"/>
                <w:szCs w:val="22"/>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7"/>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Total property, plant and equipment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8"/>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64"/>
        </w:trPr>
        <w:tc>
          <w:tcPr>
            <w:tcW w:w="2180" w:type="dxa"/>
            <w:vAlign w:val="bottom"/>
            <w:tcBorders>
              <w:bottom w:val="single" w:sz="8" w:color="auto"/>
            </w:tcBorders>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40" w:lineRule="exact"/>
        <w:rPr>
          <w:sz w:val="20"/>
          <w:szCs w:val="20"/>
          <w:color w:val="auto"/>
        </w:rPr>
      </w:pPr>
    </w:p>
    <w:p>
      <w:pPr>
        <w:ind w:firstLine="6"/>
        <w:spacing w:after="0" w:line="247" w:lineRule="auto"/>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2"/>
          <w:szCs w:val="12"/>
          <w:color w:val="auto"/>
        </w:rPr>
        <w:t>As of December 31, 2021 and 2020, construction in progress includes $17 million and $14 million, respectively, of capital expenditures that relate to prepaid long-term service agreements in the Conventional segment.</w:t>
      </w:r>
    </w:p>
    <w:p>
      <w:pPr>
        <w:spacing w:after="0" w:line="13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Depreciation expense related to property, plant and equipment during the years ended December 31, 2021, 2020 and 2019 was $499 million, $420 million and $395 million, respectively. The Company accelerated depreciation of the Pinnacle wind project in connection with the repowering project, which resulted in additional depreciation expense in the amount of $34 million in 2021 and $9 million in 2020.</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The Company recorded long-lived asset impairments during each of the years ended December 31, 2021 and December 31, 2020, as further described in Note 9, </w:t>
      </w:r>
      <w:r>
        <w:rPr>
          <w:rFonts w:ascii="Arial" w:cs="Arial" w:eastAsia="Arial" w:hAnsi="Arial"/>
          <w:sz w:val="18"/>
          <w:szCs w:val="18"/>
          <w:i w:val="1"/>
          <w:iCs w:val="1"/>
          <w:color w:val="auto"/>
        </w:rPr>
        <w:t>Asset Impairments.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5" w:name="page116"/>
    <w:bookmarkEnd w:id="115"/>
    <w:p>
      <w:pPr>
        <w:ind w:right="4520"/>
        <w:spacing w:after="0" w:line="431" w:lineRule="auto"/>
        <w:rPr>
          <w:sz w:val="20"/>
          <w:szCs w:val="20"/>
          <w:color w:val="auto"/>
        </w:rPr>
      </w:pPr>
      <w:r>
        <w:rPr>
          <w:rFonts w:ascii="Arial" w:cs="Arial" w:eastAsia="Arial" w:hAnsi="Arial"/>
          <w:sz w:val="18"/>
          <w:szCs w:val="18"/>
          <w:b w:val="1"/>
          <w:bCs w:val="1"/>
          <w:color w:val="auto"/>
        </w:rPr>
        <w:t>Note 5 — Investments Accounted for by the Equity Method and Variable Interest Entities Equity Method Investments</w:t>
      </w:r>
    </w:p>
    <w:p>
      <w:pPr>
        <w:spacing w:after="0" w:line="1"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Company's maximum exposure to loss as of December 31, 2021 is limited to its equity investment in the unconsolidated entities, as further summarized in the table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gridSpan w:val="2"/>
          </w:tcPr>
          <w:p>
            <w:pPr>
              <w:ind w:left="290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ind w:left="600"/>
              <w:spacing w:after="0"/>
              <w:rPr>
                <w:sz w:val="20"/>
                <w:szCs w:val="20"/>
                <w:color w:val="auto"/>
              </w:rPr>
            </w:pPr>
            <w:r>
              <w:rPr>
                <w:rFonts w:ascii="Arial" w:cs="Arial" w:eastAsia="Arial" w:hAnsi="Arial"/>
                <w:sz w:val="16"/>
                <w:szCs w:val="16"/>
                <w:b w:val="1"/>
                <w:bCs w:val="1"/>
                <w:color w:val="auto"/>
              </w:rPr>
              <w:t>Economic Interest</w:t>
            </w:r>
          </w:p>
        </w:tc>
        <w:tc>
          <w:tcPr>
            <w:tcW w:w="340" w:type="dxa"/>
            <w:vAlign w:val="bottom"/>
          </w:tcPr>
          <w:p>
            <w:pPr>
              <w:spacing w:after="0"/>
              <w:rPr>
                <w:sz w:val="18"/>
                <w:szCs w:val="18"/>
                <w:color w:val="auto"/>
              </w:rPr>
            </w:pPr>
          </w:p>
        </w:tc>
        <w:tc>
          <w:tcPr>
            <w:tcW w:w="2080" w:type="dxa"/>
            <w:vAlign w:val="bottom"/>
          </w:tcPr>
          <w:p>
            <w:pPr>
              <w:jc w:val="right"/>
              <w:ind w:right="454"/>
              <w:spacing w:after="0"/>
              <w:rPr>
                <w:sz w:val="20"/>
                <w:szCs w:val="20"/>
                <w:color w:val="auto"/>
              </w:rPr>
            </w:pPr>
            <w:r>
              <w:rPr>
                <w:rFonts w:ascii="Arial" w:cs="Arial" w:eastAsia="Arial" w:hAnsi="Arial"/>
                <w:sz w:val="16"/>
                <w:szCs w:val="16"/>
                <w:b w:val="1"/>
                <w:bCs w:val="1"/>
                <w:color w:val="auto"/>
              </w:rPr>
              <w:t>Investment Balance</w:t>
            </w:r>
          </w:p>
        </w:tc>
      </w:tr>
      <w:tr>
        <w:trPr>
          <w:trHeight w:val="205"/>
        </w:trPr>
        <w:tc>
          <w:tcPr>
            <w:tcW w:w="6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(In millions)</w:t>
            </w:r>
          </w:p>
        </w:tc>
      </w:tr>
      <w:tr>
        <w:trPr>
          <w:trHeight w:val="22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Avenal</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6300" w:type="dxa"/>
            <w:vAlign w:val="bottom"/>
            <w:gridSpan w:val="2"/>
          </w:tcPr>
          <w:p>
            <w:pPr>
              <w:ind w:left="140"/>
              <w:spacing w:after="0"/>
              <w:rPr>
                <w:sz w:val="20"/>
                <w:szCs w:val="20"/>
                <w:color w:val="auto"/>
              </w:rPr>
            </w:pPr>
            <w:r>
              <w:rPr>
                <w:rFonts w:ascii="Arial" w:cs="Arial" w:eastAsia="Arial" w:hAnsi="Arial"/>
                <w:sz w:val="18"/>
                <w:szCs w:val="18"/>
                <w:color w:val="auto"/>
              </w:rPr>
              <w:t>Desert Sunlight</w:t>
            </w: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5"/>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Elkhorn Ridge</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6300" w:type="dxa"/>
            <w:vAlign w:val="bottom"/>
            <w:gridSpan w:val="2"/>
          </w:tcPr>
          <w:p>
            <w:pPr>
              <w:ind w:left="140"/>
              <w:spacing w:after="0" w:line="224"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2"/>
                <w:szCs w:val="22"/>
                <w:color w:val="auto"/>
                <w:vertAlign w:val="superscript"/>
              </w:rPr>
              <w:t>(a)</w:t>
            </w: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4"/>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San Juan Mesa</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7"/>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hanging="156"/>
        <w:spacing w:after="0"/>
        <w:tabs>
          <w:tab w:leader="none" w:pos="3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GenConn is a variable interest entity.</w:t>
      </w:r>
    </w:p>
    <w:p>
      <w:pPr>
        <w:spacing w:after="0" w:line="139" w:lineRule="exact"/>
        <w:rPr>
          <w:sz w:val="20"/>
          <w:szCs w:val="20"/>
          <w:color w:val="auto"/>
        </w:rPr>
      </w:pPr>
    </w:p>
    <w:p>
      <w:pPr>
        <w:ind w:left="160" w:firstLine="396"/>
        <w:spacing w:after="0" w:line="262" w:lineRule="auto"/>
        <w:rPr>
          <w:sz w:val="20"/>
          <w:szCs w:val="20"/>
          <w:color w:val="auto"/>
        </w:rPr>
      </w:pPr>
      <w:r>
        <w:rPr>
          <w:rFonts w:ascii="Arial" w:cs="Arial" w:eastAsia="Arial" w:hAnsi="Arial"/>
          <w:sz w:val="18"/>
          <w:szCs w:val="18"/>
          <w:color w:val="auto"/>
        </w:rPr>
        <w:t>As of December 31, 2021 and 2020, the Company had $14 million and $10 million, respectively, of undistributed earnings from its equity method investments.</w:t>
      </w:r>
    </w:p>
    <w:p>
      <w:pPr>
        <w:spacing w:after="0" w:line="128"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pro-rata share of non-recourse debt held by unconsolidated affiliates was $345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16" w:name="page117"/>
    <w:bookmarkEnd w:id="116"/>
    <w:p>
      <w:pPr>
        <w:ind w:left="400"/>
        <w:spacing w:after="0"/>
        <w:rPr>
          <w:sz w:val="20"/>
          <w:szCs w:val="20"/>
          <w:color w:val="auto"/>
        </w:rPr>
      </w:pPr>
      <w:r>
        <w:rPr>
          <w:rFonts w:ascii="Arial" w:cs="Arial" w:eastAsia="Arial" w:hAnsi="Arial"/>
          <w:sz w:val="18"/>
          <w:szCs w:val="18"/>
          <w:color w:val="auto"/>
        </w:rPr>
        <w:t>The following tables present summarized financial information for the Company's equity method investments: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04"/>
        </w:trPr>
        <w:tc>
          <w:tcPr>
            <w:tcW w:w="6440" w:type="dxa"/>
            <w:vAlign w:val="bottom"/>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0"/>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Income Statement Data:</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21"/>
              <w:spacing w:after="0"/>
              <w:rPr>
                <w:sz w:val="20"/>
                <w:szCs w:val="20"/>
                <w:color w:val="auto"/>
              </w:rPr>
            </w:pPr>
            <w:r>
              <w:rPr>
                <w:rFonts w:ascii="Arial" w:cs="Arial" w:eastAsia="Arial" w:hAnsi="Arial"/>
                <w:sz w:val="17"/>
                <w:szCs w:val="17"/>
                <w:b w:val="1"/>
                <w:bCs w:val="1"/>
                <w:color w:val="auto"/>
              </w:rPr>
              <w:t>(In millions)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GenConn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Operating revenues</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60</w:t>
            </w: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0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Desert Sunlight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Operating revenues</w:t>
            </w:r>
          </w:p>
        </w:tc>
        <w:tc>
          <w:tcPr>
            <w:tcW w:w="10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209</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0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88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1"/>
        </w:trPr>
        <w:tc>
          <w:tcPr>
            <w:tcW w:w="6440" w:type="dxa"/>
            <w:vAlign w:val="bottom"/>
            <w:shd w:val="clear" w:color="auto" w:fill="CCEEFF"/>
          </w:tcPr>
          <w:p>
            <w:pPr>
              <w:ind w:left="20"/>
              <w:spacing w:after="0" w:line="211" w:lineRule="exact"/>
              <w:rPr>
                <w:sz w:val="20"/>
                <w:szCs w:val="20"/>
                <w:color w:val="auto"/>
              </w:rPr>
            </w:pPr>
            <w:r>
              <w:rPr>
                <w:rFonts w:ascii="Arial" w:cs="Arial" w:eastAsia="Arial" w:hAnsi="Arial"/>
                <w:sz w:val="24"/>
                <w:szCs w:val="24"/>
                <w:b w:val="1"/>
                <w:bCs w:val="1"/>
                <w:color w:val="auto"/>
                <w:vertAlign w:val="subscript"/>
              </w:rPr>
              <w:t>Other</w:t>
            </w:r>
            <w:r>
              <w:rPr>
                <w:rFonts w:ascii="Arial" w:cs="Arial" w:eastAsia="Arial" w:hAnsi="Arial"/>
                <w:sz w:val="9"/>
                <w:szCs w:val="9"/>
                <w:b w:val="1"/>
                <w:bCs w:val="1"/>
                <w:color w:val="auto"/>
              </w:rPr>
              <w:t xml:space="preserve"> (a) (b)</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64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299</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24"/>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60</w:t>
            </w: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06"/>
        </w:trPr>
        <w:tc>
          <w:tcPr>
            <w:tcW w:w="64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960" w:type="dxa"/>
            <w:vAlign w:val="bottom"/>
            <w:gridSpan w:val="3"/>
            <w:shd w:val="clear" w:color="auto" w:fill="CCEEFF"/>
          </w:tcPr>
          <w:p>
            <w:pPr>
              <w:spacing w:after="0"/>
              <w:rPr>
                <w:sz w:val="9"/>
                <w:szCs w:val="9"/>
                <w:color w:val="auto"/>
              </w:rPr>
            </w:pPr>
          </w:p>
        </w:tc>
      </w:tr>
      <w:tr>
        <w:trPr>
          <w:trHeight w:val="211"/>
        </w:trPr>
        <w:tc>
          <w:tcPr>
            <w:tcW w:w="6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7"/>
                <w:szCs w:val="17"/>
                <w:b w:val="1"/>
                <w:bCs w:val="1"/>
                <w:color w:val="auto"/>
              </w:rPr>
              <w:t>As of December 31,</w:t>
            </w:r>
          </w:p>
        </w:tc>
      </w:tr>
      <w:tr>
        <w:trPr>
          <w:trHeight w:val="204"/>
        </w:trPr>
        <w:tc>
          <w:tcPr>
            <w:tcW w:w="6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7"/>
                <w:szCs w:val="17"/>
                <w:b w:val="1"/>
                <w:bCs w:val="1"/>
                <w:color w:val="auto"/>
              </w:rPr>
              <w:t>2020</w:t>
            </w:r>
          </w:p>
        </w:tc>
      </w:tr>
      <w:tr>
        <w:trPr>
          <w:trHeight w:val="204"/>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Balance Sheet Data:</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1"/>
              <w:spacing w:after="0"/>
              <w:rPr>
                <w:sz w:val="20"/>
                <w:szCs w:val="20"/>
                <w:color w:val="auto"/>
              </w:rPr>
            </w:pPr>
            <w:r>
              <w:rPr>
                <w:rFonts w:ascii="Arial" w:cs="Arial" w:eastAsia="Arial" w:hAnsi="Arial"/>
                <w:sz w:val="17"/>
                <w:szCs w:val="17"/>
                <w:b w:val="1"/>
                <w:bCs w:val="1"/>
                <w:color w:val="auto"/>
              </w:rPr>
              <w:t>(In millions)</w:t>
            </w:r>
          </w:p>
        </w:tc>
        <w:tc>
          <w:tcPr>
            <w:tcW w:w="1040" w:type="dxa"/>
            <w:vAlign w:val="bottom"/>
          </w:tcPr>
          <w:p>
            <w:pPr>
              <w:spacing w:after="0"/>
              <w:rPr>
                <w:sz w:val="17"/>
                <w:szCs w:val="17"/>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GenConn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assets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328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Desert Sunlight</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1,228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1,244</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1"/>
        </w:trPr>
        <w:tc>
          <w:tcPr>
            <w:tcW w:w="6440" w:type="dxa"/>
            <w:vAlign w:val="bottom"/>
          </w:tcPr>
          <w:p>
            <w:pPr>
              <w:ind w:left="20"/>
              <w:spacing w:after="0"/>
              <w:rPr>
                <w:sz w:val="20"/>
                <w:szCs w:val="20"/>
                <w:color w:val="auto"/>
              </w:rPr>
            </w:pPr>
            <w:r>
              <w:rPr>
                <w:rFonts w:ascii="Arial" w:cs="Arial" w:eastAsia="Arial" w:hAnsi="Arial"/>
                <w:sz w:val="17"/>
                <w:szCs w:val="17"/>
                <w:color w:val="auto"/>
              </w:rPr>
              <w:t>Non-current liabilities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904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1"/>
        </w:trPr>
        <w:tc>
          <w:tcPr>
            <w:tcW w:w="6440" w:type="dxa"/>
            <w:vAlign w:val="bottom"/>
            <w:shd w:val="clear" w:color="auto" w:fill="CCEEFF"/>
          </w:tcPr>
          <w:p>
            <w:pPr>
              <w:ind w:left="20"/>
              <w:spacing w:after="0" w:line="211" w:lineRule="exact"/>
              <w:rPr>
                <w:sz w:val="20"/>
                <w:szCs w:val="20"/>
                <w:color w:val="auto"/>
              </w:rPr>
            </w:pPr>
            <w:r>
              <w:rPr>
                <w:rFonts w:ascii="Arial" w:cs="Arial" w:eastAsia="Arial" w:hAnsi="Arial"/>
                <w:sz w:val="24"/>
                <w:szCs w:val="24"/>
                <w:b w:val="1"/>
                <w:bCs w:val="1"/>
                <w:color w:val="auto"/>
                <w:vertAlign w:val="subscript"/>
              </w:rPr>
              <w:t>Other</w:t>
            </w:r>
            <w:r>
              <w:rPr>
                <w:rFonts w:ascii="Arial" w:cs="Arial" w:eastAsia="Arial" w:hAnsi="Arial"/>
                <w:sz w:val="9"/>
                <w:szCs w:val="9"/>
                <w:b w:val="1"/>
                <w:bCs w:val="1"/>
                <w:color w:val="auto"/>
              </w:rPr>
              <w:t xml:space="preserve"> (a) (b)</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6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172</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r>
      <w:tr>
        <w:trPr>
          <w:trHeight w:val="224"/>
        </w:trPr>
        <w:tc>
          <w:tcPr>
            <w:tcW w:w="6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bl>
    <w:p>
      <w:pPr>
        <w:spacing w:after="0" w:line="127" w:lineRule="exact"/>
        <w:rPr>
          <w:sz w:val="20"/>
          <w:szCs w:val="20"/>
          <w:color w:val="auto"/>
        </w:rPr>
      </w:pPr>
    </w:p>
    <w:p>
      <w:pPr>
        <w:ind w:left="80" w:firstLine="5"/>
        <w:spacing w:after="0" w:line="246" w:lineRule="auto"/>
        <w:tabs>
          <w:tab w:leader="none" w:pos="217"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Includes Avenal, Elkhorn Ridge, San Juan Mesa, DGPV Holdco 1, DGPV Holdco 2 and DGPV Holdco 3. DGPV Holdco 1, DGPV Holdco 2 and DGPV Holdco 3 were consolidated by the Company during 2020 and are therefore excluded from the summarized balance sheet data as of December 31, 2020.</w:t>
      </w:r>
    </w:p>
    <w:p>
      <w:pPr>
        <w:spacing w:after="0" w:line="27" w:lineRule="exact"/>
        <w:rPr>
          <w:rFonts w:ascii="Arial" w:cs="Arial" w:eastAsia="Arial" w:hAnsi="Arial"/>
          <w:sz w:val="16"/>
          <w:szCs w:val="16"/>
          <w:color w:val="auto"/>
          <w:vertAlign w:val="superscript"/>
        </w:rPr>
      </w:pPr>
    </w:p>
    <w:p>
      <w:pPr>
        <w:jc w:val="both"/>
        <w:ind w:left="80" w:firstLine="5"/>
        <w:spacing w:after="0" w:line="276" w:lineRule="auto"/>
        <w:tabs>
          <w:tab w:leader="none" w:pos="209" w:val="left"/>
        </w:tabs>
        <w:numPr>
          <w:ilvl w:val="0"/>
          <w:numId w:val="66"/>
        </w:numPr>
        <w:rPr>
          <w:rFonts w:ascii="Arial" w:cs="Arial" w:eastAsia="Arial" w:hAnsi="Arial"/>
          <w:sz w:val="15"/>
          <w:szCs w:val="15"/>
          <w:color w:val="auto"/>
          <w:vertAlign w:val="superscript"/>
        </w:rPr>
      </w:pPr>
      <w:r>
        <w:rPr>
          <w:rFonts w:ascii="Arial" w:cs="Arial" w:eastAsia="Arial" w:hAnsi="Arial"/>
          <w:sz w:val="12"/>
          <w:szCs w:val="12"/>
          <w:color w:val="auto"/>
        </w:rPr>
        <w:t>On February 3, 2021, the Company acquired an additional 35% equity interest in Agua Caliente and removed its equity investment in Agua Caliente and, on December 1, 2021, the Company acquired the remaining 50% equity investment in the Utah Solar Portfolio and removed its equity investment in the Utah Solar Portfolio. As a result, both Agua Caliente and the Utah Solar Portfolio are excluded from the summarized balance sheet data as of December 31, 2021 and from the summarized income statement data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and are further described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7" w:name="page118"/>
    <w:bookmarkEnd w:id="117"/>
    <w:p>
      <w:pPr>
        <w:ind w:left="40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2021:</w:t>
      </w:r>
    </w:p>
    <w:p>
      <w:pPr>
        <w:spacing w:after="0" w:line="7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Alta TE</w:t>
            </w:r>
          </w:p>
        </w:tc>
        <w:tc>
          <w:tcPr>
            <w:tcW w:w="2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Buckthorn</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Kawailoa</w:t>
            </w:r>
          </w:p>
        </w:tc>
        <w:tc>
          <w:tcPr>
            <w:tcW w:w="2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Langford TE</w:t>
            </w:r>
          </w:p>
        </w:tc>
        <w:tc>
          <w:tcPr>
            <w:tcW w:w="280" w:type="dxa"/>
            <w:vAlign w:val="bottom"/>
          </w:tcPr>
          <w:p>
            <w:pPr>
              <w:spacing w:after="0"/>
              <w:rPr>
                <w:sz w:val="12"/>
                <w:szCs w:val="12"/>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Lighthouse</w:t>
            </w:r>
          </w:p>
        </w:tc>
        <w:tc>
          <w:tcPr>
            <w:tcW w:w="260" w:type="dxa"/>
            <w:vAlign w:val="bottom"/>
          </w:tcPr>
          <w:p>
            <w:pPr>
              <w:spacing w:after="0"/>
              <w:rPr>
                <w:sz w:val="12"/>
                <w:szCs w:val="12"/>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b w:val="1"/>
                <w:bCs w:val="1"/>
                <w:color w:val="auto"/>
              </w:rPr>
              <w:t>Lighthouse</w:t>
            </w:r>
          </w:p>
        </w:tc>
        <w:tc>
          <w:tcPr>
            <w:tcW w:w="0" w:type="dxa"/>
            <w:vAlign w:val="bottom"/>
          </w:tcPr>
          <w:p>
            <w:pPr>
              <w:spacing w:after="0"/>
              <w:rPr>
                <w:sz w:val="1"/>
                <w:szCs w:val="1"/>
                <w:color w:val="auto"/>
              </w:rPr>
            </w:pPr>
          </w:p>
        </w:tc>
      </w:tr>
      <w:tr>
        <w:trPr>
          <w:trHeight w:val="119"/>
        </w:trPr>
        <w:tc>
          <w:tcPr>
            <w:tcW w:w="2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DGPV Funds</w:t>
            </w:r>
            <w:r>
              <w:rPr>
                <w:rFonts w:ascii="Arial" w:cs="Arial" w:eastAsia="Arial" w:hAnsi="Arial"/>
                <w:sz w:val="15"/>
                <w:szCs w:val="15"/>
                <w:b w:val="1"/>
                <w:bCs w:val="1"/>
                <w:color w:val="auto"/>
                <w:vertAlign w:val="superscript"/>
              </w:rPr>
              <w:t>(a)</w:t>
            </w: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3"/>
          </w:tcPr>
          <w:p>
            <w:pPr>
              <w:jc w:val="center"/>
              <w:ind w:right="100"/>
              <w:spacing w:after="0" w:line="119" w:lineRule="exact"/>
              <w:rPr>
                <w:sz w:val="20"/>
                <w:szCs w:val="20"/>
                <w:color w:val="auto"/>
              </w:rPr>
            </w:pPr>
            <w:r>
              <w:rPr>
                <w:rFonts w:ascii="Arial" w:cs="Arial" w:eastAsia="Arial" w:hAnsi="Arial"/>
                <w:sz w:val="12"/>
                <w:szCs w:val="12"/>
                <w:b w:val="1"/>
                <w:bCs w:val="1"/>
                <w:color w:val="auto"/>
                <w:w w:val="91"/>
              </w:rPr>
              <w:t>Renewable Holdco</w:t>
            </w:r>
          </w:p>
        </w:tc>
        <w:tc>
          <w:tcPr>
            <w:tcW w:w="1200" w:type="dxa"/>
            <w:vAlign w:val="bottom"/>
            <w:gridSpan w:val="2"/>
          </w:tcPr>
          <w:p>
            <w:pPr>
              <w:jc w:val="right"/>
              <w:spacing w:after="0" w:line="119" w:lineRule="exact"/>
              <w:rPr>
                <w:sz w:val="20"/>
                <w:szCs w:val="20"/>
                <w:color w:val="auto"/>
              </w:rPr>
            </w:pPr>
            <w:r>
              <w:rPr>
                <w:rFonts w:ascii="Arial" w:cs="Arial" w:eastAsia="Arial" w:hAnsi="Arial"/>
                <w:sz w:val="12"/>
                <w:szCs w:val="12"/>
                <w:b w:val="1"/>
                <w:bCs w:val="1"/>
                <w:color w:val="auto"/>
                <w:w w:val="95"/>
              </w:rPr>
              <w:t>Renewable Holdco 2</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Holdco</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Renewables, LLC</w:t>
            </w:r>
          </w:p>
        </w:tc>
        <w:tc>
          <w:tcPr>
            <w:tcW w:w="11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Partnership</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Partnership LLC</w:t>
            </w:r>
          </w:p>
        </w:tc>
        <w:tc>
          <w:tcPr>
            <w:tcW w:w="280" w:type="dxa"/>
            <w:vAlign w:val="bottom"/>
          </w:tcPr>
          <w:p>
            <w:pPr>
              <w:spacing w:after="0"/>
              <w:rPr>
                <w:sz w:val="14"/>
                <w:szCs w:val="14"/>
                <w:color w:val="auto"/>
              </w:rPr>
            </w:pPr>
          </w:p>
        </w:tc>
        <w:tc>
          <w:tcPr>
            <w:tcW w:w="1080" w:type="dxa"/>
            <w:vAlign w:val="bottom"/>
            <w:gridSpan w:val="2"/>
          </w:tcPr>
          <w:p>
            <w:pPr>
              <w:jc w:val="center"/>
              <w:ind w:right="360"/>
              <w:spacing w:after="0" w:line="172" w:lineRule="exact"/>
              <w:rPr>
                <w:sz w:val="20"/>
                <w:szCs w:val="20"/>
                <w:color w:val="auto"/>
              </w:rPr>
            </w:pPr>
            <w:r>
              <w:rPr>
                <w:rFonts w:ascii="Arial" w:cs="Arial" w:eastAsia="Arial" w:hAnsi="Arial"/>
                <w:sz w:val="19"/>
                <w:szCs w:val="19"/>
                <w:b w:val="1"/>
                <w:bCs w:val="1"/>
                <w:color w:val="auto"/>
                <w:vertAlign w:val="subscript"/>
              </w:rPr>
              <w:t>LLC</w:t>
            </w:r>
            <w:r>
              <w:rPr>
                <w:rFonts w:ascii="Arial" w:cs="Arial" w:eastAsia="Arial" w:hAnsi="Arial"/>
                <w:sz w:val="7"/>
                <w:szCs w:val="7"/>
                <w:b w:val="1"/>
                <w:bCs w:val="1"/>
                <w:color w:val="auto"/>
              </w:rPr>
              <w:t>(b)</w:t>
            </w:r>
          </w:p>
        </w:tc>
        <w:tc>
          <w:tcPr>
            <w:tcW w:w="260" w:type="dxa"/>
            <w:vAlign w:val="bottom"/>
          </w:tcPr>
          <w:p>
            <w:pPr>
              <w:spacing w:after="0"/>
              <w:rPr>
                <w:sz w:val="14"/>
                <w:szCs w:val="14"/>
                <w:color w:val="auto"/>
              </w:rPr>
            </w:pPr>
          </w:p>
        </w:tc>
        <w:tc>
          <w:tcPr>
            <w:tcW w:w="940" w:type="dxa"/>
            <w:vAlign w:val="bottom"/>
          </w:tcPr>
          <w:p>
            <w:pPr>
              <w:jc w:val="right"/>
              <w:ind w:right="340"/>
              <w:spacing w:after="0" w:line="172" w:lineRule="exact"/>
              <w:rPr>
                <w:sz w:val="20"/>
                <w:szCs w:val="20"/>
                <w:color w:val="auto"/>
              </w:rPr>
            </w:pPr>
            <w:r>
              <w:rPr>
                <w:rFonts w:ascii="Arial" w:cs="Arial" w:eastAsia="Arial" w:hAnsi="Arial"/>
                <w:sz w:val="19"/>
                <w:szCs w:val="19"/>
                <w:b w:val="1"/>
                <w:bCs w:val="1"/>
                <w:color w:val="auto"/>
                <w:vertAlign w:val="subscript"/>
              </w:rPr>
              <w:t>LLC</w:t>
            </w:r>
            <w:r>
              <w:rPr>
                <w:rFonts w:ascii="Arial" w:cs="Arial" w:eastAsia="Arial" w:hAnsi="Arial"/>
                <w:sz w:val="7"/>
                <w:szCs w:val="7"/>
                <w:b w:val="1"/>
                <w:bCs w:val="1"/>
                <w:color w:val="auto"/>
              </w:rPr>
              <w:t>(c)</w:t>
            </w:r>
          </w:p>
        </w:tc>
        <w:tc>
          <w:tcPr>
            <w:tcW w:w="0" w:type="dxa"/>
            <w:vAlign w:val="bottom"/>
          </w:tcPr>
          <w:p>
            <w:pPr>
              <w:spacing w:after="0"/>
              <w:rPr>
                <w:sz w:val="1"/>
                <w:szCs w:val="1"/>
                <w:color w:val="auto"/>
              </w:rPr>
            </w:pPr>
          </w:p>
        </w:tc>
      </w:tr>
      <w:tr>
        <w:trPr>
          <w:trHeight w:val="217"/>
        </w:trPr>
        <w:tc>
          <w:tcPr>
            <w:tcW w:w="2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1"/>
              </w:rPr>
              <w:t>Other current and non-current assets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4"/>
        </w:trPr>
        <w:tc>
          <w:tcPr>
            <w:tcW w:w="282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8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28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52"/>
        </w:trPr>
        <w:tc>
          <w:tcPr>
            <w:tcW w:w="2820" w:type="dxa"/>
            <w:vAlign w:val="bottom"/>
          </w:tcPr>
          <w:p>
            <w:pPr>
              <w:ind w:left="200"/>
              <w:spacing w:after="0" w:line="152" w:lineRule="exact"/>
              <w:rPr>
                <w:sz w:val="20"/>
                <w:szCs w:val="20"/>
                <w:color w:val="auto"/>
              </w:rPr>
            </w:pPr>
            <w:r>
              <w:rPr>
                <w:rFonts w:ascii="Arial" w:cs="Arial" w:eastAsia="Arial" w:hAnsi="Arial"/>
                <w:sz w:val="16"/>
                <w:szCs w:val="16"/>
                <w:color w:val="auto"/>
              </w:rPr>
              <w:t>Net assets less noncontrolling</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3"/>
                <w:szCs w:val="13"/>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3"/>
                <w:szCs w:val="13"/>
                <w:color w:val="auto"/>
              </w:rPr>
            </w:pPr>
          </w:p>
        </w:tc>
        <w:tc>
          <w:tcPr>
            <w:tcW w:w="460" w:type="dxa"/>
            <w:vAlign w:val="bottom"/>
            <w:vMerge w:val="restart"/>
          </w:tcPr>
          <w:p>
            <w:pPr>
              <w:jc w:val="right"/>
              <w:ind w:right="181"/>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3"/>
                <w:szCs w:val="13"/>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3"/>
                <w:szCs w:val="13"/>
                <w:color w:val="auto"/>
              </w:rPr>
            </w:pPr>
          </w:p>
        </w:tc>
        <w:tc>
          <w:tcPr>
            <w:tcW w:w="26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820" w:type="dxa"/>
            <w:vAlign w:val="bottom"/>
          </w:tcPr>
          <w:p>
            <w:pPr>
              <w:ind w:left="120"/>
              <w:spacing w:after="0" w:line="197" w:lineRule="exact"/>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4"/>
        <w:spacing w:after="0"/>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70" w:lineRule="exact"/>
        <w:rPr>
          <w:rFonts w:ascii="Arial" w:cs="Arial" w:eastAsia="Arial" w:hAnsi="Arial"/>
          <w:sz w:val="21"/>
          <w:szCs w:val="21"/>
          <w:color w:val="auto"/>
          <w:vertAlign w:val="superscript"/>
        </w:rPr>
      </w:pPr>
    </w:p>
    <w:p>
      <w:pPr>
        <w:ind w:left="180" w:hanging="174"/>
        <w:spacing w:after="0" w:line="183" w:lineRule="auto"/>
        <w:tabs>
          <w:tab w:leader="none" w:pos="18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LLC consolidates Mesquite Star Tax Equity Holdco LLC and Black Rock TE Holdco LLC, which are also consolidated VIEs.</w:t>
      </w:r>
    </w:p>
    <w:p>
      <w:pPr>
        <w:spacing w:after="0" w:line="92" w:lineRule="exact"/>
        <w:rPr>
          <w:rFonts w:ascii="Arial" w:cs="Arial" w:eastAsia="Arial" w:hAnsi="Arial"/>
          <w:sz w:val="19"/>
          <w:szCs w:val="19"/>
          <w:color w:val="auto"/>
          <w:vertAlign w:val="superscript"/>
        </w:rPr>
      </w:pPr>
    </w:p>
    <w:p>
      <w:pPr>
        <w:ind w:left="180" w:hanging="174"/>
        <w:spacing w:after="0" w:line="188" w:lineRule="auto"/>
        <w:tabs>
          <w:tab w:leader="none" w:pos="18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2 LLC consolidates Mesquite Sky TE Holdco LLC, which is also a consolidated VIE.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Oahu</w:t>
            </w:r>
          </w:p>
        </w:tc>
        <w:tc>
          <w:tcPr>
            <w:tcW w:w="13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Pinnacle Repowering</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Rattlesnake TE Holdco</w:t>
            </w:r>
          </w:p>
        </w:tc>
        <w:tc>
          <w:tcPr>
            <w:tcW w:w="14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Rosie Target Co LLC</w:t>
            </w:r>
          </w:p>
        </w:tc>
        <w:tc>
          <w:tcPr>
            <w:tcW w:w="13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Wildorado TE Holdco</w:t>
            </w:r>
          </w:p>
        </w:tc>
        <w:tc>
          <w:tcPr>
            <w:tcW w:w="280" w:type="dxa"/>
            <w:vAlign w:val="bottom"/>
          </w:tcPr>
          <w:p>
            <w:pPr>
              <w:spacing w:after="0"/>
              <w:rPr>
                <w:sz w:val="12"/>
                <w:szCs w:val="12"/>
                <w:color w:val="auto"/>
              </w:rPr>
            </w:pPr>
          </w:p>
        </w:tc>
        <w:tc>
          <w:tcPr>
            <w:tcW w:w="1020" w:type="dxa"/>
            <w:vAlign w:val="bottom"/>
            <w:vMerge w:val="restart"/>
          </w:tcPr>
          <w:p>
            <w:pPr>
              <w:jc w:val="right"/>
              <w:ind w:right="335"/>
              <w:spacing w:after="0"/>
              <w:rPr>
                <w:sz w:val="20"/>
                <w:szCs w:val="20"/>
                <w:color w:val="auto"/>
              </w:rPr>
            </w:pPr>
            <w:r>
              <w:rPr>
                <w:rFonts w:ascii="Arial" w:cs="Arial" w:eastAsia="Arial" w:hAnsi="Arial"/>
                <w:sz w:val="12"/>
                <w:szCs w:val="12"/>
                <w:b w:val="1"/>
                <w:bCs w:val="1"/>
                <w:color w:val="auto"/>
              </w:rPr>
              <w:t>Other(a)</w:t>
            </w:r>
          </w:p>
        </w:tc>
        <w:tc>
          <w:tcPr>
            <w:tcW w:w="0" w:type="dxa"/>
            <w:vAlign w:val="bottom"/>
          </w:tcPr>
          <w:p>
            <w:pPr>
              <w:spacing w:after="0"/>
              <w:rPr>
                <w:sz w:val="1"/>
                <w:szCs w:val="1"/>
                <w:color w:val="auto"/>
              </w:rPr>
            </w:pPr>
          </w:p>
        </w:tc>
      </w:tr>
      <w:tr>
        <w:trPr>
          <w:trHeight w:val="166"/>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Solar Partnership</w:t>
            </w: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Partnership LLC</w:t>
            </w:r>
          </w:p>
        </w:tc>
        <w:tc>
          <w:tcPr>
            <w:tcW w:w="32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LLC</w:t>
            </w:r>
          </w:p>
        </w:tc>
        <w:tc>
          <w:tcPr>
            <w:tcW w:w="140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0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304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3040" w:type="dxa"/>
            <w:vAlign w:val="bottom"/>
          </w:tcPr>
          <w:p>
            <w:pPr>
              <w:ind w:left="120"/>
              <w:spacing w:after="0"/>
              <w:rPr>
                <w:sz w:val="20"/>
                <w:szCs w:val="20"/>
                <w:color w:val="auto"/>
              </w:rPr>
            </w:pPr>
            <w:r>
              <w:rPr>
                <w:rFonts w:ascii="Arial" w:cs="Arial" w:eastAsia="Arial" w:hAnsi="Arial"/>
                <w:sz w:val="18"/>
                <w:szCs w:val="18"/>
                <w:color w:val="auto"/>
                <w:w w:val="92"/>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4"/>
        <w:spacing w:after="0"/>
        <w:tabs>
          <w:tab w:leader="none" w:pos="18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157" w:lineRule="exact"/>
        <w:rPr>
          <w:sz w:val="20"/>
          <w:szCs w:val="20"/>
          <w:color w:val="auto"/>
        </w:rPr>
      </w:pPr>
    </w:p>
    <w:p>
      <w:pPr>
        <w:jc w:val="both"/>
        <w:ind w:right="80" w:firstLine="396"/>
        <w:spacing w:after="0" w:line="280" w:lineRule="auto"/>
        <w:rPr>
          <w:sz w:val="20"/>
          <w:szCs w:val="20"/>
          <w:color w:val="auto"/>
        </w:rPr>
      </w:pPr>
      <w:r>
        <w:rPr>
          <w:rFonts w:ascii="Arial" w:cs="Arial" w:eastAsia="Arial" w:hAnsi="Arial"/>
          <w:sz w:val="16"/>
          <w:szCs w:val="16"/>
          <w:b w:val="1"/>
          <w:bCs w:val="1"/>
          <w:i w:val="1"/>
          <w:iCs w:val="1"/>
          <w:color w:val="auto"/>
        </w:rPr>
        <w:t xml:space="preserve">Pinnacle Repowering Partnership LLC — </w:t>
      </w:r>
      <w:r>
        <w:rPr>
          <w:rFonts w:ascii="Arial" w:cs="Arial" w:eastAsia="Arial" w:hAnsi="Arial"/>
          <w:sz w:val="16"/>
          <w:szCs w:val="16"/>
          <w:color w:val="auto"/>
        </w:rPr>
        <w:t>On February 26, 2021, the Company entered into an amended agreement with CWSP Pinnacle Holding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 indirect subsidiary of CEG, with respect to Pinnacle Repowering Partnership LLC in order to facilitate the repowering of the Pinnacle wind project, a 54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879" w:right="259" w:bottom="1440" w:gutter="0" w:footer="0" w:header="0"/>
        </w:sectPr>
      </w:pPr>
    </w:p>
    <w:bookmarkStart w:id="118" w:name="page119"/>
    <w:bookmarkEnd w:id="118"/>
    <w:p>
      <w:pPr>
        <w:jc w:val="both"/>
        <w:ind w:firstLine="396"/>
        <w:spacing w:after="0" w:line="285" w:lineRule="auto"/>
        <w:rPr>
          <w:sz w:val="20"/>
          <w:szCs w:val="20"/>
          <w:color w:val="auto"/>
        </w:rPr>
      </w:pPr>
      <w:r>
        <w:rPr>
          <w:rFonts w:ascii="Arial" w:cs="Arial" w:eastAsia="Arial" w:hAnsi="Arial"/>
          <w:sz w:val="16"/>
          <w:szCs w:val="16"/>
          <w:color w:val="auto"/>
        </w:rPr>
        <w:t>On December 15, 2021, in connection with the completion of the repowering of the project, a third-party tax equity investor acquired the Class A membership interests in Pinnacle Tax Equity Holdco LLC, which is a tax equity fund, and the holder of the Pinnacle wind project, for $48 million. The Company consolidates Pinnacle Tax Equity Holdco LLC, as primary beneficiary through its consolidated subsidiary Pinnacle Repowering Partnership LLC, who acts as managing member. In addition, upon completion of the repowering, the Company made a payment of $64 million, which was utilized along with the proceeds of the tax equity investment to repay the outstanding debt under the financing agreement referenced above. The Company utilizes the HLBV method to determine the net income or loss allocated to tax equity noncontrolling interest.</w:t>
      </w:r>
    </w:p>
    <w:p>
      <w:pPr>
        <w:spacing w:after="0" w:line="114"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b w:val="1"/>
          <w:bCs w:val="1"/>
          <w:i w:val="1"/>
          <w:iCs w:val="1"/>
          <w:color w:val="auto"/>
        </w:rPr>
        <w:t xml:space="preserve">Rattlesnake TE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January 12, 2021, the Company acquired CEG's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a third-party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 The Company utilizes the HLBV method to determine the net income or loss allocated to tax equity noncontrolling interest.</w:t>
      </w:r>
    </w:p>
    <w:p>
      <w:pPr>
        <w:spacing w:after="0" w:line="117"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b w:val="1"/>
          <w:bCs w:val="1"/>
          <w:i w:val="1"/>
          <w:iCs w:val="1"/>
          <w:color w:val="auto"/>
        </w:rPr>
        <w:t xml:space="preserve">DGPV Holdco 3 Consolidation — </w:t>
      </w:r>
      <w:r>
        <w:rPr>
          <w:rFonts w:ascii="Arial" w:cs="Arial" w:eastAsia="Arial" w:hAnsi="Arial"/>
          <w:sz w:val="16"/>
          <w:szCs w:val="16"/>
          <w:color w:val="auto"/>
        </w:rPr>
        <w:t>DGPV Holdco 3 LLC or DGPV Holdco 3 owned approximately 113 MW of Distributed Solar capacity, based on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be distributed, with a weighted average remaining contract life of approximately 21 years.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records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equity method investment in DGPV Holdco 3 of $155 million as of May 29, 2020 and recorded the difference between the net assets consolidated and the investment balance as a reduction to noncontrolling interests. The Company acquired CEG's interest in DGPV Holdco 3 on November 2, 2020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and below</w:t>
      </w:r>
      <w:r>
        <w:rPr>
          <w:rFonts w:ascii="Arial" w:cs="Arial" w:eastAsia="Arial" w:hAnsi="Arial"/>
          <w:sz w:val="16"/>
          <w:szCs w:val="16"/>
          <w:i w:val="1"/>
          <w:iCs w:val="1"/>
          <w:color w:val="auto"/>
        </w:rPr>
        <w:t>.</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Prior to the reconsideration event described above, the Company invested $10 million of cash in DGPV Holdco 3 during the first half of 2020.</w:t>
      </w:r>
    </w:p>
    <w:p>
      <w:pPr>
        <w:spacing w:after="0" w:line="159"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DGPV Tax Equity Funds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November 2, 2020, the Company acquired the Class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interests in DGPV Holdco 1, DGPV Holdco 2 and DGPV Holdco 3, or the DGPV Holdco Entities, from Renew DG Holdings LLC, a subsidiary of CEG.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above. Concurrent with the acquisition, the Company transferred its interests to DG-CS Master Borrower LLC. Effective with the acquisition of the Class B membership interests of the DGPV Holdco Entities, the Company consolidates all of the DGPV Holdco Entities, including DG-CS Master Borrower LLC, and its subsidiaries, which consist of seven projects including six tax equity funds that collectively own approximately 172 distributed solar projects with a combined 286 MW of capacity. Each of the six tax equity funds is a VIE, where the Company is the primary beneficiary and consolidates the fund, with the tax equity investor's interest shown as noncontrolling interest or redeemable noncontrolling interest. The Company utilizes the HLBV method to determine its share of the income or losses in the investees. The Company removed its equity method investments in DGPV Holdco 1 and DGPV Holdco 2 of $144 million as of November 2, 2020 and recorded the difference between the net assets consolidated and the investment balance as a reduction to noncontrolling interests.</w:t>
      </w:r>
    </w:p>
    <w:p>
      <w:pPr>
        <w:spacing w:after="0" w:line="118"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b w:val="1"/>
          <w:bCs w:val="1"/>
          <w:i w:val="1"/>
          <w:iCs w:val="1"/>
          <w:color w:val="auto"/>
        </w:rPr>
        <w:t xml:space="preserve">Langford Tax Equity Partnership, LLC </w:t>
      </w:r>
      <w:r>
        <w:rPr>
          <w:rFonts w:ascii="Arial" w:cs="Arial" w:eastAsia="Arial" w:hAnsi="Arial"/>
          <w:sz w:val="16"/>
          <w:szCs w:val="16"/>
          <w:color w:val="auto"/>
        </w:rPr>
        <w:t>— 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November 20, 2020, the Company acquired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Class B membership interest in Langford Holding LLC from CEG for $55 million as well as 100% of the Class A membership interests in Langford Holding LLC from a third-party investor for $9 million. Langford Holding LLC owns 100% of the membership interests in Langford Class B Holdco LLC, which owns 100% of the Class B interest in Langford Tax Equity Partnership LLC, which indirectly owns 100% of the interest in a 160 MW wind project. Langford Tax Equity Partnership LLC is a variable interest entity. The Company is the primary beneficiary, through its position as managing member, and indirectly consolidates Langford Tax Equity Partnership LLC, through Langford Class B Holdco LLC. The Class A member is a tax equity investor whose interest is reflected as noncontrolling interest on the Company's consolidated balance sheet. The project achieved repowering COD in November 2020. The Company utilizes the HLBV method for income or loss allocation to the tax equity investor's noncontrolling interest.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9" w:name="page120"/>
    <w:bookmarkEnd w:id="119"/>
    <w:p>
      <w:pPr>
        <w:ind w:left="400"/>
        <w:spacing w:after="0"/>
        <w:rPr>
          <w:sz w:val="20"/>
          <w:szCs w:val="20"/>
          <w:color w:val="auto"/>
        </w:rPr>
      </w:pPr>
      <w:r>
        <w:rPr>
          <w:rFonts w:ascii="Arial" w:cs="Arial" w:eastAsia="Arial" w:hAnsi="Arial"/>
          <w:sz w:val="18"/>
          <w:szCs w:val="18"/>
          <w:b w:val="1"/>
          <w:bCs w:val="1"/>
          <w:i w:val="1"/>
          <w:iCs w:val="1"/>
          <w:color w:val="auto"/>
        </w:rPr>
        <w:t>Lighthouse Partnership Arrangements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b w:val="1"/>
          <w:bCs w:val="1"/>
          <w:i w:val="1"/>
          <w:iCs w:val="1"/>
          <w:color w:val="auto"/>
        </w:rPr>
        <w:t xml:space="preserve">Lighthouse Renewable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September 1, 2020, the Company, through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subsidiary Lighthouse Renewable Class A LLC, acquired the Class A membership interests in Lighthouse Renewable Holdco LLC (formerly Mesquite Star Pledgor LLC) from Clearway Renew LLC, a subsidiary of CEG. Lighthouse Renewable Holdco LLC is a VIE and at the time of the acquisition the Company was not the primary beneficiary. Accordingly, the Company recorded the acquired interest as an equity method investment.</w:t>
      </w:r>
    </w:p>
    <w:p>
      <w:pPr>
        <w:spacing w:after="0" w:line="107" w:lineRule="exact"/>
        <w:rPr>
          <w:sz w:val="20"/>
          <w:szCs w:val="20"/>
          <w:color w:val="auto"/>
        </w:rPr>
      </w:pPr>
    </w:p>
    <w:p>
      <w:pPr>
        <w:jc w:val="both"/>
        <w:ind w:firstLine="633"/>
        <w:spacing w:after="0" w:line="279" w:lineRule="auto"/>
        <w:rPr>
          <w:sz w:val="20"/>
          <w:szCs w:val="20"/>
          <w:color w:val="auto"/>
        </w:rPr>
      </w:pPr>
      <w:r>
        <w:rPr>
          <w:rFonts w:ascii="Arial" w:cs="Arial" w:eastAsia="Arial" w:hAnsi="Arial"/>
          <w:sz w:val="16"/>
          <w:szCs w:val="16"/>
          <w:color w:val="auto"/>
        </w:rPr>
        <w:t xml:space="preserve">On December 21, 2020, CEG sold its Class B membership interest in Lighthouse Renewable Holdco LLC to a third-party investor which resulted in a reconsideration event for consolidation of the entity. Upon the reconsideration event, the Company determined that it was the primary beneficiary of Lighthouse Renewable Holdco LLC. As such, effective on December 21, 2020, the Company consolidates Lighthouse Renewable Holdco LLC, and shows the Class B interests owned by the third-party investor as noncontrolling interests on the Company’s consolidated balance sheet. Through its Class A membership interests, the Company receives 50.01% of income and distributable cash. In addition, Lighthouse Renewable Holdco LLC holds the Class B interests in a tax equity fund, Mesquite Star Tax Equity Holdco LLC, that holds the Mesquite Star project. The tax equity investor's interest is shown as noncontrolling interest. The HLBV method is utilized to allocate the income or losses of Mesquite Star Tax Equity Holdco LLC. As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on December 29, 2021, Lighthouse Renewable Holdco LLC, through its indirect wholly-owned subsidiary, Lighthouse Renewable Holding Sub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LLC, acquired the Class B interests in a partnership, Black Rock Wind Holding LLC, which consolidates, as the direct owner of the primary beneficiary, a tax equity fund, Black Rock TE Holdco LLC, that holds the Black Rock wind project. The tax equity investor’s interest is shown as noncontrolling interest and the HLBV method is utilized to allocate the income or losses of Black Rock TE Holdco LLC.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third-party investor in Lighthouse Renewable Holdco LLC also acquired and contributed an interest in Black Rock Wind Holding LLC to Lighthouse Renewable Holdco LLC. The Company recorded the related noncontrolling interest at historical carrying amount, with the offset to contributed capital.</w:t>
      </w:r>
    </w:p>
    <w:p>
      <w:pPr>
        <w:spacing w:after="0" w:line="121"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b w:val="1"/>
          <w:bCs w:val="1"/>
          <w:i w:val="1"/>
          <w:iCs w:val="1"/>
          <w:color w:val="auto"/>
        </w:rPr>
        <w:t xml:space="preserve">Lighthouse Renewable Holdco 2 LLC — </w:t>
      </w:r>
      <w:r>
        <w:rPr>
          <w:rFonts w:ascii="Arial" w:cs="Arial" w:eastAsia="Arial" w:hAnsi="Arial"/>
          <w:sz w:val="16"/>
          <w:szCs w:val="16"/>
          <w:color w:val="auto"/>
        </w:rPr>
        <w:t>On December 17, 2021, the Company formed Lighthouse Renewable Holdco 2 LLC, a partnership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Company and a third-party investor. Lighthouse Renewable Holdco 2 LLC is a VIE and the Company is the primary beneficiary, through its role as managing member.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on December 17, 2021, Lighthouse Renewable Holdco 2 LLC acquired the Class B interests in a partnership, Mesquite Sky Holding LLC, which consolidates, as the direct owner of the primary beneficiary, a tax equity fund, Mesquite Sky TE Holdco LLC, that holds the Mesquite Sky wind project. The tax equity investor’s interest is shown as noncontrolling interest and the HLBV method is utilized to allocate the income or losses of Mesquite Sky TE Holdco LLC.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third-party investor in Lighthouse Renewable Holdco 2 LLC also acquired and contributed an interest in Mesquite Sky Holding LLC to Lighthouse Renewable Holdco 2 LLC. The Company recorded the related noncontrolling interest at historical carrying amount, with the offset to contributed capital.</w:t>
      </w:r>
    </w:p>
    <w:p>
      <w:pPr>
        <w:spacing w:after="0" w:line="11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b w:val="1"/>
          <w:bCs w:val="1"/>
          <w:i w:val="1"/>
          <w:iCs w:val="1"/>
          <w:color w:val="auto"/>
        </w:rPr>
        <w:t xml:space="preserve">Rosie TargetCo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December 21, 2020, the Company acquired 100% of CEG's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membership interests of Rosie TargetCo LLC which owns 100% interest in Rosie Class B LLC, which in turn owns 100% of the Class B membership interest of Rosie TE Holdco LLC. The Company consolidates Rosie TargetCo LLC as a VIE as the Company is the primary beneficiary, through its role as managing member. The Class B membership interest of Rosie TargetCo LLC is owned by a third-party investor and is reflected as noncontrolling interest on the Company’s consolidated balance sheet. Through its Class A membership interests in Rosie TargetCo LLC, the Company receives 50% of income and distributable cash. Rosie TargetCo indirectly consolidates Rosie TE Holdco LLC, which is also a VIE. The tax equity investor's interest is shown as noncontrolling interest. The HLBV method is utilized to allocate the income or losses of Rosie TE Holdco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0" w:name="page121"/>
    <w:bookmarkEnd w:id="120"/>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Kawailoa Partnership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31, 2018, the Company entered into an agreement with Clearway Renew LLC, a subsidiary of CEG, to acquire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cash paid and payable recorded and the historical value of the assets was recorded as a distribution to CEG and decreased the balance of its noncontrolling interest.</w:t>
      </w:r>
    </w:p>
    <w:p>
      <w:pPr>
        <w:spacing w:after="0" w:line="11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of 2019.</w:t>
      </w:r>
    </w:p>
    <w:p>
      <w:pPr>
        <w:spacing w:after="0" w:line="111"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b w:val="1"/>
          <w:bCs w:val="1"/>
          <w:i w:val="1"/>
          <w:iCs w:val="1"/>
          <w:color w:val="auto"/>
        </w:rPr>
        <w:t xml:space="preserve">Oahu Partnership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31, 2018, the Company entered into an agreement with Clearway Renew LLC, a subsidiary of CEG, to acquire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with rated capacity of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 further described in Note 10</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and payable recorded and the historical value of the assets was recorded as a contribution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CEG and increased the balance of its noncontrolling interest.</w:t>
      </w:r>
    </w:p>
    <w:p>
      <w:pPr>
        <w:spacing w:after="0" w:line="117"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Upon reaching COD in September 2019, the Oahu Solar projects' fixed assets were placed in service and began to depreciate. On November 12, 2019, the tax equity investor made its final tax-equity contribution of $71 million and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of 2019.</w:t>
      </w:r>
    </w:p>
    <w:p>
      <w:pPr>
        <w:spacing w:after="0" w:line="107" w:lineRule="exact"/>
        <w:rPr>
          <w:sz w:val="20"/>
          <w:szCs w:val="20"/>
          <w:color w:val="auto"/>
        </w:rPr>
      </w:pPr>
    </w:p>
    <w:p>
      <w:pPr>
        <w:jc w:val="both"/>
        <w:ind w:right="80" w:firstLine="396"/>
        <w:spacing w:after="0" w:line="286" w:lineRule="auto"/>
        <w:rPr>
          <w:sz w:val="20"/>
          <w:szCs w:val="20"/>
          <w:color w:val="auto"/>
        </w:rPr>
      </w:pPr>
      <w:r>
        <w:rPr>
          <w:rFonts w:ascii="Arial" w:cs="Arial" w:eastAsia="Arial" w:hAnsi="Arial"/>
          <w:sz w:val="16"/>
          <w:szCs w:val="16"/>
          <w:b w:val="1"/>
          <w:bCs w:val="1"/>
          <w:i w:val="1"/>
          <w:iCs w:val="1"/>
          <w:color w:val="auto"/>
        </w:rPr>
        <w:t xml:space="preserve">Repowering Partnership II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30, 2018, Wind TE Holdco, an indirect subsidiary of the Company, formed Repowering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both"/>
        <w:ind w:firstLine="396"/>
        <w:spacing w:after="0" w:line="253" w:lineRule="auto"/>
        <w:rPr>
          <w:sz w:val="20"/>
          <w:szCs w:val="20"/>
          <w:color w:val="auto"/>
        </w:rPr>
      </w:pPr>
      <w:r>
        <w:rPr>
          <w:rFonts w:ascii="Arial" w:cs="Arial" w:eastAsia="Arial" w:hAnsi="Arial"/>
          <w:sz w:val="18"/>
          <w:szCs w:val="18"/>
          <w:color w:val="auto"/>
        </w:rPr>
        <w:t xml:space="preserve">On June 14, 2019, Repowering Partnership LLC was replaced with Repowering Partnership II LLC as the owner of the Elbow Creek and Wildorado Wind projects as well as Repowering Partnership Holdco LLC, which concurrently entered into a financing agreement for construction debt commitment totaling $352 million, as further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37"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Repowering of the Elbow Creek project was completed and on November 26, 2019, a third-party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combined proceeds from the tax equity investor and the Company. The Company 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 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122"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 xml:space="preserve">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The third-party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 the Wildorado TE Holdco closing, the allocations of income at Repowering Partnership II LLC changed to 60.14% for Wind TE Holdco LLC (the Company member) and 39.86% for CWSP Wildorado Elbow Holding LLC (the CEG member).</w:t>
      </w:r>
    </w:p>
    <w:p>
      <w:pPr>
        <w:spacing w:after="0" w:line="11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w:t>
      </w:r>
      <w:r>
        <w:rPr>
          <w:rFonts w:ascii="Arial" w:cs="Arial" w:eastAsia="Arial" w:hAnsi="Arial"/>
          <w:sz w:val="16"/>
          <w:szCs w:val="16"/>
          <w:color w:val="231F20"/>
        </w:rPr>
        <w:t>The Company removed the related noncontrolling interest balance of $8 million and recorded the difference between</w:t>
      </w:r>
      <w:r>
        <w:rPr>
          <w:rFonts w:ascii="Arial" w:cs="Arial" w:eastAsia="Arial" w:hAnsi="Arial"/>
          <w:sz w:val="16"/>
          <w:szCs w:val="16"/>
          <w:color w:val="auto"/>
        </w:rPr>
        <w:t xml:space="preserve"> </w:t>
      </w:r>
      <w:r>
        <w:rPr>
          <w:rFonts w:ascii="Arial" w:cs="Arial" w:eastAsia="Arial" w:hAnsi="Arial"/>
          <w:sz w:val="16"/>
          <w:szCs w:val="16"/>
          <w:color w:val="231F20"/>
        </w:rPr>
        <w:t xml:space="preserve">the cash paid and the noncontrolling interest balance removed as a reduction to noncontrolling interests. </w:t>
      </w:r>
      <w:r>
        <w:rPr>
          <w:rFonts w:ascii="Arial" w:cs="Arial" w:eastAsia="Arial" w:hAnsi="Arial"/>
          <w:sz w:val="16"/>
          <w:szCs w:val="16"/>
          <w:color w:val="000000"/>
        </w:rPr>
        <w:t>The Company utilizes the HLBV method to determine</w:t>
      </w:r>
      <w:r>
        <w:rPr>
          <w:rFonts w:ascii="Arial" w:cs="Arial" w:eastAsia="Arial" w:hAnsi="Arial"/>
          <w:sz w:val="16"/>
          <w:szCs w:val="16"/>
          <w:color w:val="231F20"/>
        </w:rPr>
        <w:t xml:space="preserve"> </w:t>
      </w:r>
      <w:r>
        <w:rPr>
          <w:rFonts w:ascii="Arial" w:cs="Arial" w:eastAsia="Arial" w:hAnsi="Arial"/>
          <w:sz w:val="16"/>
          <w:szCs w:val="16"/>
          <w:color w:val="000000"/>
        </w:rPr>
        <w:t>the net income or loss allocated to tax equity noncontrolling interest.</w:t>
      </w:r>
    </w:p>
    <w:p>
      <w:pPr>
        <w:spacing w:after="0" w:line="108"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b w:val="1"/>
          <w:bCs w:val="1"/>
          <w:i w:val="1"/>
          <w:iCs w:val="1"/>
          <w:color w:val="auto"/>
        </w:rPr>
        <w:t xml:space="preserve">Alta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2015, the Company sold an economic interest in Alta TE Holdco to a financial institution in order to monetize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distributable cash will change to 97.12%, unless the flip point will not have occurred by a specified date, which would result in 100% of distributable cash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5"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b w:val="1"/>
          <w:bCs w:val="1"/>
          <w:i w:val="1"/>
          <w:iCs w:val="1"/>
          <w:color w:val="auto"/>
        </w:rPr>
        <w:t xml:space="preserve">Spring Canyon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holds 90.1% of the Class B interests in Spring Canyon II, a 32 MW wind facility, and Spring Canyon III, a 28 MW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0" w:lineRule="exact"/>
        <w:rPr>
          <w:sz w:val="20"/>
          <w:szCs w:val="20"/>
          <w:color w:val="auto"/>
        </w:rPr>
      </w:pPr>
    </w:p>
    <w:p>
      <w:pPr>
        <w:ind w:left="1200" w:hanging="245"/>
        <w:spacing w:after="0" w:line="262" w:lineRule="auto"/>
        <w:tabs>
          <w:tab w:leader="none" w:pos="1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22" w:lineRule="exact"/>
        <w:rPr>
          <w:rFonts w:ascii="Arial" w:cs="Arial" w:eastAsia="Arial" w:hAnsi="Arial"/>
          <w:sz w:val="18"/>
          <w:szCs w:val="18"/>
          <w:color w:val="auto"/>
        </w:rPr>
      </w:pPr>
    </w:p>
    <w:p>
      <w:pPr>
        <w:ind w:left="1200" w:hanging="245"/>
        <w:spacing w:after="0" w:line="262" w:lineRule="auto"/>
        <w:tabs>
          <w:tab w:leader="none" w:pos="1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22" w:lineRule="exact"/>
        <w:rPr>
          <w:rFonts w:ascii="Arial" w:cs="Arial" w:eastAsia="Arial" w:hAnsi="Arial"/>
          <w:sz w:val="18"/>
          <w:szCs w:val="18"/>
          <w:color w:val="auto"/>
        </w:rPr>
      </w:pPr>
    </w:p>
    <w:p>
      <w:pPr>
        <w:ind w:left="1200" w:hanging="245"/>
        <w:spacing w:after="0" w:line="262" w:lineRule="auto"/>
        <w:tabs>
          <w:tab w:leader="none" w:pos="1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7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2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For cash and cash equivalents, restricted cash, accounts receivable — trade, accounts payable — trade, accounts payable — affiliates and accrued expenses and current other liabilities, the carrying amounts approximates fair value because of the short-term maturity of those instruments and are classified as Level 1 within the fair value hierarchy.</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 2021</w:t>
            </w:r>
          </w:p>
        </w:tc>
        <w:tc>
          <w:tcPr>
            <w:tcW w:w="400" w:type="dxa"/>
            <w:vAlign w:val="bottom"/>
          </w:tcPr>
          <w:p>
            <w:pPr>
              <w:spacing w:after="0"/>
              <w:rPr>
                <w:sz w:val="16"/>
                <w:szCs w:val="16"/>
                <w:color w:val="auto"/>
              </w:rPr>
            </w:pPr>
          </w:p>
        </w:tc>
        <w:tc>
          <w:tcPr>
            <w:tcW w:w="210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w w:val="94"/>
              </w:rPr>
              <w:t>As of December 31, 2020</w:t>
            </w:r>
          </w:p>
        </w:tc>
      </w:tr>
      <w:tr>
        <w:trPr>
          <w:trHeight w:val="183"/>
        </w:trPr>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Carrying Amount</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Fair Value</w:t>
            </w:r>
          </w:p>
        </w:tc>
      </w:tr>
      <w:tr>
        <w:trPr>
          <w:trHeight w:val="178"/>
        </w:trPr>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Long-term debt, including current portion — affiliate</w:t>
            </w:r>
          </w:p>
        </w:tc>
        <w:tc>
          <w:tcPr>
            <w:tcW w:w="300" w:type="dxa"/>
            <w:vAlign w:val="bottom"/>
          </w:tcPr>
          <w:p>
            <w:pPr>
              <w:jc w:val="right"/>
              <w:ind w:right="12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060" w:type="dxa"/>
            <w:vAlign w:val="bottom"/>
            <w:gridSpan w:val="2"/>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2"/>
                <w:szCs w:val="22"/>
                <w:color w:val="auto"/>
                <w:vertAlign w:val="superscript"/>
              </w:rPr>
              <w:t>(a)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7,782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7,048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171"/>
        </w:trPr>
        <w:tc>
          <w:tcPr>
            <w:tcW w:w="2180" w:type="dxa"/>
            <w:vAlign w:val="bottom"/>
            <w:tcBorders>
              <w:bottom w:val="single" w:sz="8" w:color="auto"/>
            </w:tcBorders>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09" w:lineRule="exact"/>
        <w:rPr>
          <w:sz w:val="20"/>
          <w:szCs w:val="20"/>
          <w:color w:val="auto"/>
        </w:rPr>
      </w:pPr>
    </w:p>
    <w:p>
      <w:pPr>
        <w:ind w:left="160" w:hanging="154"/>
        <w:spacing w:after="0"/>
        <w:tabs>
          <w:tab w:leader="none" w:pos="160" w:val="left"/>
        </w:tabs>
        <w:numPr>
          <w:ilvl w:val="0"/>
          <w:numId w:val="70"/>
        </w:numPr>
        <w:rPr>
          <w:rFonts w:ascii="Arial" w:cs="Arial" w:eastAsia="Arial" w:hAnsi="Arial"/>
          <w:sz w:val="17"/>
          <w:szCs w:val="17"/>
          <w:color w:val="auto"/>
          <w:vertAlign w:val="superscript"/>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45"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2021 and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Pr>
          <w:p>
            <w:pPr>
              <w:spacing w:after="0"/>
              <w:rPr>
                <w:sz w:val="16"/>
                <w:szCs w:val="16"/>
                <w:color w:val="auto"/>
              </w:rPr>
            </w:pPr>
          </w:p>
        </w:tc>
        <w:tc>
          <w:tcPr>
            <w:tcW w:w="21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w w:val="98"/>
              </w:rPr>
              <w:t>As of December 31, 2020</w:t>
            </w:r>
          </w:p>
        </w:tc>
      </w:tr>
      <w:tr>
        <w:trPr>
          <w:trHeight w:val="183"/>
        </w:trPr>
        <w:tc>
          <w:tcPr>
            <w:tcW w:w="60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3</w:t>
            </w:r>
          </w:p>
        </w:tc>
      </w:tr>
      <w:tr>
        <w:trPr>
          <w:trHeight w:val="178"/>
        </w:trPr>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2,160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5,115</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62" w:lineRule="exact"/>
        <w:rPr>
          <w:sz w:val="20"/>
          <w:szCs w:val="20"/>
          <w:color w:val="auto"/>
        </w:rPr>
      </w:pPr>
    </w:p>
    <w:p>
      <w:pPr>
        <w:jc w:val="both"/>
        <w:ind w:firstLine="396"/>
        <w:spacing w:after="0" w:line="350" w:lineRule="auto"/>
        <w:rPr>
          <w:sz w:val="20"/>
          <w:szCs w:val="20"/>
          <w:color w:val="auto"/>
        </w:rPr>
      </w:pPr>
      <w:r>
        <w:rPr>
          <w:rFonts w:ascii="Arial" w:cs="Arial" w:eastAsia="Arial" w:hAnsi="Arial"/>
          <w:sz w:val="15"/>
          <w:szCs w:val="15"/>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4"/>
                <w:szCs w:val="14"/>
                <w:b w:val="1"/>
                <w:bCs w:val="1"/>
                <w:color w:val="auto"/>
                <w:w w:val="88"/>
              </w:rPr>
              <w:t>As of December 31, 2021</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30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8"/>
              <w:spacing w:after="0" w:line="183"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r>
      <w:tr>
        <w:trPr>
          <w:trHeight w:val="177"/>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Level 2</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Level 3</w:t>
            </w:r>
          </w:p>
        </w:tc>
      </w:tr>
      <w:tr>
        <w:trPr>
          <w:trHeight w:val="205"/>
        </w:trPr>
        <w:tc>
          <w:tcPr>
            <w:tcW w:w="3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Derivative assets</w:t>
            </w: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4"/>
        </w:trPr>
        <w:tc>
          <w:tcPr>
            <w:tcW w:w="3020" w:type="dxa"/>
            <w:vAlign w:val="bottom"/>
          </w:tcPr>
          <w:p>
            <w:pPr>
              <w:jc w:val="center"/>
              <w:ind w:right="734"/>
              <w:spacing w:after="0"/>
              <w:rPr>
                <w:sz w:val="20"/>
                <w:szCs w:val="20"/>
                <w:color w:val="auto"/>
              </w:rPr>
            </w:pPr>
            <w:r>
              <w:rPr>
                <w:rFonts w:ascii="Arial" w:cs="Arial" w:eastAsia="Arial" w:hAnsi="Arial"/>
                <w:sz w:val="18"/>
                <w:szCs w:val="18"/>
                <w:color w:val="auto"/>
                <w:w w:val="87"/>
              </w:rPr>
              <w:t>Interest rate contracts</w:t>
            </w:r>
          </w:p>
        </w:tc>
        <w:tc>
          <w:tcPr>
            <w:tcW w:w="1300" w:type="dxa"/>
            <w:vAlign w:val="bottom"/>
          </w:tcPr>
          <w:p>
            <w:pPr>
              <w:jc w:val="right"/>
              <w:ind w:right="111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520" w:type="dxa"/>
            <w:vAlign w:val="bottom"/>
          </w:tcPr>
          <w:p>
            <w:pPr>
              <w:jc w:val="right"/>
              <w:ind w:right="1338"/>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25"/>
        </w:trPr>
        <w:tc>
          <w:tcPr>
            <w:tcW w:w="3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Other financial instruments </w:t>
            </w:r>
            <w:r>
              <w:rPr>
                <w:rFonts w:ascii="Arial" w:cs="Arial" w:eastAsia="Arial" w:hAnsi="Arial"/>
                <w:sz w:val="22"/>
                <w:szCs w:val="22"/>
                <w:color w:val="auto"/>
                <w:vertAlign w:val="superscript"/>
              </w:rPr>
              <w:t>(b)</w:t>
            </w:r>
          </w:p>
        </w:tc>
        <w:tc>
          <w:tcPr>
            <w:tcW w:w="1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29</w:t>
            </w:r>
          </w:p>
        </w:tc>
      </w:tr>
      <w:tr>
        <w:trPr>
          <w:trHeight w:val="217"/>
        </w:trPr>
        <w:tc>
          <w:tcPr>
            <w:tcW w:w="3020" w:type="dxa"/>
            <w:vAlign w:val="bottom"/>
          </w:tcPr>
          <w:p>
            <w:pPr>
              <w:ind w:left="54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top w:val="single" w:sz="8" w:color="auto"/>
              <w:bottom w:val="single" w:sz="8" w:color="auto"/>
            </w:tcBorders>
          </w:tcPr>
          <w:p>
            <w:pPr>
              <w:jc w:val="right"/>
              <w:ind w:right="111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13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29</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1"/>
        </w:trPr>
        <w:tc>
          <w:tcPr>
            <w:tcW w:w="30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Derivative liabilities</w:t>
            </w:r>
          </w:p>
        </w:tc>
        <w:tc>
          <w:tcPr>
            <w:tcW w:w="1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4"/>
        </w:trPr>
        <w:tc>
          <w:tcPr>
            <w:tcW w:w="3020" w:type="dxa"/>
            <w:vAlign w:val="bottom"/>
          </w:tcPr>
          <w:p>
            <w:pPr>
              <w:jc w:val="center"/>
              <w:ind w:right="734"/>
              <w:spacing w:after="0"/>
              <w:rPr>
                <w:sz w:val="20"/>
                <w:szCs w:val="20"/>
                <w:color w:val="auto"/>
              </w:rPr>
            </w:pPr>
            <w:r>
              <w:rPr>
                <w:rFonts w:ascii="Arial" w:cs="Arial" w:eastAsia="Arial" w:hAnsi="Arial"/>
                <w:sz w:val="18"/>
                <w:szCs w:val="18"/>
                <w:color w:val="auto"/>
                <w:w w:val="89"/>
              </w:rPr>
              <w:t>Commodity contracts</w:t>
            </w:r>
          </w:p>
        </w:tc>
        <w:tc>
          <w:tcPr>
            <w:tcW w:w="1300" w:type="dxa"/>
            <w:vAlign w:val="bottom"/>
          </w:tcPr>
          <w:p>
            <w:pPr>
              <w:jc w:val="right"/>
              <w:ind w:right="1118"/>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3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300"/>
              <w:spacing w:after="0"/>
              <w:rPr>
                <w:sz w:val="20"/>
                <w:szCs w:val="20"/>
                <w:color w:val="auto"/>
              </w:rPr>
            </w:pPr>
            <w:r>
              <w:rPr>
                <w:rFonts w:ascii="Arial" w:cs="Arial" w:eastAsia="Arial" w:hAnsi="Arial"/>
                <w:sz w:val="18"/>
                <w:szCs w:val="18"/>
                <w:color w:val="auto"/>
              </w:rPr>
              <w:t>44</w:t>
            </w:r>
          </w:p>
        </w:tc>
      </w:tr>
      <w:tr>
        <w:trPr>
          <w:trHeight w:val="224"/>
        </w:trPr>
        <w:tc>
          <w:tcPr>
            <w:tcW w:w="30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87"/>
              </w:rPr>
              <w:t>Interest rate contracts</w:t>
            </w:r>
          </w:p>
        </w:tc>
        <w:tc>
          <w:tcPr>
            <w:tcW w:w="1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18"/>
        </w:trPr>
        <w:tc>
          <w:tcPr>
            <w:tcW w:w="3020" w:type="dxa"/>
            <w:vAlign w:val="bottom"/>
          </w:tcPr>
          <w:p>
            <w:pPr>
              <w:jc w:val="center"/>
              <w:ind w:right="754"/>
              <w:spacing w:after="0"/>
              <w:rPr>
                <w:sz w:val="20"/>
                <w:szCs w:val="20"/>
                <w:color w:val="auto"/>
              </w:rPr>
            </w:pPr>
            <w:r>
              <w:rPr>
                <w:rFonts w:ascii="Arial" w:cs="Arial" w:eastAsia="Arial" w:hAnsi="Arial"/>
                <w:sz w:val="18"/>
                <w:szCs w:val="18"/>
                <w:b w:val="1"/>
                <w:bCs w:val="1"/>
                <w:color w:val="auto"/>
                <w:w w:val="87"/>
              </w:rPr>
              <w:t>Total liabilities</w:t>
            </w:r>
          </w:p>
        </w:tc>
        <w:tc>
          <w:tcPr>
            <w:tcW w:w="1300" w:type="dxa"/>
            <w:vAlign w:val="bottom"/>
            <w:tcBorders>
              <w:bottom w:val="single" w:sz="8" w:color="auto"/>
            </w:tcBorders>
          </w:tcPr>
          <w:p>
            <w:pPr>
              <w:jc w:val="right"/>
              <w:ind w:right="111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3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44</w:t>
            </w:r>
          </w:p>
        </w:tc>
      </w:tr>
      <w:tr>
        <w:trPr>
          <w:trHeight w:val="20"/>
        </w:trPr>
        <w:tc>
          <w:tcPr>
            <w:tcW w:w="3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140" w:hanging="134"/>
        <w:spacing w:after="0"/>
        <w:tabs>
          <w:tab w:leader="none" w:pos="14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There were no derivative assets classified as Level 1 or Level 3 and no liabilities classified as Level 1 as of December 31, 2021 and December 31, 2020.</w:t>
      </w:r>
    </w:p>
    <w:p>
      <w:pPr>
        <w:spacing w:after="0" w:line="67" w:lineRule="exact"/>
        <w:rPr>
          <w:rFonts w:ascii="Arial" w:cs="Arial" w:eastAsia="Arial" w:hAnsi="Arial"/>
          <w:sz w:val="16"/>
          <w:szCs w:val="16"/>
          <w:color w:val="auto"/>
          <w:vertAlign w:val="superscript"/>
        </w:rPr>
      </w:pPr>
    </w:p>
    <w:p>
      <w:pPr>
        <w:ind w:left="160" w:hanging="154"/>
        <w:spacing w:after="0" w:line="229" w:lineRule="auto"/>
        <w:tabs>
          <w:tab w:leader="none" w:pos="160" w:val="left"/>
        </w:tabs>
        <w:numPr>
          <w:ilvl w:val="0"/>
          <w:numId w:val="71"/>
        </w:numPr>
        <w:rPr>
          <w:rFonts w:ascii="Arial" w:cs="Arial" w:eastAsia="Arial" w:hAnsi="Arial"/>
          <w:sz w:val="17"/>
          <w:szCs w:val="17"/>
          <w:color w:val="auto"/>
          <w:vertAlign w:val="superscript"/>
        </w:rPr>
      </w:pPr>
      <w:r>
        <w:rPr>
          <w:rFonts w:ascii="Arial" w:cs="Arial" w:eastAsia="Arial" w:hAnsi="Arial"/>
          <w:sz w:val="14"/>
          <w:szCs w:val="14"/>
          <w:color w:val="auto"/>
        </w:rPr>
        <w:t>SREC contract acquired on November 2, 2020.</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19"/>
                <w:szCs w:val="19"/>
                <w:color w:val="auto"/>
              </w:rPr>
            </w:pPr>
          </w:p>
        </w:tc>
        <w:tc>
          <w:tcPr>
            <w:tcW w:w="374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8"/>
                <w:szCs w:val="18"/>
                <w:b w:val="1"/>
                <w:bCs w:val="1"/>
                <w:color w:val="auto"/>
                <w:w w:val="87"/>
              </w:rPr>
              <w:t>Year ended December 31,</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00" w:type="dxa"/>
            <w:vAlign w:val="bottom"/>
          </w:tcPr>
          <w:p>
            <w:pPr>
              <w:spacing w:after="0"/>
              <w:rPr>
                <w:sz w:val="18"/>
                <w:szCs w:val="18"/>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00" w:type="dxa"/>
            <w:vAlign w:val="bottom"/>
          </w:tcPr>
          <w:p>
            <w:pPr>
              <w:spacing w:after="0"/>
              <w:rPr>
                <w:sz w:val="14"/>
                <w:szCs w:val="14"/>
                <w:color w:val="auto"/>
              </w:rPr>
            </w:pPr>
          </w:p>
        </w:tc>
        <w:tc>
          <w:tcPr>
            <w:tcW w:w="4340" w:type="dxa"/>
            <w:vAlign w:val="bottom"/>
            <w:gridSpan w:val="5"/>
          </w:tcPr>
          <w:p>
            <w:pPr>
              <w:jc w:val="center"/>
              <w:spacing w:after="0" w:line="164" w:lineRule="exact"/>
              <w:rPr>
                <w:sz w:val="20"/>
                <w:szCs w:val="20"/>
                <w:color w:val="auto"/>
              </w:rPr>
            </w:pPr>
            <w:r>
              <w:rPr>
                <w:rFonts w:ascii="Arial" w:cs="Arial" w:eastAsia="Arial" w:hAnsi="Arial"/>
                <w:sz w:val="18"/>
                <w:szCs w:val="18"/>
                <w:b w:val="1"/>
                <w:bCs w:val="1"/>
                <w:color w:val="auto"/>
                <w:w w:val="88"/>
              </w:rPr>
              <w:t>Fair Value Measurement Using Significant Unobservable</w:t>
            </w:r>
          </w:p>
        </w:tc>
        <w:tc>
          <w:tcPr>
            <w:tcW w:w="0" w:type="dxa"/>
            <w:vAlign w:val="bottom"/>
          </w:tcPr>
          <w:p>
            <w:pPr>
              <w:spacing w:after="0"/>
              <w:rPr>
                <w:sz w:val="1"/>
                <w:szCs w:val="1"/>
                <w:color w:val="auto"/>
              </w:rPr>
            </w:pPr>
          </w:p>
        </w:tc>
      </w:tr>
      <w:tr>
        <w:trPr>
          <w:trHeight w:val="224"/>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center"/>
              <w:ind w:right="712"/>
              <w:spacing w:after="0"/>
              <w:rPr>
                <w:sz w:val="20"/>
                <w:szCs w:val="20"/>
                <w:color w:val="auto"/>
              </w:rPr>
            </w:pPr>
            <w:r>
              <w:rPr>
                <w:rFonts w:ascii="Arial" w:cs="Arial" w:eastAsia="Arial" w:hAnsi="Arial"/>
                <w:sz w:val="18"/>
                <w:szCs w:val="18"/>
                <w:b w:val="1"/>
                <w:bCs w:val="1"/>
                <w:color w:val="auto"/>
                <w:w w:val="89"/>
              </w:rPr>
              <w:t>Inputs (Level 3)</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acquired</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40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33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180"/>
              <w:spacing w:after="0" w:line="158" w:lineRule="exact"/>
              <w:rPr>
                <w:sz w:val="20"/>
                <w:szCs w:val="20"/>
                <w:color w:val="auto"/>
              </w:rPr>
            </w:pPr>
            <w:r>
              <w:rPr>
                <w:rFonts w:ascii="Arial" w:cs="Arial" w:eastAsia="Arial" w:hAnsi="Arial"/>
                <w:sz w:val="18"/>
                <w:szCs w:val="18"/>
                <w:color w:val="auto"/>
              </w:rPr>
              <w:t>Change in unrealized losses included in earnings for derivatives and other financial</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900" w:type="dxa"/>
            <w:vAlign w:val="bottom"/>
            <w:vMerge w:val="continue"/>
          </w:tcPr>
          <w:p>
            <w:pPr>
              <w:spacing w:after="0"/>
              <w:rPr>
                <w:sz w:val="10"/>
                <w:szCs w:val="10"/>
                <w:color w:val="auto"/>
              </w:rPr>
            </w:pPr>
          </w:p>
        </w:tc>
        <w:tc>
          <w:tcPr>
            <w:tcW w:w="1400" w:type="dxa"/>
            <w:vAlign w:val="bottom"/>
            <w:vMerge w:val="restart"/>
          </w:tcPr>
          <w:p>
            <w:pPr>
              <w:jc w:val="right"/>
              <w:ind w:right="1212"/>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0"/>
                <w:szCs w:val="10"/>
                <w:color w:val="auto"/>
              </w:rPr>
            </w:pPr>
          </w:p>
        </w:tc>
        <w:tc>
          <w:tcPr>
            <w:tcW w:w="1520" w:type="dxa"/>
            <w:vAlign w:val="bottom"/>
            <w:vMerge w:val="restart"/>
          </w:tcPr>
          <w:p>
            <w:pPr>
              <w:jc w:val="right"/>
              <w:ind w:right="1332"/>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instruments held as of December 31,</w:t>
            </w:r>
          </w:p>
        </w:tc>
        <w:tc>
          <w:tcPr>
            <w:tcW w:w="14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December 31, 2021, contracts valued with prices provided by models and other valuation techniques make up 74% of derivative liabilities and 100% of other financial instruments.</w:t>
      </w:r>
    </w:p>
    <w:p>
      <w:pPr>
        <w:spacing w:after="0" w:line="140"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4" w:name="page125"/>
    <w:bookmarkEnd w:id="124"/>
    <w:p>
      <w:pPr>
        <w:ind w:left="400"/>
        <w:spacing w:after="0"/>
        <w:rPr>
          <w:sz w:val="20"/>
          <w:szCs w:val="20"/>
          <w:color w:val="auto"/>
        </w:rPr>
      </w:pPr>
      <w:r>
        <w:rPr>
          <w:rFonts w:ascii="Arial" w:cs="Arial" w:eastAsia="Arial" w:hAnsi="Arial"/>
          <w:sz w:val="16"/>
          <w:szCs w:val="16"/>
          <w:color w:val="auto"/>
        </w:rPr>
        <w:t>The following table quantifies the significant unobservable inputs used in developing the fair value of the Company's Level 3 positions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December 31, 2021</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0"/>
              </w:rPr>
              <w:t>Fair Value</w:t>
            </w:r>
          </w:p>
        </w:tc>
        <w:tc>
          <w:tcPr>
            <w:tcW w:w="1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6"/>
              </w:rPr>
              <w:t>Input/Range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4"/>
                <w:szCs w:val="14"/>
                <w:color w:val="auto"/>
              </w:rPr>
            </w:pPr>
          </w:p>
        </w:tc>
        <w:tc>
          <w:tcPr>
            <w:tcW w:w="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jc w:val="right"/>
              <w:ind w:right="136"/>
              <w:spacing w:after="0" w:line="164" w:lineRule="exact"/>
              <w:rPr>
                <w:sz w:val="20"/>
                <w:szCs w:val="20"/>
                <w:color w:val="auto"/>
              </w:rPr>
            </w:pPr>
            <w:r>
              <w:rPr>
                <w:rFonts w:ascii="Arial" w:cs="Arial" w:eastAsia="Arial" w:hAnsi="Arial"/>
                <w:sz w:val="18"/>
                <w:szCs w:val="18"/>
                <w:b w:val="1"/>
                <w:bCs w:val="1"/>
                <w:color w:val="auto"/>
              </w:rPr>
              <w:t>Valuation</w:t>
            </w:r>
          </w:p>
        </w:tc>
        <w:tc>
          <w:tcPr>
            <w:tcW w:w="1700" w:type="dxa"/>
            <w:vAlign w:val="bottom"/>
          </w:tcPr>
          <w:p>
            <w:pPr>
              <w:jc w:val="center"/>
              <w:ind w:left="38"/>
              <w:spacing w:after="0" w:line="164" w:lineRule="exact"/>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4"/>
                <w:szCs w:val="14"/>
                <w:color w:val="auto"/>
              </w:rPr>
            </w:pPr>
          </w:p>
        </w:tc>
        <w:tc>
          <w:tcPr>
            <w:tcW w:w="1000" w:type="dxa"/>
            <w:vAlign w:val="bottom"/>
            <w:vMerge w:val="restart"/>
          </w:tcPr>
          <w:p>
            <w:pPr>
              <w:jc w:val="right"/>
              <w:ind w:right="378"/>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4"/>
                <w:szCs w:val="14"/>
                <w:color w:val="auto"/>
              </w:rPr>
            </w:pPr>
          </w:p>
        </w:tc>
        <w:tc>
          <w:tcPr>
            <w:tcW w:w="1200" w:type="dxa"/>
            <w:vAlign w:val="bottom"/>
            <w:vMerge w:val="restart"/>
          </w:tcPr>
          <w:p>
            <w:pPr>
              <w:jc w:val="right"/>
              <w:ind w:right="416"/>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4"/>
                <w:szCs w:val="14"/>
                <w:color w:val="auto"/>
              </w:rPr>
            </w:pPr>
          </w:p>
        </w:tc>
        <w:tc>
          <w:tcPr>
            <w:tcW w:w="1120" w:type="dxa"/>
            <w:vAlign w:val="bottom"/>
          </w:tcPr>
          <w:p>
            <w:pPr>
              <w:jc w:val="center"/>
              <w:ind w:right="116"/>
              <w:spacing w:after="0" w:line="164"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24"/>
        </w:trPr>
        <w:tc>
          <w:tcPr>
            <w:tcW w:w="218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Technique</w:t>
            </w:r>
          </w:p>
        </w:tc>
        <w:tc>
          <w:tcPr>
            <w:tcW w:w="170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b w:val="1"/>
                <w:bCs w:val="1"/>
                <w:color w:val="auto"/>
                <w:w w:val="89"/>
              </w:rPr>
              <w:t>Unobservable Input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b w:val="1"/>
                <w:bCs w:val="1"/>
                <w:color w:val="auto"/>
                <w:w w:val="84"/>
              </w:rPr>
              <w:t>Average</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2140" w:type="dxa"/>
            <w:vAlign w:val="bottom"/>
            <w:gridSpan w:val="3"/>
          </w:tcPr>
          <w:p>
            <w:pPr>
              <w:ind w:left="600"/>
              <w:spacing w:after="0"/>
              <w:rPr>
                <w:sz w:val="20"/>
                <w:szCs w:val="20"/>
                <w:color w:val="auto"/>
              </w:rPr>
            </w:pPr>
            <w:r>
              <w:rPr>
                <w:rFonts w:ascii="Arial" w:cs="Arial" w:eastAsia="Arial" w:hAnsi="Arial"/>
                <w:sz w:val="18"/>
                <w:szCs w:val="18"/>
                <w:b w:val="1"/>
                <w:bCs w:val="1"/>
                <w:color w:val="auto"/>
              </w:rPr>
              <w:t>(In millions)</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Commodity Contracts</w:t>
            </w:r>
          </w:p>
        </w:tc>
        <w:tc>
          <w:tcPr>
            <w:tcW w:w="800" w:type="dxa"/>
            <w:vAlign w:val="bottom"/>
            <w:vMerge w:val="restart"/>
            <w:shd w:val="clear" w:color="auto" w:fill="CCEEFF"/>
          </w:tcPr>
          <w:p>
            <w:pPr>
              <w:jc w:val="right"/>
              <w:ind w:right="615"/>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56"/>
              <w:spacing w:after="0" w:line="161" w:lineRule="exact"/>
              <w:rPr>
                <w:sz w:val="20"/>
                <w:szCs w:val="20"/>
                <w:color w:val="auto"/>
              </w:rPr>
            </w:pPr>
            <w:r>
              <w:rPr>
                <w:rFonts w:ascii="Arial" w:cs="Arial" w:eastAsia="Arial" w:hAnsi="Arial"/>
                <w:sz w:val="16"/>
                <w:szCs w:val="16"/>
                <w:color w:val="auto"/>
                <w:w w:val="88"/>
              </w:rPr>
              <w:t>Discounted Cash</w:t>
            </w:r>
          </w:p>
        </w:tc>
        <w:tc>
          <w:tcPr>
            <w:tcW w:w="1700" w:type="dxa"/>
            <w:vAlign w:val="bottom"/>
            <w:shd w:val="clear" w:color="auto" w:fill="CCEEFF"/>
          </w:tcPr>
          <w:p>
            <w:pPr>
              <w:jc w:val="center"/>
              <w:ind w:left="18"/>
              <w:spacing w:after="0" w:line="161" w:lineRule="exact"/>
              <w:rPr>
                <w:sz w:val="20"/>
                <w:szCs w:val="20"/>
                <w:color w:val="auto"/>
              </w:rPr>
            </w:pPr>
            <w:r>
              <w:rPr>
                <w:rFonts w:ascii="Arial" w:cs="Arial" w:eastAsia="Arial" w:hAnsi="Arial"/>
                <w:sz w:val="16"/>
                <w:szCs w:val="16"/>
                <w:color w:val="auto"/>
                <w:w w:val="91"/>
              </w:rPr>
              <w:t>Forward Market Price</w:t>
            </w: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08"/>
        </w:trPr>
        <w:tc>
          <w:tcPr>
            <w:tcW w:w="2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180" w:type="dxa"/>
            <w:vAlign w:val="bottom"/>
            <w:gridSpan w:val="2"/>
            <w:shd w:val="clear" w:color="auto" w:fill="CCEEFF"/>
          </w:tcPr>
          <w:p>
            <w:pPr>
              <w:jc w:val="right"/>
              <w:ind w:right="816"/>
              <w:spacing w:after="0"/>
              <w:rPr>
                <w:sz w:val="20"/>
                <w:szCs w:val="20"/>
                <w:color w:val="auto"/>
              </w:rPr>
            </w:pPr>
            <w:r>
              <w:rPr>
                <w:rFonts w:ascii="Arial" w:cs="Arial" w:eastAsia="Arial" w:hAnsi="Arial"/>
                <w:sz w:val="16"/>
                <w:szCs w:val="16"/>
                <w:color w:val="auto"/>
              </w:rPr>
              <w:t>(179) Flow</w:t>
            </w:r>
          </w:p>
        </w:tc>
        <w:tc>
          <w:tcPr>
            <w:tcW w:w="170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w w:val="92"/>
              </w:rPr>
              <w:t>(per MWh)</w:t>
            </w: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jc w:val="center"/>
              <w:ind w:left="18"/>
              <w:spacing w:after="0" w:line="161" w:lineRule="exact"/>
              <w:rPr>
                <w:sz w:val="20"/>
                <w:szCs w:val="20"/>
                <w:color w:val="auto"/>
              </w:rPr>
            </w:pPr>
            <w:r>
              <w:rPr>
                <w:rFonts w:ascii="Arial" w:cs="Arial" w:eastAsia="Arial" w:hAnsi="Arial"/>
                <w:sz w:val="16"/>
                <w:szCs w:val="16"/>
                <w:color w:val="auto"/>
                <w:w w:val="87"/>
              </w:rPr>
              <w:t>Forecast annual</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vMerge w:val="restart"/>
          </w:tcPr>
          <w:p>
            <w:pPr>
              <w:jc w:val="right"/>
              <w:ind w:right="56"/>
              <w:spacing w:after="0"/>
              <w:rPr>
                <w:sz w:val="20"/>
                <w:szCs w:val="20"/>
                <w:color w:val="auto"/>
              </w:rPr>
            </w:pPr>
            <w:r>
              <w:rPr>
                <w:rFonts w:ascii="Arial" w:cs="Arial" w:eastAsia="Arial" w:hAnsi="Arial"/>
                <w:sz w:val="16"/>
                <w:szCs w:val="16"/>
                <w:color w:val="auto"/>
                <w:w w:val="88"/>
              </w:rPr>
              <w:t>Discounted Cash</w:t>
            </w:r>
          </w:p>
        </w:tc>
        <w:tc>
          <w:tcPr>
            <w:tcW w:w="1700" w:type="dxa"/>
            <w:vAlign w:val="bottom"/>
          </w:tcPr>
          <w:p>
            <w:pPr>
              <w:jc w:val="center"/>
              <w:ind w:left="38"/>
              <w:spacing w:after="0" w:line="158" w:lineRule="exact"/>
              <w:rPr>
                <w:sz w:val="20"/>
                <w:szCs w:val="20"/>
                <w:color w:val="auto"/>
              </w:rPr>
            </w:pPr>
            <w:r>
              <w:rPr>
                <w:rFonts w:ascii="Arial" w:cs="Arial" w:eastAsia="Arial" w:hAnsi="Arial"/>
                <w:sz w:val="16"/>
                <w:szCs w:val="16"/>
                <w:color w:val="auto"/>
                <w:w w:val="90"/>
              </w:rPr>
              <w:t>generation levels of</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 Instruments</w:t>
            </w:r>
          </w:p>
        </w:tc>
        <w:tc>
          <w:tcPr>
            <w:tcW w:w="800" w:type="dxa"/>
            <w:vAlign w:val="bottom"/>
          </w:tcPr>
          <w:p>
            <w:pPr>
              <w:spacing w:after="0"/>
              <w:rPr>
                <w:sz w:val="13"/>
                <w:szCs w:val="13"/>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700" w:type="dxa"/>
            <w:vAlign w:val="bottom"/>
          </w:tcPr>
          <w:p>
            <w:pPr>
              <w:jc w:val="center"/>
              <w:ind w:left="38"/>
              <w:spacing w:after="0" w:line="155" w:lineRule="exact"/>
              <w:rPr>
                <w:sz w:val="20"/>
                <w:szCs w:val="20"/>
                <w:color w:val="auto"/>
              </w:rPr>
            </w:pPr>
            <w:r>
              <w:rPr>
                <w:rFonts w:ascii="Arial" w:cs="Arial" w:eastAsia="Arial" w:hAnsi="Arial"/>
                <w:sz w:val="16"/>
                <w:szCs w:val="16"/>
                <w:color w:val="auto"/>
                <w:w w:val="91"/>
              </w:rPr>
              <w:t>certain DG solar</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80,872 MWh</w:t>
            </w: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129,913 MWh</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124,783 MWh</w:t>
            </w: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180" w:type="dxa"/>
            <w:vAlign w:val="bottom"/>
            <w:gridSpan w:val="2"/>
          </w:tcPr>
          <w:p>
            <w:pPr>
              <w:jc w:val="right"/>
              <w:ind w:right="816"/>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Flow</w:t>
            </w:r>
          </w:p>
        </w:tc>
        <w:tc>
          <w:tcPr>
            <w:tcW w:w="1700" w:type="dxa"/>
            <w:vAlign w:val="bottom"/>
          </w:tcPr>
          <w:p>
            <w:pPr>
              <w:jc w:val="center"/>
              <w:ind w:left="38"/>
              <w:spacing w:after="0"/>
              <w:rPr>
                <w:sz w:val="20"/>
                <w:szCs w:val="20"/>
                <w:color w:val="auto"/>
              </w:rPr>
            </w:pPr>
            <w:r>
              <w:rPr>
                <w:rFonts w:ascii="Arial" w:cs="Arial" w:eastAsia="Arial" w:hAnsi="Arial"/>
                <w:sz w:val="16"/>
                <w:szCs w:val="16"/>
                <w:color w:val="auto"/>
                <w:w w:val="94"/>
              </w:rPr>
              <w:t>facilities</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following table provides the impact on the fair value measurements to increases/(decreases) in significant unobservable inputs as of 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vMerge w:val="restart"/>
          </w:tcPr>
          <w:p>
            <w:pPr>
              <w:jc w:val="center"/>
              <w:ind w:left="72"/>
              <w:spacing w:after="0"/>
              <w:rPr>
                <w:sz w:val="20"/>
                <w:szCs w:val="20"/>
                <w:color w:val="auto"/>
              </w:rPr>
            </w:pPr>
            <w:r>
              <w:rPr>
                <w:rFonts w:ascii="Arial" w:cs="Arial" w:eastAsia="Arial" w:hAnsi="Arial"/>
                <w:sz w:val="18"/>
                <w:szCs w:val="18"/>
                <w:b w:val="1"/>
                <w:bCs w:val="1"/>
                <w:color w:val="auto"/>
                <w:w w:val="89"/>
              </w:rPr>
              <w:t>Significant Observable Input</w:t>
            </w:r>
          </w:p>
        </w:tc>
        <w:tc>
          <w:tcPr>
            <w:tcW w:w="2160" w:type="dxa"/>
            <w:vAlign w:val="bottom"/>
            <w:vMerge w:val="restart"/>
          </w:tcPr>
          <w:p>
            <w:pPr>
              <w:jc w:val="center"/>
              <w:ind w:left="212"/>
              <w:spacing w:after="0"/>
              <w:rPr>
                <w:sz w:val="20"/>
                <w:szCs w:val="20"/>
                <w:color w:val="auto"/>
              </w:rPr>
            </w:pPr>
            <w:r>
              <w:rPr>
                <w:rFonts w:ascii="Arial" w:cs="Arial" w:eastAsia="Arial" w:hAnsi="Arial"/>
                <w:sz w:val="18"/>
                <w:szCs w:val="18"/>
                <w:b w:val="1"/>
                <w:bCs w:val="1"/>
                <w:color w:val="auto"/>
                <w:w w:val="87"/>
              </w:rPr>
              <w:t>Position</w:t>
            </w:r>
          </w:p>
        </w:tc>
        <w:tc>
          <w:tcPr>
            <w:tcW w:w="2440" w:type="dxa"/>
            <w:vAlign w:val="bottom"/>
            <w:vMerge w:val="restart"/>
          </w:tcPr>
          <w:p>
            <w:pPr>
              <w:jc w:val="center"/>
              <w:ind w:left="92"/>
              <w:spacing w:after="0"/>
              <w:rPr>
                <w:sz w:val="20"/>
                <w:szCs w:val="20"/>
                <w:color w:val="auto"/>
              </w:rPr>
            </w:pPr>
            <w:r>
              <w:rPr>
                <w:rFonts w:ascii="Arial" w:cs="Arial" w:eastAsia="Arial" w:hAnsi="Arial"/>
                <w:sz w:val="18"/>
                <w:szCs w:val="18"/>
                <w:b w:val="1"/>
                <w:bCs w:val="1"/>
                <w:color w:val="auto"/>
                <w:w w:val="92"/>
              </w:rPr>
              <w:t>Change In Input</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Impact on Fair Value</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Forward Market Price Power</w:t>
            </w:r>
          </w:p>
        </w:tc>
        <w:tc>
          <w:tcPr>
            <w:tcW w:w="21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6"/>
              </w:rPr>
              <w:t>Buy</w:t>
            </w:r>
          </w:p>
        </w:tc>
        <w:tc>
          <w:tcPr>
            <w:tcW w:w="244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r>
        <w:trPr>
          <w:trHeight w:val="224"/>
        </w:trPr>
        <w:tc>
          <w:tcPr>
            <w:tcW w:w="4220" w:type="dxa"/>
            <w:vAlign w:val="bottom"/>
          </w:tcPr>
          <w:p>
            <w:pPr>
              <w:ind w:left="1240"/>
              <w:spacing w:after="0"/>
              <w:rPr>
                <w:sz w:val="20"/>
                <w:szCs w:val="20"/>
                <w:color w:val="auto"/>
              </w:rPr>
            </w:pPr>
            <w:r>
              <w:rPr>
                <w:rFonts w:ascii="Arial" w:cs="Arial" w:eastAsia="Arial" w:hAnsi="Arial"/>
                <w:sz w:val="18"/>
                <w:szCs w:val="18"/>
                <w:color w:val="auto"/>
              </w:rPr>
              <w:t>Forward Market Price Power</w:t>
            </w:r>
          </w:p>
        </w:tc>
        <w:tc>
          <w:tcPr>
            <w:tcW w:w="2160" w:type="dxa"/>
            <w:vAlign w:val="bottom"/>
          </w:tcPr>
          <w:p>
            <w:pPr>
              <w:jc w:val="center"/>
              <w:ind w:left="212"/>
              <w:spacing w:after="0"/>
              <w:rPr>
                <w:sz w:val="20"/>
                <w:szCs w:val="20"/>
                <w:color w:val="auto"/>
              </w:rPr>
            </w:pPr>
            <w:r>
              <w:rPr>
                <w:rFonts w:ascii="Arial" w:cs="Arial" w:eastAsia="Arial" w:hAnsi="Arial"/>
                <w:sz w:val="18"/>
                <w:szCs w:val="18"/>
                <w:color w:val="auto"/>
                <w:w w:val="86"/>
              </w:rPr>
              <w:t>Sell</w:t>
            </w:r>
          </w:p>
        </w:tc>
        <w:tc>
          <w:tcPr>
            <w:tcW w:w="2440" w:type="dxa"/>
            <w:vAlign w:val="bottom"/>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Lower/(Higher)</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6"/>
              </w:rPr>
              <w:t>Forecast Generation Levels</w:t>
            </w:r>
          </w:p>
        </w:tc>
        <w:tc>
          <w:tcPr>
            <w:tcW w:w="21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6"/>
              </w:rPr>
              <w:t>Sell</w:t>
            </w:r>
          </w:p>
        </w:tc>
        <w:tc>
          <w:tcPr>
            <w:tcW w:w="244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2021, the non-performance reserve was a $17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1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6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December 31, 2021,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Related Commodities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As of December 31, 2021, the Company had energy-related derivative instruments extending through 2033. At December 31, 2021, these contracts were not designated as cash flow or fair value hedges.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net notional volume buy/(sell) of the Company's open derivative transactions broken out by commodity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tcPr>
          <w:p>
            <w:pPr>
              <w:jc w:val="right"/>
              <w:ind w:right="1396"/>
              <w:spacing w:after="0"/>
              <w:rPr>
                <w:sz w:val="20"/>
                <w:szCs w:val="20"/>
                <w:color w:val="auto"/>
              </w:rPr>
            </w:pPr>
            <w:r>
              <w:rPr>
                <w:rFonts w:ascii="Arial" w:cs="Arial" w:eastAsia="Arial" w:hAnsi="Arial"/>
                <w:sz w:val="14"/>
                <w:szCs w:val="14"/>
                <w:b w:val="1"/>
                <w:bCs w:val="1"/>
                <w:color w:val="auto"/>
              </w:rPr>
              <w:t>Total Volume</w:t>
            </w: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8"/>
              </w:rPr>
              <w:t>December 31, 2020</w:t>
            </w:r>
          </w:p>
        </w:tc>
      </w:tr>
      <w:tr>
        <w:trPr>
          <w:trHeight w:val="140"/>
        </w:trPr>
        <w:tc>
          <w:tcPr>
            <w:tcW w:w="20" w:type="dxa"/>
            <w:vAlign w:val="bottom"/>
          </w:tcPr>
          <w:p>
            <w:pPr>
              <w:spacing w:after="0"/>
              <w:rPr>
                <w:sz w:val="12"/>
                <w:szCs w:val="12"/>
                <w:color w:val="auto"/>
              </w:rPr>
            </w:pPr>
          </w:p>
        </w:tc>
        <w:tc>
          <w:tcPr>
            <w:tcW w:w="720" w:type="dxa"/>
            <w:vAlign w:val="bottom"/>
          </w:tcPr>
          <w:p>
            <w:pPr>
              <w:spacing w:after="0" w:line="140" w:lineRule="exact"/>
              <w:rPr>
                <w:sz w:val="20"/>
                <w:szCs w:val="20"/>
                <w:color w:val="auto"/>
              </w:rPr>
            </w:pPr>
            <w:r>
              <w:rPr>
                <w:rFonts w:ascii="Arial" w:cs="Arial" w:eastAsia="Arial" w:hAnsi="Arial"/>
                <w:sz w:val="14"/>
                <w:szCs w:val="14"/>
                <w:b w:val="1"/>
                <w:bCs w:val="1"/>
                <w:color w:val="auto"/>
                <w:w w:val="90"/>
              </w:rPr>
              <w:t>Commodity</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12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2040" w:type="dxa"/>
            <w:vAlign w:val="bottom"/>
            <w:gridSpan w:val="2"/>
          </w:tcPr>
          <w:p>
            <w:pPr>
              <w:ind w:left="1280"/>
              <w:spacing w:after="0" w:line="140" w:lineRule="exact"/>
              <w:rPr>
                <w:sz w:val="20"/>
                <w:szCs w:val="20"/>
                <w:color w:val="auto"/>
              </w:rPr>
            </w:pPr>
            <w:r>
              <w:rPr>
                <w:rFonts w:ascii="Arial" w:cs="Arial" w:eastAsia="Arial" w:hAnsi="Arial"/>
                <w:sz w:val="14"/>
                <w:szCs w:val="14"/>
                <w:b w:val="1"/>
                <w:bCs w:val="1"/>
                <w:color w:val="auto"/>
                <w:w w:val="94"/>
              </w:rPr>
              <w:t>(In millions)</w:t>
            </w:r>
          </w:p>
        </w:tc>
        <w:tc>
          <w:tcPr>
            <w:tcW w:w="1480" w:type="dxa"/>
            <w:vAlign w:val="bottom"/>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4"/>
        </w:trPr>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MMBtu</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Power</w:t>
            </w:r>
          </w:p>
        </w:tc>
        <w:tc>
          <w:tcPr>
            <w:tcW w:w="6380" w:type="dxa"/>
            <w:vAlign w:val="bottom"/>
            <w:gridSpan w:val="3"/>
          </w:tcPr>
          <w:p>
            <w:pPr>
              <w:ind w:left="260"/>
              <w:spacing w:after="0"/>
              <w:rPr>
                <w:sz w:val="20"/>
                <w:szCs w:val="20"/>
                <w:color w:val="auto"/>
              </w:rPr>
            </w:pPr>
            <w:r>
              <w:rPr>
                <w:rFonts w:ascii="Arial" w:cs="Arial" w:eastAsia="Arial" w:hAnsi="Arial"/>
                <w:sz w:val="18"/>
                <w:szCs w:val="18"/>
                <w:color w:val="auto"/>
              </w:rPr>
              <w:t>MWh</w:t>
            </w: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1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6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Dollars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1,326</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83"/>
        </w:trPr>
        <w:tc>
          <w:tcPr>
            <w:tcW w:w="5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Derivative Assets</w:t>
            </w:r>
          </w:p>
        </w:tc>
        <w:tc>
          <w:tcPr>
            <w:tcW w:w="500" w:type="dxa"/>
            <w:vAlign w:val="bottom"/>
          </w:tcPr>
          <w:p>
            <w:pPr>
              <w:spacing w:after="0"/>
              <w:rPr>
                <w:sz w:val="15"/>
                <w:szCs w:val="15"/>
                <w:color w:val="auto"/>
              </w:rPr>
            </w:pPr>
          </w:p>
        </w:tc>
        <w:tc>
          <w:tcPr>
            <w:tcW w:w="166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Derivative Liabilities</w:t>
            </w:r>
          </w:p>
        </w:tc>
        <w:tc>
          <w:tcPr>
            <w:tcW w:w="520" w:type="dxa"/>
            <w:vAlign w:val="bottom"/>
          </w:tcPr>
          <w:p>
            <w:pPr>
              <w:spacing w:after="0"/>
              <w:rPr>
                <w:sz w:val="15"/>
                <w:szCs w:val="15"/>
                <w:color w:val="auto"/>
              </w:rPr>
            </w:pPr>
          </w:p>
        </w:tc>
      </w:tr>
      <w:tr>
        <w:trPr>
          <w:trHeight w:val="178"/>
        </w:trPr>
        <w:tc>
          <w:tcPr>
            <w:tcW w:w="5720" w:type="dxa"/>
            <w:vAlign w:val="bottom"/>
          </w:tcPr>
          <w:p>
            <w:pPr>
              <w:spacing w:after="0"/>
              <w:rPr>
                <w:sz w:val="15"/>
                <w:szCs w:val="15"/>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December 31, 2020</w:t>
            </w:r>
          </w:p>
        </w:tc>
        <w:tc>
          <w:tcPr>
            <w:tcW w:w="100" w:type="dxa"/>
            <w:vAlign w:val="bottom"/>
            <w:tcBorders>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3"/>
              </w:rPr>
              <w:t>December 31, 2021</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2020</w:t>
            </w:r>
          </w:p>
        </w:tc>
      </w:tr>
      <w:tr>
        <w:trPr>
          <w:trHeight w:val="178"/>
        </w:trPr>
        <w:tc>
          <w:tcPr>
            <w:tcW w:w="5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4"/>
        </w:trPr>
        <w:tc>
          <w:tcPr>
            <w:tcW w:w="57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480" w:type="dxa"/>
            <w:vAlign w:val="bottom"/>
          </w:tcPr>
          <w:p>
            <w:pPr>
              <w:jc w:val="right"/>
              <w:ind w:right="2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5720" w:type="dxa"/>
            <w:vAlign w:val="bottom"/>
          </w:tcPr>
          <w:p>
            <w:pPr>
              <w:ind w:left="3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480" w:type="dxa"/>
            <w:vAlign w:val="bottom"/>
          </w:tcPr>
          <w:p>
            <w:pPr>
              <w:jc w:val="right"/>
              <w:ind w:right="2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5"/>
        </w:trPr>
        <w:tc>
          <w:tcPr>
            <w:tcW w:w="5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Derivatives Not Designated as Cash Flow Hedges:</w:t>
            </w: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24"/>
        </w:trPr>
        <w:tc>
          <w:tcPr>
            <w:tcW w:w="57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480" w:type="dxa"/>
            <w:vAlign w:val="bottom"/>
          </w:tcPr>
          <w:p>
            <w:pPr>
              <w:jc w:val="right"/>
              <w:ind w:right="29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84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4"/>
        </w:trPr>
        <w:tc>
          <w:tcPr>
            <w:tcW w:w="572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234</w:t>
            </w:r>
          </w:p>
        </w:tc>
        <w:tc>
          <w:tcPr>
            <w:tcW w:w="8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84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December 31, 2021 and 2020, there was no outstanding collateral paid or received. The following tables summarize the offsetting of derivatives by counterparty: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6"/>
          </w:tcPr>
          <w:p>
            <w:pPr>
              <w:jc w:val="center"/>
              <w:ind w:left="1077"/>
              <w:spacing w:after="0"/>
              <w:rPr>
                <w:sz w:val="20"/>
                <w:szCs w:val="20"/>
                <w:color w:val="auto"/>
              </w:rPr>
            </w:pPr>
            <w:r>
              <w:rPr>
                <w:rFonts w:ascii="Arial" w:cs="Arial" w:eastAsia="Arial" w:hAnsi="Arial"/>
                <w:sz w:val="14"/>
                <w:szCs w:val="14"/>
                <w:b w:val="1"/>
                <w:bCs w:val="1"/>
                <w:color w:val="auto"/>
                <w:w w:val="89"/>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80" w:type="dxa"/>
            <w:vAlign w:val="bottom"/>
          </w:tcPr>
          <w:p>
            <w:pPr>
              <w:spacing w:after="0"/>
              <w:rPr>
                <w:sz w:val="11"/>
                <w:szCs w:val="11"/>
                <w:color w:val="auto"/>
              </w:rPr>
            </w:pPr>
          </w:p>
        </w:tc>
        <w:tc>
          <w:tcPr>
            <w:tcW w:w="254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7"/>
              </w:rPr>
              <w:t>Gross Amounts of Recognized</w:t>
            </w:r>
          </w:p>
        </w:tc>
        <w:tc>
          <w:tcPr>
            <w:tcW w:w="2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4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Assets/Liabilities</w:t>
            </w: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Commodity contracts</w:t>
            </w:r>
          </w:p>
        </w:tc>
        <w:tc>
          <w:tcPr>
            <w:tcW w:w="2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4"/>
        </w:trPr>
        <w:tc>
          <w:tcPr>
            <w:tcW w:w="41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Interest rate contracts</w:t>
            </w:r>
          </w:p>
        </w:tc>
        <w:tc>
          <w:tcPr>
            <w:tcW w:w="2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jc w:val="right"/>
              <w:ind w:right="1017"/>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4"/>
                <w:szCs w:val="14"/>
                <w:b w:val="1"/>
                <w:bCs w:val="1"/>
                <w:color w:val="auto"/>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Pr>
          <w:p>
            <w:pPr>
              <w:spacing w:after="0"/>
              <w:rPr>
                <w:sz w:val="11"/>
                <w:szCs w:val="11"/>
                <w:color w:val="auto"/>
              </w:rPr>
            </w:pPr>
          </w:p>
        </w:tc>
        <w:tc>
          <w:tcPr>
            <w:tcW w:w="254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7"/>
              </w:rPr>
              <w:t>Gross Amounts of Recognized</w:t>
            </w:r>
          </w:p>
        </w:tc>
        <w:tc>
          <w:tcPr>
            <w:tcW w:w="2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4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Assets/Liabilities</w:t>
            </w: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Commodity contracts</w:t>
            </w:r>
          </w:p>
        </w:tc>
        <w:tc>
          <w:tcPr>
            <w:tcW w:w="2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4"/>
        </w:trPr>
        <w:tc>
          <w:tcPr>
            <w:tcW w:w="41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Interest rate contracts</w:t>
            </w:r>
          </w:p>
        </w:tc>
        <w:tc>
          <w:tcPr>
            <w:tcW w:w="2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0"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178"/>
        </w:trPr>
        <w:tc>
          <w:tcPr>
            <w:tcW w:w="7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3"/>
              </w:rPr>
              <w:t>(45)</w:t>
            </w:r>
          </w:p>
        </w:tc>
      </w:tr>
      <w:tr>
        <w:trPr>
          <w:trHeight w:val="224"/>
        </w:trPr>
        <w:tc>
          <w:tcPr>
            <w:tcW w:w="7660" w:type="dxa"/>
            <w:vAlign w:val="bottom"/>
          </w:tcPr>
          <w:p>
            <w:pPr>
              <w:ind w:left="180"/>
              <w:spacing w:after="0"/>
              <w:rPr>
                <w:sz w:val="20"/>
                <w:szCs w:val="20"/>
                <w:color w:val="auto"/>
              </w:rPr>
            </w:pPr>
            <w:r>
              <w:rPr>
                <w:rFonts w:ascii="Arial" w:cs="Arial" w:eastAsia="Arial" w:hAnsi="Arial"/>
                <w:sz w:val="18"/>
                <w:szCs w:val="18"/>
                <w:color w:val="auto"/>
                <w:w w:val="97"/>
              </w:rPr>
              <w:t>Reclassified from accumulated OCL to income due to realization of previously deferred amounts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75"/>
              <w:spacing w:after="0"/>
              <w:rPr>
                <w:sz w:val="20"/>
                <w:szCs w:val="20"/>
                <w:color w:val="auto"/>
              </w:rPr>
            </w:pPr>
            <w:r>
              <w:rPr>
                <w:rFonts w:ascii="Arial" w:cs="Arial" w:eastAsia="Arial" w:hAnsi="Arial"/>
                <w:sz w:val="18"/>
                <w:szCs w:val="18"/>
                <w:color w:val="auto"/>
                <w:w w:val="89"/>
              </w:rPr>
              <w:t>22</w:t>
            </w:r>
          </w:p>
        </w:tc>
      </w:tr>
      <w:tr>
        <w:trPr>
          <w:trHeight w:val="224"/>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of cash flow hedge accounting contracts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93"/>
              </w:rPr>
              <w:t>(14)</w:t>
            </w: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color w:val="auto"/>
              </w:rPr>
              <w:t>Accumulated OCL ending balance</w:t>
            </w: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435"/>
              <w:spacing w:after="0"/>
              <w:rPr>
                <w:sz w:val="20"/>
                <w:szCs w:val="20"/>
                <w:color w:val="auto"/>
              </w:rPr>
            </w:pPr>
            <w:r>
              <w:rPr>
                <w:rFonts w:ascii="Arial" w:cs="Arial" w:eastAsia="Arial" w:hAnsi="Arial"/>
                <w:sz w:val="18"/>
                <w:szCs w:val="18"/>
                <w:color w:val="auto"/>
                <w:w w:val="93"/>
              </w:rPr>
              <w:t>(37)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attributable to noncontrolling interests</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9"/>
              </w:rPr>
              <w:t>—</w:t>
            </w: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LLC</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center"/>
              <w:ind w:left="435"/>
              <w:spacing w:after="0"/>
              <w:rPr>
                <w:sz w:val="20"/>
                <w:szCs w:val="20"/>
                <w:color w:val="auto"/>
              </w:rPr>
            </w:pPr>
            <w:r>
              <w:rPr>
                <w:rFonts w:ascii="Arial" w:cs="Arial" w:eastAsia="Arial" w:hAnsi="Arial"/>
                <w:sz w:val="18"/>
                <w:szCs w:val="18"/>
                <w:color w:val="auto"/>
                <w:w w:val="93"/>
              </w:rPr>
              <w:t>(37)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00" w:right="1080"/>
        <w:spacing w:after="0" w:line="398" w:lineRule="auto"/>
        <w:rPr>
          <w:sz w:val="20"/>
          <w:szCs w:val="20"/>
          <w:color w:val="auto"/>
        </w:rPr>
      </w:pPr>
      <w:r>
        <w:rPr>
          <w:rFonts w:ascii="Arial" w:cs="Arial" w:eastAsia="Arial" w:hAnsi="Arial"/>
          <w:sz w:val="18"/>
          <w:szCs w:val="18"/>
          <w:color w:val="auto"/>
        </w:rPr>
        <w:t xml:space="preserve">Amounts reclassified from accumulated OCL into income are recorded to interest expense. </w:t>
      </w:r>
      <w:r>
        <w:rPr>
          <w:rFonts w:ascii="Arial" w:cs="Arial" w:eastAsia="Arial" w:hAnsi="Arial"/>
          <w:sz w:val="18"/>
          <w:szCs w:val="18"/>
          <w:b w:val="1"/>
          <w:bCs w:val="1"/>
          <w:i w:val="1"/>
          <w:iCs w:val="1"/>
          <w:color w:val="auto"/>
        </w:rPr>
        <w:t xml:space="preserve">Impact of Derivative Instruments on the Consolidated Statements of Operations </w:t>
      </w:r>
      <w:r>
        <w:rPr>
          <w:rFonts w:ascii="Arial" w:cs="Arial" w:eastAsia="Arial" w:hAnsi="Arial"/>
          <w:sz w:val="18"/>
          <w:szCs w:val="18"/>
          <w:color w:val="auto"/>
        </w:rPr>
        <w:t>Mark-to-market gains and losses related to the Company's derivatives are recorded in the consolidated statements of operations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89"/>
              </w:rPr>
              <w:t>Year ended December 31,</w:t>
            </w:r>
          </w:p>
        </w:tc>
        <w:tc>
          <w:tcPr>
            <w:tcW w:w="860" w:type="dxa"/>
            <w:vAlign w:val="bottom"/>
            <w:tcBorders>
              <w:bottom w:val="single" w:sz="8" w:color="auto"/>
            </w:tcBorders>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r>
      <w:tr>
        <w:trPr>
          <w:trHeight w:val="178"/>
        </w:trPr>
        <w:tc>
          <w:tcPr>
            <w:tcW w:w="76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(Mark-to-market interest expense)</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305"/>
        </w:trPr>
        <w:tc>
          <w:tcPr>
            <w:tcW w:w="7660" w:type="dxa"/>
            <w:vAlign w:val="bottom"/>
          </w:tcPr>
          <w:p>
            <w:pPr>
              <w:ind w:left="20"/>
              <w:spacing w:after="0"/>
              <w:rPr>
                <w:sz w:val="20"/>
                <w:szCs w:val="20"/>
                <w:color w:val="auto"/>
              </w:rPr>
            </w:pPr>
            <w:r>
              <w:rPr>
                <w:rFonts w:ascii="Arial" w:cs="Arial" w:eastAsia="Arial" w:hAnsi="Arial"/>
                <w:sz w:val="18"/>
                <w:szCs w:val="18"/>
                <w:color w:val="auto"/>
              </w:rPr>
              <w:t xml:space="preserve">Commodity Contracts (Mark-to-market for economic hedging activities) </w:t>
            </w:r>
            <w:r>
              <w:rPr>
                <w:rFonts w:ascii="Arial" w:cs="Arial" w:eastAsia="Arial" w:hAnsi="Arial"/>
                <w:sz w:val="22"/>
                <w:szCs w:val="22"/>
                <w:color w:val="auto"/>
                <w:vertAlign w:val="superscript"/>
              </w:rPr>
              <w:t>(a)</w:t>
            </w: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(83)</w:t>
            </w:r>
          </w:p>
        </w:tc>
        <w:tc>
          <w:tcPr>
            <w:tcW w:w="2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242424"/>
              </w:rPr>
              <w:t>(4)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93" w:lineRule="exact"/>
        <w:rPr>
          <w:sz w:val="20"/>
          <w:szCs w:val="20"/>
          <w:color w:val="auto"/>
        </w:rPr>
      </w:pPr>
    </w:p>
    <w:p>
      <w:pPr>
        <w:ind w:left="140" w:hanging="134"/>
        <w:spacing w:after="0"/>
        <w:tabs>
          <w:tab w:leader="none" w:pos="140" w:val="left"/>
        </w:tabs>
        <w:numPr>
          <w:ilvl w:val="0"/>
          <w:numId w:val="72"/>
        </w:numPr>
        <w:rPr>
          <w:rFonts w:ascii="Arial" w:cs="Arial" w:eastAsia="Arial" w:hAnsi="Arial"/>
          <w:sz w:val="16"/>
          <w:szCs w:val="16"/>
          <w:color w:val="auto"/>
          <w:vertAlign w:val="superscript"/>
        </w:rPr>
      </w:pPr>
      <w:r>
        <w:rPr>
          <w:rFonts w:ascii="Arial" w:cs="Arial" w:eastAsia="Arial" w:hAnsi="Arial"/>
          <w:sz w:val="12"/>
          <w:szCs w:val="12"/>
          <w:color w:val="auto"/>
        </w:rPr>
        <w:t>Relates to long-term commodity contracts at Elbow Creek Wind Project LLC, or Elbow Creek, Mesquite Star, Mt. Storm and Mesquite Sky and gains or losses are recognized in operating revenues.</w:t>
      </w:r>
    </w:p>
    <w:p>
      <w:pPr>
        <w:spacing w:after="0" w:line="143"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8 — Intangible Assets</w:t>
      </w:r>
    </w:p>
    <w:p>
      <w:pPr>
        <w:spacing w:after="0" w:line="16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2021 and 2020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128" w:lineRule="exact"/>
        <w:rPr>
          <w:sz w:val="20"/>
          <w:szCs w:val="20"/>
          <w:color w:val="auto"/>
        </w:rPr>
      </w:pPr>
    </w:p>
    <w:p>
      <w:pPr>
        <w:jc w:val="both"/>
        <w:ind w:left="640" w:hanging="318"/>
        <w:spacing w:after="0" w:line="253" w:lineRule="auto"/>
        <w:tabs>
          <w:tab w:leader="none" w:pos="63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PPAs </w:t>
      </w:r>
      <w:r>
        <w:rPr>
          <w:rFonts w:ascii="Arial" w:cs="Arial" w:eastAsia="Arial" w:hAnsi="Arial"/>
          <w:sz w:val="18"/>
          <w:szCs w:val="18"/>
          <w:color w:val="auto"/>
        </w:rPr>
        <w:t>— Established predominantly with the acquisitions of the Alta Wind Portfolio, Walnut Creek, Tapestry, Laredo Ridge, Carlsbad Energy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Agua Caliente and the Utah Solar Portfolio. These represent the fair value of the PPAs acquired. These are amortized on a straight-line basis, over the term of the PPA.</w:t>
      </w:r>
    </w:p>
    <w:p>
      <w:pPr>
        <w:spacing w:after="0" w:line="83" w:lineRule="exact"/>
        <w:rPr>
          <w:rFonts w:ascii="Arial" w:cs="Arial" w:eastAsia="Arial" w:hAnsi="Arial"/>
          <w:sz w:val="18"/>
          <w:szCs w:val="18"/>
          <w:i w:val="1"/>
          <w:iCs w:val="1"/>
          <w:color w:val="auto"/>
        </w:rPr>
      </w:pPr>
    </w:p>
    <w:p>
      <w:pPr>
        <w:ind w:left="640" w:right="100" w:hanging="318"/>
        <w:spacing w:after="0" w:line="253" w:lineRule="auto"/>
        <w:tabs>
          <w:tab w:leader="none" w:pos="63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These are amortized as a reduction to operating revenue on a straight-line basis over the term of the PPAs.</w:t>
      </w:r>
    </w:p>
    <w:p>
      <w:pPr>
        <w:spacing w:after="0" w:line="31" w:lineRule="exact"/>
        <w:rPr>
          <w:rFonts w:ascii="Arial" w:cs="Arial" w:eastAsia="Arial" w:hAnsi="Arial"/>
          <w:sz w:val="18"/>
          <w:szCs w:val="18"/>
          <w:i w:val="1"/>
          <w:iCs w:val="1"/>
          <w:color w:val="auto"/>
        </w:rPr>
      </w:pPr>
    </w:p>
    <w:p>
      <w:pPr>
        <w:ind w:left="640" w:right="80" w:hanging="318"/>
        <w:spacing w:after="0" w:line="292" w:lineRule="auto"/>
        <w:tabs>
          <w:tab w:leader="none" w:pos="63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Customer relationships </w:t>
      </w:r>
      <w:r>
        <w:rPr>
          <w:rFonts w:ascii="Arial" w:cs="Arial" w:eastAsia="Arial" w:hAnsi="Arial"/>
          <w:sz w:val="16"/>
          <w:szCs w:val="16"/>
          <w:color w:val="auto"/>
        </w:rPr>
        <w:t>— Established with the acquisition of Energy Center Omaha and Energy Center Phoenix, these intangibles represent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at the acquisition date of the businesses' customer base. The customer relationships related to Energy Center Omaha are amortized as a reduction to operating revenue, which approximates the expected discounted future net cash flows by year. These intangible assets are included in the Thermal Business and were reclassified to held for sale during the fourth quarter of 2021.</w:t>
      </w:r>
    </w:p>
    <w:p>
      <w:pPr>
        <w:spacing w:after="0" w:line="1" w:lineRule="exact"/>
        <w:rPr>
          <w:rFonts w:ascii="Arial" w:cs="Arial" w:eastAsia="Arial" w:hAnsi="Arial"/>
          <w:sz w:val="16"/>
          <w:szCs w:val="16"/>
          <w:color w:val="auto"/>
        </w:rPr>
      </w:pPr>
    </w:p>
    <w:p>
      <w:pPr>
        <w:ind w:left="640" w:right="160" w:hanging="318"/>
        <w:spacing w:after="0" w:line="299" w:lineRule="auto"/>
        <w:tabs>
          <w:tab w:leader="none" w:pos="635" w:val="left"/>
        </w:tabs>
        <w:numPr>
          <w:ilvl w:val="0"/>
          <w:numId w:val="7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Customer contracts </w:t>
      </w:r>
      <w:r>
        <w:rPr>
          <w:rFonts w:ascii="Arial" w:cs="Arial" w:eastAsia="Arial" w:hAnsi="Arial"/>
          <w:sz w:val="15"/>
          <w:szCs w:val="15"/>
          <w:color w:val="auto"/>
        </w:rPr>
        <w:t>— Established with the acquisition of Energy Center Phoenix, these intangibles represent the fair value at the acquisition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that primarily provide chilled water, steam and electricity to its customers. These contracts are amortized to revenues based on expected volumes. These intangible assets are included in the Thermal Business and were reclassified to held for sale during the fourth quarter of 2021.</w:t>
      </w:r>
    </w:p>
    <w:p>
      <w:pPr>
        <w:jc w:val="both"/>
        <w:ind w:left="640" w:hanging="318"/>
        <w:spacing w:after="0" w:line="233" w:lineRule="auto"/>
        <w:tabs>
          <w:tab w:leader="none" w:pos="63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2"/>
          <w:szCs w:val="22"/>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Walnut Creek and</w:t>
      </w:r>
      <w:r>
        <w:rPr>
          <w:rFonts w:ascii="Arial" w:cs="Arial" w:eastAsia="Arial" w:hAnsi="Arial"/>
          <w:sz w:val="18"/>
          <w:szCs w:val="18"/>
          <w:i w:val="1"/>
          <w:iCs w:val="1"/>
          <w:color w:val="auto"/>
        </w:rPr>
        <w:t xml:space="preserve"> </w:t>
      </w:r>
      <w:r>
        <w:rPr>
          <w:rFonts w:ascii="Arial" w:cs="Arial" w:eastAsia="Arial" w:hAnsi="Arial"/>
          <w:sz w:val="18"/>
          <w:szCs w:val="18"/>
          <w:color w:val="auto"/>
        </w:rPr>
        <w:t>Carlsbad Energy Center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22"/>
          <w:szCs w:val="22"/>
          <w:color w:val="auto"/>
          <w:vertAlign w:val="subscript"/>
        </w:rPr>
        <w:t>2</w:t>
      </w:r>
      <w:r>
        <w:rPr>
          <w:rFonts w:ascii="Arial" w:cs="Arial" w:eastAsia="Arial" w:hAnsi="Arial"/>
          <w:sz w:val="18"/>
          <w:szCs w:val="18"/>
          <w:color w:val="auto"/>
        </w:rPr>
        <w:t xml:space="preserve"> allowances amortized based on units of production.</w:t>
      </w:r>
    </w:p>
    <w:p>
      <w:pPr>
        <w:spacing w:after="0" w:line="34" w:lineRule="exact"/>
        <w:rPr>
          <w:rFonts w:ascii="Arial" w:cs="Arial" w:eastAsia="Arial" w:hAnsi="Arial"/>
          <w:sz w:val="18"/>
          <w:szCs w:val="18"/>
          <w:i w:val="1"/>
          <w:iCs w:val="1"/>
          <w:color w:val="auto"/>
        </w:rPr>
      </w:pPr>
    </w:p>
    <w:p>
      <w:pPr>
        <w:jc w:val="both"/>
        <w:ind w:left="640" w:hanging="318"/>
        <w:spacing w:after="0" w:line="250" w:lineRule="auto"/>
        <w:tabs>
          <w:tab w:leader="none" w:pos="635" w:val="left"/>
        </w:tabs>
        <w:numPr>
          <w:ilvl w:val="0"/>
          <w:numId w:val="73"/>
        </w:numPr>
        <w:rPr>
          <w:rFonts w:ascii="Arial" w:cs="Arial" w:eastAsia="Arial" w:hAnsi="Arial"/>
          <w:sz w:val="18"/>
          <w:szCs w:val="18"/>
          <w:i w:val="1"/>
          <w:iCs w:val="1"/>
          <w:color w:val="auto"/>
        </w:rPr>
      </w:pPr>
      <w:r>
        <w:rPr>
          <w:rFonts w:ascii="Arial" w:cs="Arial" w:eastAsia="Arial" w:hAnsi="Arial"/>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b) development rights related to certain solar business acquisitions; c) RECs acquired in connection with the acquisition of the Utah Solar Portfolio; and d) favorable leases acquired in connection with the acquisition of the Utah Star Portfolio.</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Leasehold</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Emission</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2"/>
                <w:szCs w:val="12"/>
                <w:color w:val="auto"/>
              </w:rPr>
            </w:pPr>
          </w:p>
        </w:tc>
        <w:tc>
          <w:tcPr>
            <w:tcW w:w="10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Allowances</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523"/>
              <w:spacing w:after="0"/>
              <w:rPr>
                <w:sz w:val="20"/>
                <w:szCs w:val="20"/>
                <w:color w:val="auto"/>
              </w:rPr>
            </w:pPr>
            <w:r>
              <w:rPr>
                <w:rFonts w:ascii="Arial" w:cs="Arial" w:eastAsia="Arial" w:hAnsi="Arial"/>
                <w:sz w:val="16"/>
                <w:szCs w:val="16"/>
                <w:color w:val="auto"/>
                <w:w w:val="89"/>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743"/>
              <w:spacing w:after="0"/>
              <w:rPr>
                <w:sz w:val="20"/>
                <w:szCs w:val="20"/>
                <w:color w:val="auto"/>
              </w:rPr>
            </w:pPr>
            <w:r>
              <w:rPr>
                <w:rFonts w:ascii="Arial" w:cs="Arial" w:eastAsia="Arial" w:hAnsi="Arial"/>
                <w:sz w:val="16"/>
                <w:szCs w:val="16"/>
                <w:color w:val="auto"/>
                <w:w w:val="89"/>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523"/>
              <w:spacing w:after="0"/>
              <w:rPr>
                <w:sz w:val="20"/>
                <w:szCs w:val="20"/>
                <w:color w:val="auto"/>
              </w:rPr>
            </w:pPr>
            <w:r>
              <w:rPr>
                <w:rFonts w:ascii="Arial" w:cs="Arial" w:eastAsia="Arial" w:hAnsi="Arial"/>
                <w:sz w:val="16"/>
                <w:szCs w:val="16"/>
                <w:color w:val="auto"/>
                <w:w w:val="89"/>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0"/>
                <w:szCs w:val="20"/>
                <w:color w:val="auto"/>
                <w:vertAlign w:val="superscript"/>
              </w:rPr>
              <w:t>(a)</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left="42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0" w:type="dxa"/>
            <w:vAlign w:val="bottom"/>
            <w:gridSpan w:val="2"/>
          </w:tcPr>
          <w:p>
            <w:pPr>
              <w:jc w:val="center"/>
              <w:ind w:left="64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0" w:type="dxa"/>
            <w:vAlign w:val="bottom"/>
            <w:gridSpan w:val="2"/>
          </w:tcPr>
          <w:p>
            <w:pPr>
              <w:jc w:val="center"/>
              <w:ind w:left="403"/>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line="211" w:lineRule="exact"/>
              <w:rPr>
                <w:sz w:val="20"/>
                <w:szCs w:val="20"/>
                <w:color w:val="auto"/>
              </w:rPr>
            </w:pPr>
            <w:r>
              <w:rPr>
                <w:rFonts w:ascii="Arial" w:cs="Arial" w:eastAsia="Arial" w:hAnsi="Arial"/>
                <w:sz w:val="16"/>
                <w:szCs w:val="16"/>
                <w:color w:val="auto"/>
              </w:rPr>
              <w:t xml:space="preserve">Reclassified to held for sale </w:t>
            </w:r>
            <w:r>
              <w:rPr>
                <w:rFonts w:ascii="Arial" w:cs="Arial" w:eastAsia="Arial" w:hAnsi="Arial"/>
                <w:sz w:val="20"/>
                <w:szCs w:val="20"/>
                <w:color w:val="auto"/>
                <w:vertAlign w:val="superscript"/>
              </w:rPr>
              <w:t>(b)</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23"/>
              <w:spacing w:after="0"/>
              <w:rPr>
                <w:sz w:val="20"/>
                <w:szCs w:val="20"/>
                <w:color w:val="auto"/>
              </w:rPr>
            </w:pPr>
            <w:r>
              <w:rPr>
                <w:rFonts w:ascii="Arial" w:cs="Arial" w:eastAsia="Arial" w:hAnsi="Arial"/>
                <w:sz w:val="16"/>
                <w:szCs w:val="16"/>
                <w:color w:val="auto"/>
                <w:w w:val="91"/>
              </w:rPr>
              <w:t>(66)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503"/>
              <w:spacing w:after="0"/>
              <w:rPr>
                <w:sz w:val="20"/>
                <w:szCs w:val="20"/>
                <w:color w:val="auto"/>
              </w:rPr>
            </w:pPr>
            <w:r>
              <w:rPr>
                <w:rFonts w:ascii="Arial" w:cs="Arial" w:eastAsia="Arial" w:hAnsi="Arial"/>
                <w:sz w:val="16"/>
                <w:szCs w:val="16"/>
                <w:color w:val="auto"/>
                <w:w w:val="91"/>
              </w:rPr>
              <w:t>(15)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December 31, 2021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left="523"/>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left="64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1000" w:type="dxa"/>
            <w:vAlign w:val="bottom"/>
            <w:gridSpan w:val="2"/>
          </w:tcPr>
          <w:p>
            <w:pPr>
              <w:jc w:val="center"/>
              <w:ind w:left="403"/>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Less 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503"/>
              <w:spacing w:after="0"/>
              <w:rPr>
                <w:sz w:val="20"/>
                <w:szCs w:val="20"/>
                <w:color w:val="auto"/>
              </w:rPr>
            </w:pPr>
            <w:r>
              <w:rPr>
                <w:rFonts w:ascii="Arial" w:cs="Arial" w:eastAsia="Arial" w:hAnsi="Arial"/>
                <w:sz w:val="16"/>
                <w:szCs w:val="16"/>
                <w:color w:val="auto"/>
                <w:w w:val="91"/>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43"/>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Net carrying amount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523"/>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center"/>
              <w:ind w:left="643"/>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center"/>
              <w:ind w:left="403"/>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40" w:hanging="134"/>
        <w:spacing w:after="0"/>
        <w:tabs>
          <w:tab w:leader="none" w:pos="140" w:val="left"/>
        </w:tabs>
        <w:numPr>
          <w:ilvl w:val="0"/>
          <w:numId w:val="74"/>
        </w:numPr>
        <w:rPr>
          <w:rFonts w:ascii="Arial" w:cs="Arial" w:eastAsia="Arial" w:hAnsi="Arial"/>
          <w:sz w:val="16"/>
          <w:szCs w:val="16"/>
          <w:color w:val="auto"/>
          <w:vertAlign w:val="superscript"/>
        </w:rPr>
      </w:pPr>
      <w:r>
        <w:rPr>
          <w:rFonts w:ascii="Arial" w:cs="Arial" w:eastAsia="Arial" w:hAnsi="Arial"/>
          <w:sz w:val="12"/>
          <w:szCs w:val="12"/>
          <w:color w:val="auto"/>
        </w:rPr>
        <w:t>The weighted average life of acquired intangibles was 17 years for PPAs, 15 years for RECs and 15 years for favorable leases.</w:t>
      </w:r>
    </w:p>
    <w:p>
      <w:pPr>
        <w:spacing w:after="0" w:line="43" w:lineRule="exact"/>
        <w:rPr>
          <w:rFonts w:ascii="Arial" w:cs="Arial" w:eastAsia="Arial" w:hAnsi="Arial"/>
          <w:sz w:val="16"/>
          <w:szCs w:val="16"/>
          <w:color w:val="auto"/>
          <w:vertAlign w:val="superscript"/>
        </w:rPr>
      </w:pPr>
    </w:p>
    <w:p>
      <w:pPr>
        <w:ind w:left="160" w:hanging="154"/>
        <w:spacing w:after="0" w:line="205" w:lineRule="auto"/>
        <w:tabs>
          <w:tab w:leader="none" w:pos="160" w:val="left"/>
        </w:tabs>
        <w:numPr>
          <w:ilvl w:val="0"/>
          <w:numId w:val="74"/>
        </w:numPr>
        <w:rPr>
          <w:rFonts w:ascii="Arial" w:cs="Arial" w:eastAsia="Arial" w:hAnsi="Arial"/>
          <w:sz w:val="17"/>
          <w:szCs w:val="17"/>
          <w:color w:val="auto"/>
          <w:vertAlign w:val="superscript"/>
        </w:rPr>
      </w:pPr>
      <w:r>
        <w:rPr>
          <w:rFonts w:ascii="Arial" w:cs="Arial" w:eastAsia="Arial" w:hAnsi="Arial"/>
          <w:sz w:val="12"/>
          <w:szCs w:val="12"/>
          <w:color w:val="auto"/>
        </w:rPr>
        <w:t>Thermal Business intangible assets were reclassified to held for sale during the fourth quarter of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24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Leasehold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Customer</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Emission</w:t>
            </w: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2"/>
                <w:szCs w:val="12"/>
                <w:color w:val="auto"/>
              </w:rPr>
            </w:pPr>
          </w:p>
        </w:tc>
        <w:tc>
          <w:tcPr>
            <w:tcW w:w="10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Allowances</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523"/>
              <w:spacing w:after="0"/>
              <w:rPr>
                <w:sz w:val="20"/>
                <w:szCs w:val="20"/>
                <w:color w:val="auto"/>
              </w:rPr>
            </w:pPr>
            <w:r>
              <w:rPr>
                <w:rFonts w:ascii="Arial" w:cs="Arial" w:eastAsia="Arial" w:hAnsi="Arial"/>
                <w:sz w:val="16"/>
                <w:szCs w:val="16"/>
                <w:color w:val="auto"/>
                <w:w w:val="89"/>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743"/>
              <w:spacing w:after="0"/>
              <w:rPr>
                <w:sz w:val="20"/>
                <w:szCs w:val="20"/>
                <w:color w:val="auto"/>
              </w:rPr>
            </w:pPr>
            <w:r>
              <w:rPr>
                <w:rFonts w:ascii="Arial" w:cs="Arial" w:eastAsia="Arial" w:hAnsi="Arial"/>
                <w:sz w:val="16"/>
                <w:szCs w:val="16"/>
                <w:color w:val="auto"/>
                <w:w w:val="89"/>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Consolidation of DGPV Holdco Entities</w:t>
            </w:r>
          </w:p>
        </w:tc>
        <w:tc>
          <w:tcPr>
            <w:tcW w:w="2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left="42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0" w:type="dxa"/>
            <w:vAlign w:val="bottom"/>
            <w:gridSpan w:val="2"/>
          </w:tcPr>
          <w:p>
            <w:pPr>
              <w:jc w:val="center"/>
              <w:ind w:left="643"/>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4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2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523"/>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left="743"/>
              <w:spacing w:after="0"/>
              <w:rPr>
                <w:sz w:val="20"/>
                <w:szCs w:val="20"/>
                <w:color w:val="auto"/>
              </w:rPr>
            </w:pPr>
            <w:r>
              <w:rPr>
                <w:rFonts w:ascii="Arial" w:cs="Arial" w:eastAsia="Arial" w:hAnsi="Arial"/>
                <w:sz w:val="16"/>
                <w:szCs w:val="16"/>
                <w:color w:val="auto"/>
                <w:w w:val="89"/>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Less 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483"/>
              <w:spacing w:after="0"/>
              <w:rPr>
                <w:sz w:val="20"/>
                <w:szCs w:val="20"/>
                <w:color w:val="auto"/>
              </w:rPr>
            </w:pPr>
            <w:r>
              <w:rPr>
                <w:rFonts w:ascii="Arial" w:cs="Arial" w:eastAsia="Arial" w:hAnsi="Arial"/>
                <w:sz w:val="16"/>
                <w:szCs w:val="16"/>
                <w:color w:val="auto"/>
                <w:w w:val="98"/>
              </w:rPr>
              <w:t>(26)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23"/>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center"/>
              <w:ind w:left="523"/>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center"/>
              <w:ind w:left="743"/>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9" w:name="page130"/>
    <w:bookmarkEnd w:id="129"/>
    <w:p>
      <w:pPr>
        <w:jc w:val="both"/>
        <w:ind w:firstLine="396"/>
        <w:spacing w:after="0" w:line="287" w:lineRule="auto"/>
        <w:rPr>
          <w:sz w:val="20"/>
          <w:szCs w:val="20"/>
          <w:color w:val="auto"/>
        </w:rPr>
      </w:pPr>
      <w:r>
        <w:rPr>
          <w:rFonts w:ascii="Arial" w:cs="Arial" w:eastAsia="Arial" w:hAnsi="Arial"/>
          <w:sz w:val="16"/>
          <w:szCs w:val="16"/>
          <w:color w:val="auto"/>
        </w:rPr>
        <w:t>The Company recorded amortization expense of $143 million during the year ended December 31, 2021, $91 million for the year ended December 31, 2020 and $73 million for the year ended December 31, 2019. Of these amounts, $135 million for the year ended December 31, 2021, $88 million for the year ended December 31, 2020 and $72 million for the year ended December 31, 2019, were related to the amortization of intangible assets for power purchase agreements and were recorded to contract amortization expense, which reduced operating revenues in the consolidated statements of operations. The Company estimates the future amortization expense for its intangibles for the next five years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(In millions)</w:t>
            </w:r>
          </w:p>
        </w:tc>
      </w:tr>
      <w:tr>
        <w:trPr>
          <w:trHeight w:val="208"/>
        </w:trPr>
        <w:tc>
          <w:tcPr>
            <w:tcW w:w="9060" w:type="dxa"/>
            <w:vAlign w:val="bottom"/>
            <w:shd w:val="clear" w:color="auto" w:fill="CCEEFF"/>
          </w:tcPr>
          <w:p>
            <w:pPr>
              <w:jc w:val="right"/>
              <w:ind w:right="8641"/>
              <w:spacing w:after="0"/>
              <w:rPr>
                <w:sz w:val="20"/>
                <w:szCs w:val="20"/>
                <w:color w:val="auto"/>
              </w:rPr>
            </w:pPr>
            <w:r>
              <w:rPr>
                <w:rFonts w:ascii="Arial" w:cs="Arial" w:eastAsia="Arial" w:hAnsi="Arial"/>
                <w:sz w:val="16"/>
                <w:szCs w:val="16"/>
                <w:color w:val="auto"/>
                <w:w w:val="89"/>
              </w:rPr>
              <w:t>2022</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8"/>
        </w:trPr>
        <w:tc>
          <w:tcPr>
            <w:tcW w:w="9060" w:type="dxa"/>
            <w:vAlign w:val="bottom"/>
          </w:tcPr>
          <w:p>
            <w:pPr>
              <w:jc w:val="right"/>
              <w:ind w:right="8641"/>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4"/>
        </w:trPr>
        <w:tc>
          <w:tcPr>
            <w:tcW w:w="9060" w:type="dxa"/>
            <w:vAlign w:val="bottom"/>
            <w:shd w:val="clear" w:color="auto" w:fill="CCEEFF"/>
          </w:tcPr>
          <w:p>
            <w:pPr>
              <w:jc w:val="right"/>
              <w:ind w:right="8641"/>
              <w:spacing w:after="0"/>
              <w:rPr>
                <w:sz w:val="20"/>
                <w:szCs w:val="20"/>
                <w:color w:val="auto"/>
              </w:rPr>
            </w:pPr>
            <w:r>
              <w:rPr>
                <w:rFonts w:ascii="Arial" w:cs="Arial" w:eastAsia="Arial" w:hAnsi="Arial"/>
                <w:sz w:val="16"/>
                <w:szCs w:val="16"/>
                <w:color w:val="auto"/>
                <w:w w:val="89"/>
              </w:rPr>
              <w:t>2024</w:t>
            </w: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8"/>
        </w:trPr>
        <w:tc>
          <w:tcPr>
            <w:tcW w:w="9060" w:type="dxa"/>
            <w:vAlign w:val="bottom"/>
          </w:tcPr>
          <w:p>
            <w:pPr>
              <w:jc w:val="right"/>
              <w:ind w:right="8641"/>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4"/>
        </w:trPr>
        <w:tc>
          <w:tcPr>
            <w:tcW w:w="9060" w:type="dxa"/>
            <w:vAlign w:val="bottom"/>
            <w:shd w:val="clear" w:color="auto" w:fill="CCEEFF"/>
          </w:tcPr>
          <w:p>
            <w:pPr>
              <w:jc w:val="right"/>
              <w:ind w:right="8641"/>
              <w:spacing w:after="0"/>
              <w:rPr>
                <w:sz w:val="20"/>
                <w:szCs w:val="20"/>
                <w:color w:val="auto"/>
              </w:rPr>
            </w:pPr>
            <w:r>
              <w:rPr>
                <w:rFonts w:ascii="Arial" w:cs="Arial" w:eastAsia="Arial" w:hAnsi="Arial"/>
                <w:sz w:val="16"/>
                <w:szCs w:val="16"/>
                <w:color w:val="auto"/>
                <w:w w:val="89"/>
              </w:rPr>
              <w:t>2026</w:t>
            </w: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Asset Impairments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Impairment Losses</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During the fourth quarter of 2021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annual budget process coincides with the Company's annual impairment analysis of long-lived assets. The impairment analysis reviews certain qualitative factors as well as the fair value of the facilities against its carrying value to determine if impairment indicators are present. 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Impairment Losses</w:t>
      </w:r>
    </w:p>
    <w:p>
      <w:pPr>
        <w:spacing w:after="0" w:line="16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During the fourth quarter of 2020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annual budget process coincides with the Company's annual impairment analysis of long-lived assets. The impairment analysis reviews certain qualitative factors as well as the fair value of the facilities against its carrying value to determine if impairment indicators are present. The impairment analysis indicated that the projected future cash flows for several wind projects within the Renewables segment no longer supported the recoverability of the carrying value of the related long-lived assets. As such, the Company recorded an impairment loss of $24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was primarily driven by a decline in forecasted revenue in future merchant periods, was significant enough to be considered an indication of a decline in value of the investment that was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2019 Impairment Losses</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The Company recorded an impairment loss of $19 million related to a facility in the Thermal segment during the second quarter of 2019. The impairment was triggered by a potential sale negotiation with a third-party, which resulted in signing the purchase and sale agreement in September 2019,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14"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within the Renewables segment no longer supported the recoverability of the related long-lived asset. The annual budget process coincides with the Company's annual impairment analysis of long-lived assets. The impairment analysis reviewed certain qualitative factors as well as the fair value of the facilities against its carrying value to determine if impairment indicators are present. As such, the Company recorded an impairment loss of $14 million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10 — Long-term Debt</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borrowings, including short-term and long-term portions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0"/>
              <w:spacing w:after="0"/>
              <w:rPr>
                <w:sz w:val="20"/>
                <w:szCs w:val="20"/>
                <w:color w:val="auto"/>
              </w:rPr>
            </w:pPr>
            <w:r>
              <w:rPr>
                <w:rFonts w:ascii="Arial" w:cs="Arial" w:eastAsia="Arial" w:hAnsi="Arial"/>
                <w:sz w:val="13"/>
                <w:szCs w:val="13"/>
                <w:b w:val="1"/>
                <w:bCs w:val="1"/>
                <w:color w:val="auto"/>
                <w:w w:val="93"/>
              </w:rPr>
              <w:t>Letters of Credit</w:t>
            </w:r>
          </w:p>
        </w:tc>
        <w:tc>
          <w:tcPr>
            <w:tcW w:w="0" w:type="dxa"/>
            <w:vAlign w:val="bottom"/>
          </w:tcPr>
          <w:p>
            <w:pPr>
              <w:spacing w:after="0"/>
              <w:rPr>
                <w:sz w:val="1"/>
                <w:szCs w:val="1"/>
                <w:color w:val="auto"/>
              </w:rPr>
            </w:pPr>
          </w:p>
        </w:tc>
      </w:tr>
      <w:tr>
        <w:trPr>
          <w:trHeight w:val="132"/>
        </w:trPr>
        <w:tc>
          <w:tcPr>
            <w:tcW w:w="546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31, 2021</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18"/>
                <w:szCs w:val="18"/>
                <w:b w:val="1"/>
                <w:bCs w:val="1"/>
                <w:color w:val="auto"/>
                <w:vertAlign w:val="superscript"/>
              </w:rPr>
              <w:t>(a)</w:t>
            </w:r>
          </w:p>
        </w:tc>
        <w:tc>
          <w:tcPr>
            <w:tcW w:w="160" w:type="dxa"/>
            <w:vAlign w:val="bottom"/>
          </w:tcPr>
          <w:p>
            <w:pPr>
              <w:spacing w:after="0"/>
              <w:rPr>
                <w:sz w:val="11"/>
                <w:szCs w:val="11"/>
                <w:color w:val="auto"/>
              </w:rPr>
            </w:pPr>
          </w:p>
        </w:tc>
        <w:tc>
          <w:tcPr>
            <w:tcW w:w="1360" w:type="dxa"/>
            <w:vAlign w:val="bottom"/>
          </w:tcPr>
          <w:p>
            <w:pPr>
              <w:jc w:val="center"/>
              <w:ind w:right="90"/>
              <w:spacing w:after="0" w:line="132" w:lineRule="exact"/>
              <w:rPr>
                <w:sz w:val="20"/>
                <w:szCs w:val="20"/>
                <w:color w:val="auto"/>
              </w:rPr>
            </w:pPr>
            <w:r>
              <w:rPr>
                <w:rFonts w:ascii="Arial" w:cs="Arial" w:eastAsia="Arial" w:hAnsi="Arial"/>
                <w:sz w:val="13"/>
                <w:szCs w:val="13"/>
                <w:b w:val="1"/>
                <w:bCs w:val="1"/>
                <w:color w:val="auto"/>
                <w:w w:val="91"/>
              </w:rPr>
              <w:t>Outstanding at</w:t>
            </w: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December 31, 2021</w:t>
            </w:r>
          </w:p>
        </w:tc>
        <w:tc>
          <w:tcPr>
            <w:tcW w:w="0" w:type="dxa"/>
            <w:vAlign w:val="bottom"/>
          </w:tcPr>
          <w:p>
            <w:pPr>
              <w:spacing w:after="0"/>
              <w:rPr>
                <w:sz w:val="1"/>
                <w:szCs w:val="1"/>
                <w:color w:val="auto"/>
              </w:rPr>
            </w:pPr>
          </w:p>
        </w:tc>
      </w:tr>
      <w:tr>
        <w:trPr>
          <w:trHeight w:val="177"/>
        </w:trPr>
        <w:tc>
          <w:tcPr>
            <w:tcW w:w="54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(In millions, except rates)</w:t>
            </w: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Intercompany Note with Clearway Energy, Inc.</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left="810"/>
              <w:spacing w:after="0"/>
              <w:rPr>
                <w:sz w:val="20"/>
                <w:szCs w:val="20"/>
                <w:color w:val="auto"/>
              </w:rPr>
            </w:pPr>
            <w:r>
              <w:rPr>
                <w:rFonts w:ascii="Arial" w:cs="Arial" w:eastAsia="Arial" w:hAnsi="Arial"/>
                <w:sz w:val="14"/>
                <w:szCs w:val="14"/>
                <w:color w:val="auto"/>
                <w:w w:val="91"/>
              </w:rPr>
              <w:t>1.490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2025 Senior Notes</w:t>
            </w:r>
          </w:p>
        </w:tc>
        <w:tc>
          <w:tcPr>
            <w:tcW w:w="4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600</w:t>
            </w:r>
          </w:p>
        </w:tc>
        <w:tc>
          <w:tcPr>
            <w:tcW w:w="36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5.750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Senior Notes</w:t>
            </w: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left="810"/>
              <w:spacing w:after="0"/>
              <w:rPr>
                <w:sz w:val="20"/>
                <w:szCs w:val="20"/>
                <w:color w:val="auto"/>
              </w:rPr>
            </w:pPr>
            <w:r>
              <w:rPr>
                <w:rFonts w:ascii="Arial" w:cs="Arial" w:eastAsia="Arial" w:hAnsi="Arial"/>
                <w:sz w:val="14"/>
                <w:szCs w:val="14"/>
                <w:color w:val="auto"/>
                <w:w w:val="91"/>
              </w:rPr>
              <w:t>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2028 Senior Notes</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w:t>
            </w:r>
          </w:p>
        </w:tc>
        <w:tc>
          <w:tcPr>
            <w:tcW w:w="36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4.750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2031 Senior Notes</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2032 Senior Notes</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Clearway Energy LLC and Clearway Energy Operating LLC Revolving Credit Facility, due</w:t>
            </w:r>
          </w:p>
        </w:tc>
        <w:tc>
          <w:tcPr>
            <w:tcW w:w="4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line="185" w:lineRule="exact"/>
              <w:rPr>
                <w:sz w:val="20"/>
                <w:szCs w:val="20"/>
                <w:color w:val="auto"/>
              </w:rPr>
            </w:pPr>
            <w:r>
              <w:rPr>
                <w:rFonts w:ascii="Arial" w:cs="Arial" w:eastAsia="Arial" w:hAnsi="Arial"/>
                <w:sz w:val="14"/>
                <w:szCs w:val="14"/>
                <w:color w:val="auto"/>
              </w:rPr>
              <w:t xml:space="preserve">2023 </w:t>
            </w:r>
            <w:r>
              <w:rPr>
                <w:rFonts w:ascii="Arial" w:cs="Arial" w:eastAsia="Arial" w:hAnsi="Arial"/>
                <w:sz w:val="18"/>
                <w:szCs w:val="18"/>
                <w:color w:val="auto"/>
                <w:vertAlign w:val="superscript"/>
              </w:rPr>
              <w:t>(b)</w:t>
            </w:r>
          </w:p>
        </w:tc>
        <w:tc>
          <w:tcPr>
            <w:tcW w:w="4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Arial" w:cs="Arial" w:eastAsia="Arial" w:hAnsi="Arial"/>
                <w:sz w:val="14"/>
                <w:szCs w:val="14"/>
                <w:color w:val="auto"/>
              </w:rPr>
              <w:t xml:space="preserve">Bridge Loan, due 2022 </w:t>
            </w:r>
            <w:r>
              <w:rPr>
                <w:rFonts w:ascii="Arial" w:cs="Arial" w:eastAsia="Arial" w:hAnsi="Arial"/>
                <w:sz w:val="18"/>
                <w:szCs w:val="18"/>
                <w:color w:val="auto"/>
                <w:vertAlign w:val="superscript"/>
              </w:rPr>
              <w:t>(c)</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S+1.000</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Project-level debt:</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Agua Caliente Solar LLC, due 2037</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2.395 - 3.633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45</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Wind Asset Management LLC, due 2031</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L+2.625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Alta Wind I-V lease financing arrangements, due 2034 and 2035</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800</w:t>
            </w: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5.696 - 7.015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34</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Wind Realty Investments LLC, due 2031</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Borrego, due 2024 and 2038</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15"/>
                <w:szCs w:val="15"/>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4"/>
                <w:szCs w:val="14"/>
                <w:color w:val="auto"/>
                <w:w w:val="88"/>
              </w:rPr>
              <w:t>Various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Buckthorn Solar, due 2025</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21</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Carlsbad Energy Holdings LLC, due 2027</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w:t>
            </w:r>
          </w:p>
        </w:tc>
        <w:tc>
          <w:tcPr>
            <w:tcW w:w="3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L+1.625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62</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Energy Holdings LLC, due 2038</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Carlsbad Holdco, due 2038</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w:t>
            </w:r>
          </w:p>
        </w:tc>
        <w:tc>
          <w:tcPr>
            <w:tcW w:w="36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4.210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6</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CVSR, due 2037</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CVSR Holdco Notes, due 2037</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36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4.680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13</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DG-CS Master Borrower LLC, due 2040</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left="810"/>
              <w:spacing w:after="0"/>
              <w:rPr>
                <w:sz w:val="20"/>
                <w:szCs w:val="20"/>
                <w:color w:val="auto"/>
              </w:rPr>
            </w:pPr>
            <w:r>
              <w:rPr>
                <w:rFonts w:ascii="Arial" w:cs="Arial" w:eastAsia="Arial" w:hAnsi="Arial"/>
                <w:sz w:val="14"/>
                <w:szCs w:val="14"/>
                <w:color w:val="auto"/>
                <w:w w:val="91"/>
              </w:rPr>
              <w:t>3.510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30</w:t>
            </w:r>
          </w:p>
        </w:tc>
        <w:tc>
          <w:tcPr>
            <w:tcW w:w="0" w:type="dxa"/>
            <w:vAlign w:val="bottom"/>
          </w:tcPr>
          <w:p>
            <w:pPr>
              <w:spacing w:after="0"/>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Arial" w:cs="Arial" w:eastAsia="Arial" w:hAnsi="Arial"/>
                <w:sz w:val="14"/>
                <w:szCs w:val="14"/>
                <w:color w:val="auto"/>
              </w:rPr>
              <w:t xml:space="preserve">Duquesne, due 2059 </w:t>
            </w:r>
            <w:r>
              <w:rPr>
                <w:rFonts w:ascii="Arial" w:cs="Arial" w:eastAsia="Arial" w:hAnsi="Arial"/>
                <w:sz w:val="18"/>
                <w:szCs w:val="18"/>
                <w:color w:val="auto"/>
                <w:vertAlign w:val="superscript"/>
              </w:rPr>
              <w:t>(d)</w:t>
            </w:r>
          </w:p>
        </w:tc>
        <w:tc>
          <w:tcPr>
            <w:tcW w:w="4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360" w:type="dxa"/>
            <w:vAlign w:val="bottom"/>
          </w:tcPr>
          <w:p>
            <w:pPr>
              <w:spacing w:after="0"/>
              <w:rPr>
                <w:sz w:val="16"/>
                <w:szCs w:val="16"/>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4.620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 Segundo Energy Center, due 2023</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L+1.875 - L+2.500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138</w:t>
            </w:r>
          </w:p>
        </w:tc>
        <w:tc>
          <w:tcPr>
            <w:tcW w:w="0" w:type="dxa"/>
            <w:vAlign w:val="bottom"/>
          </w:tcPr>
          <w:p>
            <w:pPr>
              <w:spacing w:after="0"/>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Arial" w:cs="Arial" w:eastAsia="Arial" w:hAnsi="Arial"/>
                <w:sz w:val="14"/>
                <w:szCs w:val="14"/>
                <w:color w:val="auto"/>
              </w:rPr>
              <w:t xml:space="preserve">Energy Center Minneapolis Series D, E, F, G, H Notes, due 2025-2037 </w:t>
            </w:r>
            <w:r>
              <w:rPr>
                <w:rFonts w:ascii="Arial" w:cs="Arial" w:eastAsia="Arial" w:hAnsi="Arial"/>
                <w:sz w:val="18"/>
                <w:szCs w:val="18"/>
                <w:color w:val="auto"/>
                <w:vertAlign w:val="superscript"/>
              </w:rPr>
              <w:t>(d)</w:t>
            </w:r>
          </w:p>
        </w:tc>
        <w:tc>
          <w:tcPr>
            <w:tcW w:w="4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327</w:t>
            </w:r>
          </w:p>
        </w:tc>
        <w:tc>
          <w:tcPr>
            <w:tcW w:w="360" w:type="dxa"/>
            <w:vAlign w:val="bottom"/>
          </w:tcPr>
          <w:p>
            <w:pPr>
              <w:spacing w:after="0"/>
              <w:rPr>
                <w:sz w:val="16"/>
                <w:szCs w:val="16"/>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4"/>
                <w:szCs w:val="14"/>
                <w:color w:val="auto"/>
                <w:w w:val="88"/>
              </w:rPr>
              <w:t>Various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Kawailoa Solar Portfolio LLC, due 2026</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14</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Laredo Ridge, due 2028</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3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L+2.125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3</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Marsh Landing, due 2023</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L+2.375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46</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NIMH Solar, due 2024</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w:t>
            </w:r>
          </w:p>
        </w:tc>
        <w:tc>
          <w:tcPr>
            <w:tcW w:w="3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L+2.000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Oahu Solar Holdings LLC, due 2026</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Rosie Class B LLC, due 2027</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w:t>
            </w:r>
          </w:p>
        </w:tc>
        <w:tc>
          <w:tcPr>
            <w:tcW w:w="3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17</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Tapestry, due 2031</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12</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Utah Solar Holdings, due 2036</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w:t>
            </w:r>
          </w:p>
        </w:tc>
        <w:tc>
          <w:tcPr>
            <w:tcW w:w="36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3.590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Walnut Creek, due 2023</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116</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WCEP Holdings, LLC, due 2023</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3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L+3.000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left="690"/>
              <w:spacing w:after="0"/>
              <w:rPr>
                <w:sz w:val="20"/>
                <w:szCs w:val="20"/>
                <w:color w:val="auto"/>
              </w:rPr>
            </w:pPr>
            <w:r>
              <w:rPr>
                <w:rFonts w:ascii="Arial" w:cs="Arial" w:eastAsia="Arial" w:hAnsi="Arial"/>
                <w:sz w:val="14"/>
                <w:szCs w:val="14"/>
                <w:color w:val="auto"/>
                <w:w w:val="88"/>
              </w:rPr>
              <w:t>Various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201</w:t>
            </w:r>
          </w:p>
        </w:tc>
        <w:tc>
          <w:tcPr>
            <w:tcW w:w="0" w:type="dxa"/>
            <w:vAlign w:val="bottom"/>
          </w:tcPr>
          <w:p>
            <w:pPr>
              <w:spacing w:after="0"/>
              <w:rPr>
                <w:sz w:val="1"/>
                <w:szCs w:val="1"/>
                <w:color w:val="auto"/>
              </w:rPr>
            </w:pPr>
          </w:p>
        </w:tc>
      </w:tr>
      <w:tr>
        <w:trPr>
          <w:trHeight w:val="175"/>
        </w:trPr>
        <w:tc>
          <w:tcPr>
            <w:tcW w:w="5460" w:type="dxa"/>
            <w:vAlign w:val="bottom"/>
          </w:tcPr>
          <w:p>
            <w:pPr>
              <w:ind w:left="140"/>
              <w:spacing w:after="0"/>
              <w:rPr>
                <w:sz w:val="20"/>
                <w:szCs w:val="20"/>
                <w:color w:val="auto"/>
              </w:rPr>
            </w:pPr>
            <w:r>
              <w:rPr>
                <w:rFonts w:ascii="Arial" w:cs="Arial" w:eastAsia="Arial" w:hAnsi="Arial"/>
                <w:sz w:val="14"/>
                <w:szCs w:val="14"/>
                <w:color w:val="auto"/>
              </w:rPr>
              <w:t>Subtotal project-level debt</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5,243</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debt</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Less current maturities</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debt issuance costs</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60" w:type="dxa"/>
            <w:vAlign w:val="bottom"/>
            <w:tcBorders>
              <w:bottom w:val="single" w:sz="8" w:color="CCEEFF"/>
            </w:tcBorders>
          </w:tcPr>
          <w:p>
            <w:pPr>
              <w:ind w:left="20"/>
              <w:spacing w:after="0" w:line="185" w:lineRule="exact"/>
              <w:rPr>
                <w:sz w:val="20"/>
                <w:szCs w:val="20"/>
                <w:color w:val="auto"/>
              </w:rPr>
            </w:pPr>
            <w:r>
              <w:rPr>
                <w:rFonts w:ascii="Arial" w:cs="Arial" w:eastAsia="Arial" w:hAnsi="Arial"/>
                <w:sz w:val="14"/>
                <w:szCs w:val="14"/>
                <w:color w:val="auto"/>
              </w:rPr>
              <w:t xml:space="preserve">Add premiums </w:t>
            </w:r>
            <w:r>
              <w:rPr>
                <w:rFonts w:ascii="Arial" w:cs="Arial" w:eastAsia="Arial" w:hAnsi="Arial"/>
                <w:sz w:val="18"/>
                <w:szCs w:val="18"/>
                <w:color w:val="auto"/>
                <w:vertAlign w:val="superscript"/>
              </w:rPr>
              <w:t>(e)</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long-term debt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3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firstLine="6"/>
        <w:spacing w:after="0" w:line="245" w:lineRule="auto"/>
        <w:tabs>
          <w:tab w:leader="none" w:pos="158"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As of December 31, 2021, L+ equals 3 month LIBOR plus x%, except Clearway Energy Operating LLC Revolving Credit Facility, due 2023, Marsh Landing, due 2023, and Walnut Creek, due 2023, where L+ equals 1 month LIBOR plus x%</w:t>
      </w:r>
    </w:p>
    <w:p>
      <w:pPr>
        <w:spacing w:after="0" w:line="12" w:lineRule="exact"/>
        <w:rPr>
          <w:rFonts w:ascii="Arial" w:cs="Arial" w:eastAsia="Arial" w:hAnsi="Arial"/>
          <w:sz w:val="17"/>
          <w:szCs w:val="17"/>
          <w:color w:val="auto"/>
          <w:vertAlign w:val="superscript"/>
        </w:rPr>
      </w:pPr>
    </w:p>
    <w:p>
      <w:pPr>
        <w:ind w:left="160" w:hanging="154"/>
        <w:spacing w:after="0"/>
        <w:tabs>
          <w:tab w:leader="none" w:pos="160"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Applicable rate is determined by the borrower leverage ratio, as defined in the credit agreement</w:t>
      </w:r>
    </w:p>
    <w:p>
      <w:pPr>
        <w:spacing w:after="0" w:line="17" w:lineRule="exact"/>
        <w:rPr>
          <w:rFonts w:ascii="Arial" w:cs="Arial" w:eastAsia="Arial" w:hAnsi="Arial"/>
          <w:sz w:val="17"/>
          <w:szCs w:val="17"/>
          <w:color w:val="auto"/>
          <w:vertAlign w:val="superscript"/>
        </w:rPr>
      </w:pPr>
    </w:p>
    <w:p>
      <w:pPr>
        <w:ind w:left="160" w:hanging="154"/>
        <w:spacing w:after="0" w:line="183" w:lineRule="auto"/>
        <w:tabs>
          <w:tab w:leader="none" w:pos="160" w:val="left"/>
        </w:tabs>
        <w:numPr>
          <w:ilvl w:val="0"/>
          <w:numId w:val="75"/>
        </w:numPr>
        <w:rPr>
          <w:rFonts w:ascii="Arial" w:cs="Arial" w:eastAsia="Arial" w:hAnsi="Arial"/>
          <w:sz w:val="19"/>
          <w:szCs w:val="19"/>
          <w:color w:val="auto"/>
          <w:vertAlign w:val="superscript"/>
        </w:rPr>
      </w:pPr>
      <w:r>
        <w:rPr>
          <w:rFonts w:ascii="Arial" w:cs="Arial" w:eastAsia="Arial" w:hAnsi="Arial"/>
          <w:sz w:val="13"/>
          <w:szCs w:val="13"/>
          <w:color w:val="auto"/>
        </w:rPr>
        <w:t>S+ equals SOFR, plus x%</w:t>
      </w:r>
    </w:p>
    <w:p>
      <w:pPr>
        <w:spacing w:after="0" w:line="31" w:lineRule="exact"/>
        <w:rPr>
          <w:rFonts w:ascii="Arial" w:cs="Arial" w:eastAsia="Arial" w:hAnsi="Arial"/>
          <w:sz w:val="19"/>
          <w:szCs w:val="19"/>
          <w:color w:val="auto"/>
          <w:vertAlign w:val="superscript"/>
        </w:rPr>
      </w:pPr>
    </w:p>
    <w:p>
      <w:pPr>
        <w:ind w:left="160" w:hanging="154"/>
        <w:spacing w:after="0" w:line="205" w:lineRule="auto"/>
        <w:tabs>
          <w:tab w:leader="none" w:pos="160"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Thermal Business long-term debt reclassified to held for sale in the fourth quarter of 2021</w:t>
      </w:r>
    </w:p>
    <w:p>
      <w:pPr>
        <w:spacing w:after="0" w:line="30" w:lineRule="exact"/>
        <w:rPr>
          <w:rFonts w:ascii="Arial" w:cs="Arial" w:eastAsia="Arial" w:hAnsi="Arial"/>
          <w:sz w:val="17"/>
          <w:szCs w:val="17"/>
          <w:color w:val="auto"/>
          <w:vertAlign w:val="superscript"/>
        </w:rPr>
      </w:pPr>
    </w:p>
    <w:p>
      <w:pPr>
        <w:ind w:left="160" w:hanging="154"/>
        <w:spacing w:after="0" w:line="205" w:lineRule="auto"/>
        <w:tabs>
          <w:tab w:leader="none" w:pos="160"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Premiums relate to the 2028 Senior Notes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both"/>
        <w:ind w:firstLine="396"/>
        <w:spacing w:after="0" w:line="218" w:lineRule="auto"/>
        <w:rPr>
          <w:sz w:val="20"/>
          <w:szCs w:val="20"/>
          <w:color w:val="auto"/>
        </w:rPr>
      </w:pPr>
      <w:r>
        <w:rPr>
          <w:rFonts w:ascii="Arial" w:cs="Arial" w:eastAsia="Arial" w:hAnsi="Arial"/>
          <w:sz w:val="18"/>
          <w:szCs w:val="18"/>
          <w:color w:val="212529"/>
        </w:rPr>
        <w:t>The financing arrangements listed above contain certain covenants, including financial covenants that the Company is required to be in compliance with during the term of the respective arrangement. As of December 31, 2021, the Company was in compliance with all of the required principal, interest, sinking fund and redemption covenants.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Agreement</w:t>
      </w:r>
    </w:p>
    <w:p>
      <w:pPr>
        <w:spacing w:after="0" w:line="149" w:lineRule="exact"/>
        <w:rPr>
          <w:sz w:val="20"/>
          <w:szCs w:val="20"/>
          <w:color w:val="auto"/>
        </w:rPr>
      </w:pPr>
    </w:p>
    <w:p>
      <w:pPr>
        <w:jc w:val="both"/>
        <w:ind w:firstLine="396"/>
        <w:spacing w:after="0" w:line="246" w:lineRule="auto"/>
        <w:rPr>
          <w:sz w:val="20"/>
          <w:szCs w:val="20"/>
          <w:color w:val="auto"/>
        </w:rPr>
      </w:pPr>
      <w:r>
        <w:rPr>
          <w:rFonts w:ascii="Arial" w:cs="Arial" w:eastAsia="Arial" w:hAnsi="Arial"/>
          <w:sz w:val="16"/>
          <w:szCs w:val="16"/>
          <w:color w:val="212529"/>
        </w:rPr>
        <w:t xml:space="preserve">On November 30, 2021, Clearway Energy Operating LLC entered into a senior secured bridge credit agreement, or the Bridge Loan Agreement. The Bridge Loan Agreement provides for a senior secured term loan facility in an aggregate principal amount of $335 million. Borrowings under the term loan facility bear interest, at Clearway Energy Operating LLC’s option, at a rate per annum equal to either (a) term SOFR, plus a SOFR adjustment and a margin equal to 1.00% during the period from December 1, 2021 through May 31, 2022, and 1.25% thereafter or (b) a base rate plus a margin equal to 0.00% during the period from December 1, 2021 through May 31, 2022, and 0.25% thereafter. The Bridge Loan Agreement will mature no later than November 29, 2022 and the Company intends to use the proceeds from the Thermal Disposition to repay the outstanding principal balance of the term loans under the Bridge Loan Agreement. Borrowings under the Bridge Loan Agreement are guaranteed by Clearway Energy LLC and certain subsidiaries of Clearway Operating LLC, other than subsidiaries that are excluded project companies, and are secured by substantially all of the assets of Clearway Energy Operating LLC and its guarantor subsidiaries. The borrowings under the term loan facility were used to </w:t>
      </w:r>
      <w:r>
        <w:rPr>
          <w:rFonts w:ascii="Arial" w:cs="Arial" w:eastAsia="Arial" w:hAnsi="Arial"/>
          <w:sz w:val="16"/>
          <w:szCs w:val="16"/>
          <w:color w:val="000000"/>
        </w:rPr>
        <w:t>acquire the Utah Solar Portfolio on December 1, 2021, as further described in</w:t>
      </w:r>
      <w:r>
        <w:rPr>
          <w:rFonts w:ascii="Arial" w:cs="Arial" w:eastAsia="Arial" w:hAnsi="Arial"/>
          <w:sz w:val="16"/>
          <w:szCs w:val="16"/>
          <w:color w:val="212529"/>
        </w:rPr>
        <w:t xml:space="preserve"> </w:t>
      </w:r>
      <w:r>
        <w:rPr>
          <w:rFonts w:ascii="Arial" w:cs="Arial" w:eastAsia="Arial" w:hAnsi="Arial"/>
          <w:sz w:val="16"/>
          <w:szCs w:val="16"/>
          <w:color w:val="000000"/>
        </w:rPr>
        <w:t xml:space="preserve">Note 3, </w:t>
      </w:r>
      <w:r>
        <w:rPr>
          <w:rFonts w:ascii="Arial" w:cs="Arial" w:eastAsia="Arial" w:hAnsi="Arial"/>
          <w:sz w:val="16"/>
          <w:szCs w:val="16"/>
          <w:i w:val="1"/>
          <w:iCs w:val="1"/>
          <w:color w:val="000000"/>
        </w:rPr>
        <w:t>Acquisitions and Dispositions</w:t>
      </w:r>
      <w:r>
        <w:rPr>
          <w:rFonts w:ascii="Arial" w:cs="Arial" w:eastAsia="Arial" w:hAnsi="Arial"/>
          <w:sz w:val="16"/>
          <w:szCs w:val="16"/>
          <w:color w:val="000000"/>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49" w:lineRule="exact"/>
        <w:rPr>
          <w:sz w:val="20"/>
          <w:szCs w:val="20"/>
          <w:color w:val="auto"/>
        </w:rPr>
      </w:pPr>
    </w:p>
    <w:p>
      <w:pPr>
        <w:jc w:val="both"/>
        <w:ind w:firstLine="396"/>
        <w:spacing w:after="0" w:line="245" w:lineRule="auto"/>
        <w:rPr>
          <w:sz w:val="20"/>
          <w:szCs w:val="20"/>
          <w:color w:val="auto"/>
        </w:rPr>
      </w:pPr>
      <w:r>
        <w:rPr>
          <w:rFonts w:ascii="Arial" w:cs="Arial" w:eastAsia="Arial" w:hAnsi="Arial"/>
          <w:sz w:val="16"/>
          <w:szCs w:val="16"/>
          <w:color w:val="212529"/>
        </w:rPr>
        <w:t xml:space="preserve">On November 30, 2021, </w:t>
      </w:r>
      <w:r>
        <w:rPr>
          <w:rFonts w:ascii="Arial" w:cs="Arial" w:eastAsia="Arial" w:hAnsi="Arial"/>
          <w:sz w:val="16"/>
          <w:szCs w:val="16"/>
          <w:color w:val="000000"/>
        </w:rPr>
        <w:t>Clearway Energy Operating LLC</w:t>
      </w:r>
      <w:r>
        <w:rPr>
          <w:rFonts w:ascii="Arial" w:cs="Arial" w:eastAsia="Arial" w:hAnsi="Arial"/>
          <w:sz w:val="16"/>
          <w:szCs w:val="16"/>
          <w:color w:val="212529"/>
        </w:rPr>
        <w:t xml:space="preserve"> entered into the Sixth Amendment to Amended and Restated Credit Agreement, which amended the Company’s revolving credit facility to provide for an increase of the maximum permitted Borrower Leverage Ratio (as defined in the credit agreement governing the Company’s revolving credit facility) to 6.00 to 1.00 during the period commencing on November 30, 2021 and ending on the date which is the earliest of (i) two business days following the consummation of the Thermal Disposition, (ii) 120 days following the termination or expiration of the agreement entered into with KKR to sell the Thermal Business and (iii) the maturity date of the Bridge Loan Agreement, or the Leverage Period Termination Date. The Sixth Amendment also (i) permits the incurrence of the term loan facility under the Bridge Loan Agreement, (ii) permits the incurrence of hedging obligations, subject to certain conditions, and provides for a $40 million basket for cash collateral which may be provided to secure hedging obligations (iii) permits the prepayment of unsecured, junior or subordinated indebtedness at any time following the Leverage Period Termination Date, subject to certain conditions, including that, after giving effect to such payment, the Borrower Leverage Ratio would not be greater than 5.50 to 1.00 and the Borrower Interest Coverage Ratio (as defined in the credit agreement governing the Company's revolving credit facility) would not be less than 1.75 to 1.00 and (iv) implements certain other technical modifications.</w:t>
      </w:r>
    </w:p>
    <w:p>
      <w:pPr>
        <w:spacing w:after="0" w:line="137"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As of December 31, 2021, the Company had $245 million in outstanding borrowings under the revolving credit facility and $83 million in letters of credit outstanding. During the year ended December 31, 2021, the Company borrowed $622 million under the revolving credit facility, and subsequently repaid $377 million utilizing cash on hand and proceeds from the issuance of the 2031 Senior Notes, as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2032 Senior Notes</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 as described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 Tender Offer and Redemption</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October 2021, the Company repurchased and redeemed an aggregate principal amount of $350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62"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In March 2021, the Company repurchased and redeemed an aggregate principal amount of $600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2020 Convertible Notes matured on June 1, 2020 and the Company repaid the outstanding principal amount of $45 million. The repayment was funded by the issuance of the 2028 Senior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62"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The 2028 Senior Notes are unsecured obligations of Clearway Energy Operating, LLC and are guaranteed by Clearway Energy, LLC and by certain of Clearway Energy Operating LLC’s wholly-owned current and future subsidiaries. The notes were issued at a price of 102% of par plus accrued interest from December 11, 2019. The net proceeds were utilized to repay the $45 million outstanding principal amount of the Company's 2020 Convertible Notes on June 1, 2020, as well as to repay amounts outstanding under the Company’s revolving credit facility and for general corporate purposes.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 Redemption</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January 3, 2020, the Company redeemed the $88 million aggregate principal amount of the 2024 Senior Notes that remained outstanding following</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Note with Clearway Energy, Inc</w:t>
      </w:r>
      <w:r>
        <w:rPr>
          <w:rFonts w:ascii="Arial" w:cs="Arial" w:eastAsia="Arial" w:hAnsi="Arial"/>
          <w:sz w:val="18"/>
          <w:szCs w:val="18"/>
          <w:i w:val="1"/>
          <w:iCs w:val="1"/>
          <w:color w:val="auto"/>
        </w:rPr>
        <w:t>.</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 As of December 31, 2021, $1 million was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level Debt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Agua Caliente Solar LLC</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 xml:space="preserve">As part of the acquisition of Agua Caliente Borrower 1 LLC and the consolidation of Agua Caliente, as further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Dispositions, </w:t>
      </w:r>
      <w:r>
        <w:rPr>
          <w:rFonts w:ascii="Arial" w:cs="Arial" w:eastAsia="Arial" w:hAnsi="Arial"/>
          <w:sz w:val="16"/>
          <w:szCs w:val="16"/>
          <w:color w:val="auto"/>
        </w:rPr>
        <w:t>the Company consolidated non-recourse debt of $716 million related to Agua Caliente Solar, LLC on February 3, 2021. The debt consists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with the Federal Financing Bank and accrues interest at fixed rates between 2.395% and 3.633%, which matures in 2037.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4" w:name="page135"/>
    <w:bookmarkEnd w:id="134"/>
    <w:p>
      <w:pPr>
        <w:ind w:left="40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On December 15, 2021, the Company repaid the outstanding principal amount of $117 million.</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Rosamond Central (Rosie Class B LLC)</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On December 21, 2020, as part of the acquisition of Rosie TargetCo LLC, as further descried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Company assumed the Amended and Restated Financing Agreement, which provided for a construction loan of up to $91 million, a cash equity bridge loan of up to $24 million and an investment tax credit loan of up to $132 million.</w:t>
      </w:r>
    </w:p>
    <w:p>
      <w:pPr>
        <w:spacing w:after="0" w:line="137"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On December 31, 2020, Rosie Class B, LLC converted the construction loan to a $80 million term loan and repaid the investment tax credit loan of $130 million, utilizing tax equity funding. The term loan bears annual interest at a rate of LIBOR plus an applicable margin, which is 1.75% per annum through the third anniversary of the term conversion, and 2.00% per annum thereafter through the maturity date of December 31, 2027. In addition, Rosie Class B LLC is party to several letter of credit facility agreements, not to exceed $23 million. As of December 31, 2021, a total of $17 million in letters of credit were outstanding.</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Consolidation of DGPV Holdco 3</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Upon consolidation of DGPV Holdco 3, as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the Company consolidates additional non-recourse debt for certain subsidiaries as further described below.</w:t>
      </w:r>
    </w:p>
    <w:p>
      <w:pPr>
        <w:spacing w:after="0" w:line="12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Renew CS4 Borrower LLC, or CS4 Borrower, a consolidated subsidiary of DGPV Holdco 3, is party to a credit agreement for construction loans up to $97 million, an investment tax credit bridge loan, or ITC bridge loan, for up to $90 million and letter of credit facilities up to $5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was repaid on November 2, 2020 with the proceeds of the term loan issued by DG-CS Master Borrower LLC, as described below.</w:t>
      </w:r>
    </w:p>
    <w:p>
      <w:pPr>
        <w:spacing w:after="0" w:line="113"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 million and letters of credit of up to $8 million. The loans were repaid on November 2, 2020 with the proceeds of the term loan issued by DG-CS Master Borrower LLC, as described below</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DG-CS Master Borrower LLC</w:t>
      </w:r>
    </w:p>
    <w:p>
      <w:pPr>
        <w:spacing w:after="0" w:line="16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 xml:space="preserve">On November 2, 2020, DG-CS Master Borrower LLC, a wholly-owned subsidiary of Clearway Energy Operating LLC, entered into a financing arrangement, which included the issuance of a $467 million term loan, as well as $30 million in letters of credit in support of debt service. The term loan bears interest at 3.51% and matures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5, </w:t>
      </w:r>
      <w:r>
        <w:rPr>
          <w:rFonts w:ascii="Arial" w:cs="Arial" w:eastAsia="Arial" w:hAnsi="Arial"/>
          <w:sz w:val="16"/>
          <w:szCs w:val="16"/>
          <w:i w:val="1"/>
          <w:iCs w:val="1"/>
          <w:color w:val="auto"/>
        </w:rPr>
        <w:t xml:space="preserve">Investments Accounted for by the Equity Method and Variable Interest Entities. </w:t>
      </w:r>
      <w:r>
        <w:rPr>
          <w:rFonts w:ascii="Arial" w:cs="Arial" w:eastAsia="Arial" w:hAnsi="Arial"/>
          <w:sz w:val="16"/>
          <w:szCs w:val="16"/>
          <w:color w:val="auto"/>
        </w:rPr>
        <w:t>Concurrent with the refinancing, the projects were transferred under DG-CS</w:t>
      </w:r>
      <w:r>
        <w:rPr>
          <w:rFonts w:ascii="Arial" w:cs="Arial" w:eastAsia="Arial" w:hAnsi="Arial"/>
          <w:sz w:val="16"/>
          <w:szCs w:val="16"/>
          <w:i w:val="1"/>
          <w:iCs w:val="1"/>
          <w:color w:val="auto"/>
        </w:rPr>
        <w:t xml:space="preserve"> </w:t>
      </w:r>
      <w:r>
        <w:rPr>
          <w:rFonts w:ascii="Arial" w:cs="Arial" w:eastAsia="Arial" w:hAnsi="Arial"/>
          <w:sz w:val="16"/>
          <w:szCs w:val="16"/>
          <w:color w:val="auto"/>
        </w:rPr>
        <w:t>Master Borrower LLC and the obligations under the financing arrangement are supported by the Company's interest in the projects.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Utah Solar Holdings, LLC</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as well as $16 million in letters of credit in support of debt service obligations.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5" w:name="page136"/>
    <w:bookmarkEnd w:id="135"/>
    <w:p>
      <w:pPr>
        <w:ind w:left="400"/>
        <w:spacing w:after="0"/>
        <w:rPr>
          <w:sz w:val="20"/>
          <w:szCs w:val="20"/>
          <w:color w:val="auto"/>
        </w:rPr>
      </w:pPr>
      <w:r>
        <w:rPr>
          <w:rFonts w:ascii="Arial" w:cs="Arial" w:eastAsia="Arial" w:hAnsi="Arial"/>
          <w:sz w:val="18"/>
          <w:szCs w:val="18"/>
          <w:i w:val="1"/>
          <w:iCs w:val="1"/>
          <w:color w:val="auto"/>
        </w:rPr>
        <w:t>NIMH Solar LLC</w:t>
      </w:r>
    </w:p>
    <w:p>
      <w:pPr>
        <w:spacing w:after="0" w:line="162"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interest at an annual rate of LIBOR, plus an applicable margin, which is 2.00% per annum through the third anniversary of closing, and 2.125% per annum thereafter through the maturity date in September 2024. As a result of the amendment the Company received $35 million, which was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6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40" w:lineRule="exact"/>
        <w:rPr>
          <w:sz w:val="20"/>
          <w:szCs w:val="20"/>
          <w:color w:val="auto"/>
        </w:rPr>
      </w:pPr>
    </w:p>
    <w:p>
      <w:pPr>
        <w:jc w:val="both"/>
        <w:ind w:firstLine="189"/>
        <w:spacing w:after="0" w:line="262" w:lineRule="auto"/>
        <w:rPr>
          <w:sz w:val="20"/>
          <w:szCs w:val="20"/>
          <w:color w:val="auto"/>
        </w:rPr>
      </w:pPr>
      <w:r>
        <w:rPr>
          <w:rFonts w:ascii="Arial" w:cs="Arial" w:eastAsia="Arial" w:hAnsi="Arial"/>
          <w:sz w:val="18"/>
          <w:szCs w:val="18"/>
          <w:color w:val="auto"/>
        </w:rPr>
        <w:t>The following table summarizes the swaps, some of which are forward starting as indicated, related to the Company's project level debt as of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Interest</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Notional Amount at</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 of Principal</w:t>
            </w:r>
          </w:p>
        </w:tc>
        <w:tc>
          <w:tcPr>
            <w:tcW w:w="100" w:type="dxa"/>
            <w:vAlign w:val="bottom"/>
            <w:vMerge w:val="restart"/>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Floating Interest Rate</w:t>
            </w:r>
          </w:p>
        </w:tc>
        <w:tc>
          <w:tcPr>
            <w:tcW w:w="100" w:type="dxa"/>
            <w:vAlign w:val="bottom"/>
            <w:vMerge w:val="restart"/>
          </w:tcPr>
          <w:p>
            <w:pPr>
              <w:spacing w:after="0"/>
              <w:rPr>
                <w:sz w:val="11"/>
                <w:szCs w:val="11"/>
                <w:color w:val="auto"/>
              </w:rPr>
            </w:pPr>
          </w:p>
        </w:tc>
        <w:tc>
          <w:tcPr>
            <w:tcW w:w="148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2"/>
              </w:rPr>
              <w:t>December 31, 2021 (In</w:t>
            </w:r>
          </w:p>
        </w:tc>
        <w:tc>
          <w:tcPr>
            <w:tcW w:w="100" w:type="dxa"/>
            <w:vAlign w:val="bottom"/>
          </w:tcPr>
          <w:p>
            <w:pPr>
              <w:spacing w:after="0"/>
              <w:rPr>
                <w:sz w:val="11"/>
                <w:szCs w:val="11"/>
                <w:color w:val="auto"/>
              </w:rPr>
            </w:pPr>
          </w:p>
        </w:tc>
        <w:tc>
          <w:tcPr>
            <w:tcW w:w="17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vMerge w:val="restart"/>
          </w:tcPr>
          <w:p>
            <w:pPr>
              <w:spacing w:after="0"/>
              <w:rPr>
                <w:sz w:val="11"/>
                <w:szCs w:val="11"/>
                <w:color w:val="auto"/>
              </w:rPr>
            </w:pPr>
          </w:p>
        </w:tc>
        <w:tc>
          <w:tcPr>
            <w:tcW w:w="1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4"/>
        </w:trPr>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millions)</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Avra Valley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30, 2012</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30, 2030</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w w:val="98"/>
              </w:rPr>
              <w:t>Alta Wind Asset Management</w:t>
            </w:r>
          </w:p>
        </w:tc>
        <w:tc>
          <w:tcPr>
            <w:tcW w:w="106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22, 2013</w:t>
            </w:r>
          </w:p>
        </w:tc>
        <w:tc>
          <w:tcPr>
            <w:tcW w:w="1940" w:type="dxa"/>
            <w:vAlign w:val="bottom"/>
          </w:tcPr>
          <w:p>
            <w:pPr>
              <w:jc w:val="right"/>
              <w:spacing w:after="0"/>
              <w:rPr>
                <w:sz w:val="20"/>
                <w:szCs w:val="20"/>
                <w:color w:val="auto"/>
              </w:rPr>
            </w:pPr>
            <w:r>
              <w:rPr>
                <w:rFonts w:ascii="Arial" w:cs="Arial" w:eastAsia="Arial" w:hAnsi="Arial"/>
                <w:sz w:val="16"/>
                <w:szCs w:val="16"/>
                <w:color w:val="auto"/>
              </w:rPr>
              <w:t>May 15, 2031</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Borrego</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0.476 %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30, 2020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Buckthorn Solar</w:t>
            </w:r>
          </w:p>
        </w:tc>
        <w:tc>
          <w:tcPr>
            <w:tcW w:w="106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28, 2018</w:t>
            </w:r>
          </w:p>
        </w:tc>
        <w:tc>
          <w:tcPr>
            <w:tcW w:w="1940" w:type="dxa"/>
            <w:vAlign w:val="bottom"/>
          </w:tcPr>
          <w:p>
            <w:pPr>
              <w:jc w:val="right"/>
              <w:spacing w:after="0"/>
              <w:rPr>
                <w:sz w:val="20"/>
                <w:szCs w:val="20"/>
                <w:color w:val="auto"/>
              </w:rPr>
            </w:pPr>
            <w:r>
              <w:rPr>
                <w:rFonts w:ascii="Arial" w:cs="Arial" w:eastAsia="Arial" w:hAnsi="Arial"/>
                <w:sz w:val="16"/>
                <w:szCs w:val="16"/>
                <w:color w:val="auto"/>
              </w:rPr>
              <w:t>December 31, 2041</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Carlsbad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El Segundo</w:t>
            </w:r>
          </w:p>
        </w:tc>
        <w:tc>
          <w:tcPr>
            <w:tcW w:w="106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Various</w:t>
            </w:r>
          </w:p>
        </w:tc>
        <w:tc>
          <w:tcPr>
            <w:tcW w:w="1940" w:type="dxa"/>
            <w:vAlign w:val="bottom"/>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Kansas South</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6-Month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28, 2013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2030</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Kawailoa Solar</w:t>
            </w:r>
          </w:p>
        </w:tc>
        <w:tc>
          <w:tcPr>
            <w:tcW w:w="106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30, 2019</w:t>
            </w:r>
          </w:p>
        </w:tc>
        <w:tc>
          <w:tcPr>
            <w:tcW w:w="194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Laredo Ridge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17, 2014</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2028</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Marsh Landing</w:t>
            </w:r>
          </w:p>
        </w:tc>
        <w:tc>
          <w:tcPr>
            <w:tcW w:w="106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28, 2013</w:t>
            </w:r>
          </w:p>
        </w:tc>
        <w:tc>
          <w:tcPr>
            <w:tcW w:w="1940" w:type="dxa"/>
            <w:vAlign w:val="bottom"/>
          </w:tcPr>
          <w:p>
            <w:pPr>
              <w:jc w:val="right"/>
              <w:spacing w:after="0"/>
              <w:rPr>
                <w:sz w:val="20"/>
                <w:szCs w:val="20"/>
                <w:color w:val="auto"/>
              </w:rPr>
            </w:pPr>
            <w:r>
              <w:rPr>
                <w:rFonts w:ascii="Arial" w:cs="Arial" w:eastAsia="Arial" w:hAnsi="Arial"/>
                <w:sz w:val="16"/>
                <w:szCs w:val="16"/>
                <w:color w:val="auto"/>
              </w:rPr>
              <w:t>June 30, 2023</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NIMH Solar LLC</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30, 2020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Oahu Solar</w:t>
            </w:r>
          </w:p>
        </w:tc>
        <w:tc>
          <w:tcPr>
            <w:tcW w:w="106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30, 2019</w:t>
            </w:r>
          </w:p>
        </w:tc>
        <w:tc>
          <w:tcPr>
            <w:tcW w:w="194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Rosie Class B</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31, 2020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South Trent</w:t>
            </w:r>
          </w:p>
        </w:tc>
        <w:tc>
          <w:tcPr>
            <w:tcW w:w="106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3.847 %</w:t>
            </w:r>
          </w:p>
        </w:tc>
        <w:tc>
          <w:tcPr>
            <w:tcW w:w="12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14, 2019</w:t>
            </w:r>
          </w:p>
        </w:tc>
        <w:tc>
          <w:tcPr>
            <w:tcW w:w="1940" w:type="dxa"/>
            <w:vAlign w:val="bottom"/>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Tapestry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Viento Funding II</w:t>
            </w:r>
          </w:p>
        </w:tc>
        <w:tc>
          <w:tcPr>
            <w:tcW w:w="106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3.03 %</w:t>
            </w:r>
          </w:p>
        </w:tc>
        <w:tc>
          <w:tcPr>
            <w:tcW w:w="12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6-Month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Various</w:t>
            </w:r>
          </w:p>
        </w:tc>
        <w:tc>
          <w:tcPr>
            <w:tcW w:w="1940" w:type="dxa"/>
            <w:vAlign w:val="bottom"/>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4"/>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Viento Funding II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6-Month LIBOR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11, 2023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Walnut Creek Energy</w:t>
            </w:r>
          </w:p>
        </w:tc>
        <w:tc>
          <w:tcPr>
            <w:tcW w:w="106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3.543 %</w:t>
            </w:r>
          </w:p>
        </w:tc>
        <w:tc>
          <w:tcPr>
            <w:tcW w:w="12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28, 2013</w:t>
            </w:r>
          </w:p>
        </w:tc>
        <w:tc>
          <w:tcPr>
            <w:tcW w:w="1940" w:type="dxa"/>
            <w:vAlign w:val="bottom"/>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WCEP Holdings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3-Month LIBOR</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28, 2013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08"/>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Annual payments based on the maturities of the Company's debt, for the years ending after December 31, 2021,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(In millions)</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4"/>
        </w:trPr>
        <w:tc>
          <w:tcPr>
            <w:tcW w:w="9140" w:type="dxa"/>
            <w:vAlign w:val="bottom"/>
          </w:tcPr>
          <w:p>
            <w:pPr>
              <w:ind w:left="20"/>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4"/>
        </w:trPr>
        <w:tc>
          <w:tcPr>
            <w:tcW w:w="914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2025 </w:t>
            </w:r>
            <w:r>
              <w:rPr>
                <w:rFonts w:ascii="Arial" w:cs="Arial" w:eastAsia="Arial" w:hAnsi="Arial"/>
                <w:sz w:val="20"/>
                <w:szCs w:val="20"/>
                <w:color w:val="auto"/>
                <w:vertAlign w:val="superscript"/>
              </w:rPr>
              <w:t>(a)</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4"/>
        </w:trPr>
        <w:tc>
          <w:tcPr>
            <w:tcW w:w="9140" w:type="dxa"/>
            <w:vAlign w:val="bottom"/>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2026 </w:t>
            </w:r>
            <w:r>
              <w:rPr>
                <w:rFonts w:ascii="Arial" w:cs="Arial" w:eastAsia="Arial" w:hAnsi="Arial"/>
                <w:sz w:val="20"/>
                <w:szCs w:val="20"/>
                <w:color w:val="auto"/>
                <w:vertAlign w:val="superscript"/>
              </w:rPr>
              <w:t>(a)</w:t>
            </w: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4"/>
        </w:trPr>
        <w:tc>
          <w:tcPr>
            <w:tcW w:w="914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6"/>
                <w:szCs w:val="16"/>
                <w:color w:val="auto"/>
              </w:rPr>
              <w:t xml:space="preserve">Thereafter </w:t>
            </w:r>
            <w:r>
              <w:rPr>
                <w:rFonts w:ascii="Arial" w:cs="Arial" w:eastAsia="Arial" w:hAnsi="Arial"/>
                <w:sz w:val="20"/>
                <w:szCs w:val="20"/>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r>
      <w:tr>
        <w:trPr>
          <w:trHeight w:val="217"/>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r>
    </w:tbl>
    <w:p>
      <w:pPr>
        <w:spacing w:after="0" w:line="127" w:lineRule="exact"/>
        <w:rPr>
          <w:sz w:val="20"/>
          <w:szCs w:val="20"/>
          <w:color w:val="auto"/>
        </w:rPr>
      </w:pPr>
    </w:p>
    <w:p>
      <w:pPr>
        <w:ind w:firstLine="85"/>
        <w:spacing w:after="0"/>
        <w:tabs>
          <w:tab w:leader="none" w:pos="234" w:val="left"/>
        </w:tabs>
        <w:numPr>
          <w:ilvl w:val="0"/>
          <w:numId w:val="76"/>
        </w:numPr>
        <w:rPr>
          <w:rFonts w:ascii="Arial" w:cs="Arial" w:eastAsia="Arial" w:hAnsi="Arial"/>
          <w:sz w:val="18"/>
          <w:szCs w:val="18"/>
          <w:color w:val="auto"/>
          <w:vertAlign w:val="superscript"/>
        </w:rPr>
      </w:pPr>
      <w:r>
        <w:rPr>
          <w:rFonts w:ascii="Arial" w:cs="Arial" w:eastAsia="Arial" w:hAnsi="Arial"/>
          <w:sz w:val="11"/>
          <w:szCs w:val="11"/>
          <w:color w:val="auto"/>
        </w:rPr>
        <w:t>Annual payments based on the maturities of Thermal Business long-term debt reclassified to held for sale in the fourth quarter of 2021 are $4 million, $15 million and $404 million due in 2025, 2026 and thereafter,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Members' Equity</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 2021</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Third Quarter 2021</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Second Quarter 2021</w:t>
            </w:r>
          </w:p>
        </w:tc>
        <w:tc>
          <w:tcPr>
            <w:tcW w:w="14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First Quarter 2021</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0.3290</w:t>
            </w: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0.3290</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34"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On February 17, 2022, the Company declared a quarterly distribution on its Class A, Class B, Class C and Class D units of $0.3468 per unit payable on March 15,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12 — Segment Reporting</w:t>
      </w:r>
    </w:p>
    <w:p>
      <w:pPr>
        <w:spacing w:after="0" w:line="168" w:lineRule="exact"/>
        <w:rPr>
          <w:sz w:val="20"/>
          <w:szCs w:val="20"/>
          <w:color w:val="auto"/>
        </w:rPr>
      </w:pPr>
    </w:p>
    <w:p>
      <w:pPr>
        <w:jc w:val="both"/>
        <w:ind w:firstLine="196"/>
        <w:spacing w:after="0" w:line="287" w:lineRule="auto"/>
        <w:rPr>
          <w:sz w:val="20"/>
          <w:szCs w:val="20"/>
          <w:color w:val="auto"/>
        </w:rPr>
      </w:pPr>
      <w:r>
        <w:rPr>
          <w:rFonts w:ascii="Arial" w:cs="Arial" w:eastAsia="Arial" w:hAnsi="Arial"/>
          <w:sz w:val="16"/>
          <w:szCs w:val="16"/>
          <w:color w:val="auto"/>
        </w:rPr>
        <w:t>The Company’s segment structure reflects how management currently operates and allocates resources. The Company's businesses are segregated based on conventional power generation, renewable businesses, which consist of solar and wind, and the Thermal Business, which is held for sale as of December 31, 2021.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generated more than 10% of its revenues from the following customers for the years ended December 31, 2021, 2020 and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Customer</w:t>
            </w: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Conventional</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Renewables</w:t>
            </w:r>
          </w:p>
        </w:tc>
        <w:tc>
          <w:tcPr>
            <w:tcW w:w="108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Renewables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Conventional</w:t>
            </w:r>
          </w:p>
        </w:tc>
        <w:tc>
          <w:tcPr>
            <w:tcW w:w="120" w:type="dxa"/>
            <w:vAlign w:val="bottom"/>
          </w:tcPr>
          <w:p>
            <w:pPr>
              <w:spacing w:after="0"/>
              <w:rPr>
                <w:sz w:val="16"/>
                <w:szCs w:val="16"/>
                <w:color w:val="auto"/>
              </w:rPr>
            </w:pP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w w:val="86"/>
              </w:rPr>
              <w:t>Renewables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SCE</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center"/>
              <w:ind w:right="230"/>
              <w:spacing w:after="0"/>
              <w:rPr>
                <w:sz w:val="20"/>
                <w:szCs w:val="20"/>
                <w:color w:val="auto"/>
              </w:rPr>
            </w:pPr>
            <w:r>
              <w:rPr>
                <w:rFonts w:ascii="Arial" w:cs="Arial" w:eastAsia="Arial" w:hAnsi="Arial"/>
                <w:sz w:val="16"/>
                <w:szCs w:val="16"/>
                <w:color w:val="auto"/>
                <w:w w:val="87"/>
              </w:rPr>
              <w:t>18%</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93"/>
              </w:rPr>
              <w:t>16%</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20"/>
              <w:spacing w:after="0"/>
              <w:rPr>
                <w:sz w:val="20"/>
                <w:szCs w:val="20"/>
                <w:color w:val="auto"/>
              </w:rPr>
            </w:pPr>
            <w:r>
              <w:rPr>
                <w:rFonts w:ascii="Arial" w:cs="Arial" w:eastAsia="Arial" w:hAnsi="Arial"/>
                <w:sz w:val="16"/>
                <w:szCs w:val="16"/>
                <w:color w:val="auto"/>
              </w:rPr>
              <w:t>PG&amp;E</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9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jc w:val="center"/>
              <w:ind w:right="230"/>
              <w:spacing w:after="0"/>
              <w:rPr>
                <w:sz w:val="20"/>
                <w:szCs w:val="20"/>
                <w:color w:val="auto"/>
              </w:rPr>
            </w:pPr>
            <w:r>
              <w:rPr>
                <w:rFonts w:ascii="Arial" w:cs="Arial" w:eastAsia="Arial" w:hAnsi="Arial"/>
                <w:sz w:val="16"/>
                <w:szCs w:val="16"/>
                <w:color w:val="auto"/>
                <w:w w:val="87"/>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82"/>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8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3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2"/>
          </w:tcPr>
          <w:p>
            <w:pPr>
              <w:jc w:val="right"/>
              <w:ind w:right="920"/>
              <w:spacing w:after="0"/>
              <w:rPr>
                <w:sz w:val="20"/>
                <w:szCs w:val="20"/>
                <w:color w:val="auto"/>
              </w:rPr>
            </w:pPr>
            <w:r>
              <w:rPr>
                <w:rFonts w:ascii="Arial" w:cs="Arial" w:eastAsia="Arial" w:hAnsi="Arial"/>
                <w:sz w:val="14"/>
                <w:szCs w:val="14"/>
                <w:b w:val="1"/>
                <w:bCs w:val="1"/>
                <w:color w:val="auto"/>
                <w:w w:val="90"/>
              </w:rPr>
              <w:t>Year ended December 31, 2021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right"/>
              <w:ind w:right="61"/>
              <w:spacing w:after="0" w:line="131"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080" w:type="dxa"/>
            <w:vAlign w:val="bottom"/>
            <w:gridSpan w:val="4"/>
            <w:vMerge w:val="restart"/>
          </w:tcPr>
          <w:p>
            <w:pPr>
              <w:jc w:val="right"/>
              <w:ind w:right="104"/>
              <w:spacing w:after="0"/>
              <w:rPr>
                <w:sz w:val="20"/>
                <w:szCs w:val="20"/>
                <w:color w:val="auto"/>
              </w:rPr>
            </w:pPr>
            <w:r>
              <w:rPr>
                <w:rFonts w:ascii="Arial" w:cs="Arial" w:eastAsia="Arial" w:hAnsi="Arial"/>
                <w:sz w:val="14"/>
                <w:szCs w:val="14"/>
                <w:b w:val="1"/>
                <w:bCs w:val="1"/>
                <w:color w:val="auto"/>
              </w:rPr>
              <w:t>Renewables</w:t>
            </w:r>
          </w:p>
        </w:tc>
        <w:tc>
          <w:tcPr>
            <w:tcW w:w="120" w:type="dxa"/>
            <w:vAlign w:val="bottom"/>
            <w:vMerge w:val="restart"/>
          </w:tcPr>
          <w:p>
            <w:pPr>
              <w:spacing w:after="0"/>
              <w:rPr>
                <w:sz w:val="11"/>
                <w:szCs w:val="11"/>
                <w:color w:val="auto"/>
              </w:rPr>
            </w:pPr>
          </w:p>
        </w:tc>
        <w:tc>
          <w:tcPr>
            <w:tcW w:w="10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Thermal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8"/>
                <w:szCs w:val="18"/>
                <w:b w:val="1"/>
                <w:bCs w:val="1"/>
                <w:color w:val="auto"/>
                <w:vertAlign w:val="superscript"/>
              </w:rPr>
              <w:t>(a)</w:t>
            </w:r>
          </w:p>
        </w:tc>
        <w:tc>
          <w:tcPr>
            <w:tcW w:w="120" w:type="dxa"/>
            <w:vAlign w:val="bottom"/>
          </w:tcPr>
          <w:p>
            <w:pPr>
              <w:spacing w:after="0"/>
              <w:rPr>
                <w:sz w:val="11"/>
                <w:szCs w:val="11"/>
                <w:color w:val="auto"/>
              </w:rPr>
            </w:pPr>
          </w:p>
        </w:tc>
        <w:tc>
          <w:tcPr>
            <w:tcW w:w="9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9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620" w:type="dxa"/>
            <w:vAlign w:val="bottom"/>
            <w:gridSpan w:val="2"/>
            <w:shd w:val="clear" w:color="auto" w:fill="CCEEFF"/>
          </w:tcPr>
          <w:p>
            <w:pPr>
              <w:jc w:val="center"/>
              <w:ind w:right="190"/>
              <w:spacing w:after="0"/>
              <w:rPr>
                <w:sz w:val="20"/>
                <w:szCs w:val="20"/>
                <w:color w:val="auto"/>
              </w:rPr>
            </w:pPr>
            <w:r>
              <w:rPr>
                <w:rFonts w:ascii="Arial" w:cs="Arial" w:eastAsia="Arial" w:hAnsi="Arial"/>
                <w:sz w:val="16"/>
                <w:szCs w:val="16"/>
                <w:color w:val="auto"/>
                <w:w w:val="8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60" w:type="dxa"/>
            <w:vAlign w:val="bottom"/>
            <w:gridSpan w:val="7"/>
          </w:tcPr>
          <w:p>
            <w:pPr>
              <w:ind w:left="180"/>
              <w:spacing w:after="0" w:line="161" w:lineRule="exact"/>
              <w:rPr>
                <w:sz w:val="20"/>
                <w:szCs w:val="20"/>
                <w:color w:val="auto"/>
              </w:rPr>
            </w:pPr>
            <w:r>
              <w:rPr>
                <w:rFonts w:ascii="Arial" w:cs="Arial" w:eastAsia="Arial" w:hAnsi="Arial"/>
                <w:sz w:val="16"/>
                <w:szCs w:val="16"/>
                <w:color w:val="auto"/>
              </w:rPr>
              <w:t>Cost of operations, exclusive of depreciation, amortization and accretion shown</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6"/>
                <w:szCs w:val="16"/>
                <w:color w:val="auto"/>
              </w:rPr>
              <w:t>separately below</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140"/>
              <w:spacing w:after="0"/>
              <w:rPr>
                <w:sz w:val="20"/>
                <w:szCs w:val="20"/>
                <w:color w:val="auto"/>
              </w:rPr>
            </w:pPr>
            <w:r>
              <w:rPr>
                <w:rFonts w:ascii="Arial" w:cs="Arial" w:eastAsia="Arial" w:hAnsi="Arial"/>
                <w:sz w:val="16"/>
                <w:szCs w:val="16"/>
                <w:color w:val="auto"/>
              </w:rPr>
              <w:t>Impairment losses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140"/>
              <w:spacing w:after="0"/>
              <w:rPr>
                <w:sz w:val="20"/>
                <w:szCs w:val="20"/>
                <w:color w:val="auto"/>
              </w:rPr>
            </w:pPr>
            <w:r>
              <w:rPr>
                <w:rFonts w:ascii="Arial" w:cs="Arial" w:eastAsia="Arial" w:hAnsi="Arial"/>
                <w:sz w:val="16"/>
                <w:szCs w:val="16"/>
                <w:color w:val="auto"/>
              </w:rPr>
              <w:t>Transaction and integration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Equity in earnings of unconsolidated affiliates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 net</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6"/>
                <w:szCs w:val="16"/>
                <w:color w:val="auto"/>
              </w:rPr>
              <w:t>Income tax expense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2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040" w:type="dxa"/>
            <w:vAlign w:val="bottom"/>
            <w:gridSpan w:val="2"/>
          </w:tcPr>
          <w:p>
            <w:pPr>
              <w:jc w:val="right"/>
              <w:ind w:right="39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172</w:t>
            </w:r>
          </w:p>
        </w:tc>
        <w:tc>
          <w:tcPr>
            <w:tcW w:w="620" w:type="dxa"/>
            <w:vAlign w:val="bottom"/>
            <w:gridSpan w:val="2"/>
          </w:tcPr>
          <w:p>
            <w:pPr>
              <w:jc w:val="center"/>
              <w:ind w:right="190"/>
              <w:spacing w:after="0"/>
              <w:rPr>
                <w:sz w:val="20"/>
                <w:szCs w:val="20"/>
                <w:color w:val="auto"/>
              </w:rPr>
            </w:pPr>
            <w:r>
              <w:rPr>
                <w:rFonts w:ascii="Arial" w:cs="Arial" w:eastAsia="Arial" w:hAnsi="Arial"/>
                <w:sz w:val="16"/>
                <w:szCs w:val="16"/>
                <w:color w:val="auto"/>
                <w:w w:val="89"/>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Balance Sheet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6"/>
                <w:szCs w:val="16"/>
                <w:color w:val="auto"/>
              </w:rPr>
              <w:t>Equity investment in affiliates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9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620" w:type="dxa"/>
            <w:vAlign w:val="bottom"/>
            <w:gridSpan w:val="2"/>
          </w:tcPr>
          <w:p>
            <w:pPr>
              <w:jc w:val="center"/>
              <w:ind w:right="190"/>
              <w:spacing w:after="0"/>
              <w:rPr>
                <w:sz w:val="20"/>
                <w:szCs w:val="20"/>
                <w:color w:val="auto"/>
              </w:rPr>
            </w:pPr>
            <w:r>
              <w:rPr>
                <w:rFonts w:ascii="Arial" w:cs="Arial" w:eastAsia="Arial" w:hAnsi="Arial"/>
                <w:sz w:val="16"/>
                <w:szCs w:val="16"/>
                <w:color w:val="auto"/>
                <w:w w:val="89"/>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0"/>
                <w:szCs w:val="20"/>
                <w:color w:val="auto"/>
                <w:vertAlign w:val="superscript"/>
              </w:rPr>
              <w:t>(b)</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20"/>
                <w:szCs w:val="20"/>
                <w:b w:val="1"/>
                <w:bCs w:val="1"/>
                <w:color w:val="auto"/>
                <w:vertAlign w:val="superscript"/>
              </w:rPr>
              <w:t>(c)</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39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2,442</w:t>
            </w:r>
          </w:p>
        </w:tc>
        <w:tc>
          <w:tcPr>
            <w:tcW w:w="620" w:type="dxa"/>
            <w:vAlign w:val="bottom"/>
            <w:gridSpan w:val="2"/>
          </w:tcPr>
          <w:p>
            <w:pPr>
              <w:jc w:val="center"/>
              <w:ind w:right="190"/>
              <w:spacing w:after="0"/>
              <w:rPr>
                <w:sz w:val="20"/>
                <w:szCs w:val="20"/>
                <w:color w:val="auto"/>
              </w:rPr>
            </w:pPr>
            <w:r>
              <w:rPr>
                <w:rFonts w:ascii="Arial" w:cs="Arial" w:eastAsia="Arial" w:hAnsi="Arial"/>
                <w:sz w:val="16"/>
                <w:szCs w:val="16"/>
                <w:color w:val="auto"/>
                <w:w w:val="89"/>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9,603</w:t>
            </w:r>
          </w:p>
        </w:tc>
        <w:tc>
          <w:tcPr>
            <w:tcW w:w="120" w:type="dxa"/>
            <w:vAlign w:val="bottom"/>
          </w:tcPr>
          <w:p>
            <w:pPr>
              <w:spacing w:after="0"/>
              <w:rPr>
                <w:sz w:val="23"/>
                <w:szCs w:val="23"/>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631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13569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2" w:lineRule="exact"/>
        <w:rPr>
          <w:sz w:val="20"/>
          <w:szCs w:val="20"/>
          <w:color w:val="auto"/>
        </w:rPr>
      </w:pPr>
    </w:p>
    <w:p>
      <w:pPr>
        <w:ind w:left="160" w:hanging="154"/>
        <w:spacing w:after="0"/>
        <w:tabs>
          <w:tab w:leader="none" w:pos="160" w:val="left"/>
        </w:tabs>
        <w:numPr>
          <w:ilvl w:val="0"/>
          <w:numId w:val="77"/>
        </w:numPr>
        <w:rPr>
          <w:rFonts w:ascii="Arial" w:cs="Arial" w:eastAsia="Arial" w:hAnsi="Arial"/>
          <w:sz w:val="17"/>
          <w:szCs w:val="17"/>
          <w:color w:val="auto"/>
          <w:vertAlign w:val="superscript"/>
        </w:rPr>
      </w:pPr>
      <w:r>
        <w:rPr>
          <w:rFonts w:ascii="Arial" w:cs="Arial" w:eastAsia="Arial" w:hAnsi="Arial"/>
          <w:sz w:val="12"/>
          <w:szCs w:val="12"/>
          <w:color w:val="auto"/>
        </w:rPr>
        <w:t>Includes eliminations</w:t>
      </w:r>
    </w:p>
    <w:p>
      <w:pPr>
        <w:spacing w:after="0" w:line="30" w:lineRule="exact"/>
        <w:rPr>
          <w:rFonts w:ascii="Arial" w:cs="Arial" w:eastAsia="Arial" w:hAnsi="Arial"/>
          <w:sz w:val="17"/>
          <w:szCs w:val="17"/>
          <w:color w:val="auto"/>
          <w:vertAlign w:val="superscript"/>
        </w:rPr>
      </w:pPr>
    </w:p>
    <w:p>
      <w:pPr>
        <w:ind w:left="160" w:hanging="154"/>
        <w:spacing w:after="0" w:line="205" w:lineRule="auto"/>
        <w:tabs>
          <w:tab w:leader="none" w:pos="160" w:val="left"/>
        </w:tabs>
        <w:numPr>
          <w:ilvl w:val="0"/>
          <w:numId w:val="77"/>
        </w:numPr>
        <w:rPr>
          <w:rFonts w:ascii="Arial" w:cs="Arial" w:eastAsia="Arial" w:hAnsi="Arial"/>
          <w:sz w:val="17"/>
          <w:szCs w:val="17"/>
          <w:color w:val="auto"/>
          <w:vertAlign w:val="superscript"/>
        </w:rPr>
      </w:pPr>
      <w:r>
        <w:rPr>
          <w:rFonts w:ascii="Arial" w:cs="Arial" w:eastAsia="Arial" w:hAnsi="Arial"/>
          <w:sz w:val="12"/>
          <w:szCs w:val="12"/>
          <w:color w:val="auto"/>
        </w:rPr>
        <w:t>Includes accruals</w:t>
      </w:r>
    </w:p>
    <w:p>
      <w:pPr>
        <w:spacing w:after="0" w:line="44" w:lineRule="exact"/>
        <w:rPr>
          <w:rFonts w:ascii="Arial" w:cs="Arial" w:eastAsia="Arial" w:hAnsi="Arial"/>
          <w:sz w:val="17"/>
          <w:szCs w:val="17"/>
          <w:color w:val="auto"/>
          <w:vertAlign w:val="superscript"/>
        </w:rPr>
      </w:pPr>
    </w:p>
    <w:p>
      <w:pPr>
        <w:ind w:left="160" w:hanging="154"/>
        <w:spacing w:after="0" w:line="183" w:lineRule="auto"/>
        <w:tabs>
          <w:tab w:leader="none" w:pos="160"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Thermal Business assets were reclassified to held for sale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9"/>
              </w:rPr>
              <w:t>Year ended December 31, 2020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1"/>
                <w:szCs w:val="11"/>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1"/>
              </w:rPr>
              <w:t>Renewables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b w:val="1"/>
                <w:bCs w:val="1"/>
                <w:color w:val="auto"/>
                <w:w w:val="91"/>
                <w:vertAlign w:val="superscript"/>
              </w:rPr>
              <w:t>(a)</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62"/>
        </w:trPr>
        <w:tc>
          <w:tcPr>
            <w:tcW w:w="4960" w:type="dxa"/>
            <w:vAlign w:val="bottom"/>
            <w:gridSpan w:val="2"/>
          </w:tcPr>
          <w:p>
            <w:pPr>
              <w:ind w:left="180"/>
              <w:spacing w:after="0" w:line="161" w:lineRule="exact"/>
              <w:rPr>
                <w:sz w:val="20"/>
                <w:szCs w:val="20"/>
                <w:color w:val="auto"/>
              </w:rPr>
            </w:pPr>
            <w:r>
              <w:rPr>
                <w:rFonts w:ascii="Arial" w:cs="Arial" w:eastAsia="Arial" w:hAnsi="Arial"/>
                <w:sz w:val="16"/>
                <w:szCs w:val="16"/>
                <w:color w:val="auto"/>
                <w:w w:val="93"/>
              </w:rPr>
              <w:t>Cost of operations, exclusive of depreciation, amortization and accretion</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4"/>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shown separately below</w:t>
            </w: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Transaction and integration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1"/>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in earnings (losses) of unconsolidated affiliates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Impairment loss on investment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sale of unconsolidated affiliates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8"/>
        </w:trPr>
        <w:tc>
          <w:tcPr>
            <w:tcW w:w="4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8"/>
        </w:trPr>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Balance Sheet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0"/>
                <w:szCs w:val="20"/>
                <w:color w:val="auto"/>
                <w:vertAlign w:val="superscript"/>
              </w:rPr>
              <w:t>(b)</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5"/>
        </w:trPr>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7,157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10,488</w:t>
            </w:r>
          </w:p>
        </w:tc>
        <w:tc>
          <w:tcPr>
            <w:tcW w:w="0" w:type="dxa"/>
            <w:vAlign w:val="bottom"/>
          </w:tcPr>
          <w:p>
            <w:pPr>
              <w:spacing w:after="0"/>
              <w:rPr>
                <w:sz w:val="1"/>
                <w:szCs w:val="1"/>
                <w:color w:val="auto"/>
              </w:rPr>
            </w:pPr>
          </w:p>
        </w:tc>
      </w:tr>
      <w:tr>
        <w:trPr>
          <w:trHeight w:val="177"/>
        </w:trPr>
        <w:tc>
          <w:tcPr>
            <w:tcW w:w="2140" w:type="dxa"/>
            <w:vAlign w:val="bottom"/>
            <w:tcBorders>
              <w:bottom w:val="single" w:sz="8" w:color="auto"/>
            </w:tcBorders>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960" w:type="dxa"/>
            <w:vAlign w:val="bottom"/>
            <w:gridSpan w:val="2"/>
          </w:tcPr>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4"/>
                <w:szCs w:val="14"/>
                <w:color w:val="auto"/>
              </w:rPr>
              <w:t xml:space="preserve"> Includes eliminations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960" w:type="dxa"/>
            <w:vAlign w:val="bottom"/>
            <w:gridSpan w:val="2"/>
          </w:tcPr>
          <w:p>
            <w:pPr>
              <w:spacing w:after="0"/>
              <w:rPr>
                <w:sz w:val="20"/>
                <w:szCs w:val="20"/>
                <w:color w:val="auto"/>
              </w:rPr>
            </w:pPr>
            <w:r>
              <w:rPr>
                <w:rFonts w:ascii="Arial" w:cs="Arial" w:eastAsia="Arial" w:hAnsi="Arial"/>
                <w:sz w:val="20"/>
                <w:szCs w:val="20"/>
                <w:color w:val="auto"/>
                <w:vertAlign w:val="superscript"/>
              </w:rPr>
              <w:t>(b)</w:t>
            </w:r>
            <w:r>
              <w:rPr>
                <w:rFonts w:ascii="Arial" w:cs="Arial" w:eastAsia="Arial" w:hAnsi="Arial"/>
                <w:sz w:val="14"/>
                <w:szCs w:val="14"/>
                <w:color w:val="auto"/>
              </w:rPr>
              <w:t xml:space="preserve"> Includes accruals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2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9"/>
              </w:rPr>
              <w:t>Year ended December 31, 2019</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1"/>
                <w:szCs w:val="11"/>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1"/>
              </w:rPr>
              <w:t>Renewables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xml:space="preserve">Corporate </w:t>
            </w:r>
            <w:r>
              <w:rPr>
                <w:rFonts w:ascii="Arial" w:cs="Arial" w:eastAsia="Arial" w:hAnsi="Arial"/>
                <w:sz w:val="9"/>
                <w:szCs w:val="9"/>
                <w:b w:val="1"/>
                <w:bCs w:val="1"/>
                <w:color w:val="auto"/>
                <w:w w:val="95"/>
              </w:rPr>
              <w:t>(a)</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96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162"/>
        </w:trPr>
        <w:tc>
          <w:tcPr>
            <w:tcW w:w="4960" w:type="dxa"/>
            <w:vAlign w:val="bottom"/>
            <w:gridSpan w:val="2"/>
          </w:tcPr>
          <w:p>
            <w:pPr>
              <w:ind w:left="180"/>
              <w:spacing w:after="0" w:line="161" w:lineRule="exact"/>
              <w:rPr>
                <w:sz w:val="20"/>
                <w:szCs w:val="20"/>
                <w:color w:val="auto"/>
              </w:rPr>
            </w:pPr>
            <w:r>
              <w:rPr>
                <w:rFonts w:ascii="Arial" w:cs="Arial" w:eastAsia="Arial" w:hAnsi="Arial"/>
                <w:sz w:val="16"/>
                <w:szCs w:val="16"/>
                <w:color w:val="auto"/>
                <w:w w:val="93"/>
              </w:rPr>
              <w:t>Cost of operations, exclusive of depreciation, amortization and accretion</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4"/>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shown separately below</w:t>
            </w: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Transaction and integration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1"/>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4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8"/>
        </w:trPr>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LLC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13569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4"/>
          <w:szCs w:val="14"/>
          <w:color w:val="auto"/>
        </w:rPr>
        <w:t xml:space="preserve"> Includes eliminations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6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 The disclosures below summarize the Company's material related party transactions with CEG and its subsidiaries that are included in the Company's operating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$56 million, $37 million and $31 million for the years ended December 31, 2021, 2020 and 2019, respectively. There was a balance of $9 million and $10 million due to RENOM as of December 31, 2021 and 2020,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$14 million, $10 million and $7 million for the years ended December 31, 2021, 2020 and 2019, respectively. There was a balance of $2 million due to CEG as of both December 31, 2021 and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$4 million, $2 million and $1 million under these agreements for the years ended December 31, 2021, 2020 and 2019,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6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Company has entered into contractual arrangements to procure power, fuel and associated transportation services for the Thermal Business. For the years ended December 31, 2021, 2020 and 2019, the Company purchased $40 million, $32 million, and $38 million, respectively, under such arrangements.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Company's future minimum commitments under such outstanding agreements are estimated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millions)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95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56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Contingencies</w:t>
      </w:r>
    </w:p>
    <w:p>
      <w:pPr>
        <w:spacing w:after="0" w:line="168"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6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On August 24, 2021, the U.S. Court of Appeals for the Eighth Circuit affirmed the U.S. District Court decision granting summary judgment. On October 18, 2021, the Appeals Court denied a petition by NPPD for rehearing and a request that the case be heard by the full Appeals Court. On November 2, 2021, the Knox County District Court issued an order dismissing the case with respect to the Elkhorn Ridge project. Accordingly, the federal case and the state case are now concluded.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Buckthorn Solar Litigation</w:t>
      </w:r>
    </w:p>
    <w:p>
      <w:pPr>
        <w:spacing w:after="0" w:line="149"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15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Leases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evaluates each arrangement at inception to determine if it contains a lease. Substantially all of the Company’s leases are operating leases.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Lessee</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13"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00" w:type="dxa"/>
            <w:vAlign w:val="bottom"/>
            <w:gridSpan w:val="7"/>
          </w:tcPr>
          <w:p>
            <w:pPr>
              <w:ind w:left="400"/>
              <w:spacing w:after="0"/>
              <w:rPr>
                <w:sz w:val="20"/>
                <w:szCs w:val="20"/>
                <w:color w:val="auto"/>
              </w:rPr>
            </w:pPr>
            <w:r>
              <w:rPr>
                <w:rFonts w:ascii="Arial" w:cs="Arial" w:eastAsia="Arial" w:hAnsi="Arial"/>
                <w:sz w:val="18"/>
                <w:szCs w:val="18"/>
                <w:color w:val="auto"/>
              </w:rPr>
              <w:t>Lease expense for the years ended December 31, 2021, 2020 and 2019 was comprised of the following:</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4"/>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760" w:type="dxa"/>
            <w:vAlign w:val="bottom"/>
          </w:tcPr>
          <w:p>
            <w:pPr>
              <w:jc w:val="right"/>
              <w:ind w:right="172"/>
              <w:spacing w:after="0"/>
              <w:rPr>
                <w:sz w:val="20"/>
                <w:szCs w:val="20"/>
                <w:color w:val="auto"/>
              </w:rPr>
            </w:pPr>
            <w:r>
              <w:rPr>
                <w:rFonts w:ascii="Arial" w:cs="Arial" w:eastAsia="Arial" w:hAnsi="Arial"/>
                <w:sz w:val="18"/>
                <w:szCs w:val="18"/>
                <w:b w:val="1"/>
                <w:bCs w:val="1"/>
                <w:color w:val="auto"/>
                <w:w w:val="91"/>
              </w:rPr>
              <w:t>December 31, 2019</w:t>
            </w:r>
          </w:p>
        </w:tc>
      </w:tr>
      <w:tr>
        <w:trPr>
          <w:trHeight w:val="218"/>
        </w:trPr>
        <w:tc>
          <w:tcPr>
            <w:tcW w:w="5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4"/>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cost - Variable</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lease information as of December 31, 2021 and 2020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term and rate)</w:t>
            </w:r>
          </w:p>
        </w:tc>
        <w:tc>
          <w:tcPr>
            <w:tcW w:w="28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Pr>
          <w:p>
            <w:pPr>
              <w:spacing w:after="0"/>
              <w:rPr>
                <w:sz w:val="19"/>
                <w:szCs w:val="19"/>
                <w:color w:val="auto"/>
              </w:rPr>
            </w:pPr>
          </w:p>
        </w:tc>
        <w:tc>
          <w:tcPr>
            <w:tcW w:w="202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December 31, 2020</w:t>
            </w:r>
          </w:p>
        </w:tc>
      </w:tr>
      <w:tr>
        <w:trPr>
          <w:trHeight w:val="218"/>
        </w:trPr>
        <w:tc>
          <w:tcPr>
            <w:tcW w:w="6580" w:type="dxa"/>
            <w:vAlign w:val="bottom"/>
            <w:tcBorders>
              <w:top w:val="single" w:sz="8" w:color="CCEEFF"/>
            </w:tcBorders>
            <w:shd w:val="clear" w:color="auto" w:fill="CCEEFF"/>
          </w:tcPr>
          <w:p>
            <w:pPr>
              <w:ind w:left="220"/>
              <w:spacing w:after="0" w:line="218" w:lineRule="exact"/>
              <w:rPr>
                <w:sz w:val="20"/>
                <w:szCs w:val="20"/>
                <w:color w:val="auto"/>
              </w:rPr>
            </w:pPr>
            <w:r>
              <w:rPr>
                <w:rFonts w:ascii="Arial" w:cs="Arial" w:eastAsia="Arial" w:hAnsi="Arial"/>
                <w:sz w:val="18"/>
                <w:szCs w:val="18"/>
                <w:color w:val="auto"/>
              </w:rPr>
              <w:t xml:space="preserve">Right-of-use assets - operating leases, net </w:t>
            </w:r>
            <w:r>
              <w:rPr>
                <w:rFonts w:ascii="Arial" w:cs="Arial" w:eastAsia="Arial" w:hAnsi="Arial"/>
                <w:sz w:val="22"/>
                <w:szCs w:val="22"/>
                <w:color w:val="auto"/>
                <w:vertAlign w:val="superscript"/>
              </w:rPr>
              <w:t>(a) (b)</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337</w:t>
            </w:r>
          </w:p>
        </w:tc>
      </w:tr>
      <w:tr>
        <w:trPr>
          <w:trHeight w:val="138"/>
        </w:trPr>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24"/>
        </w:trPr>
        <w:tc>
          <w:tcPr>
            <w:tcW w:w="65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2"/>
                <w:szCs w:val="22"/>
                <w:color w:val="auto"/>
                <w:vertAlign w:val="superscript"/>
              </w:rPr>
              <w:t>(c)</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r>
      <w:tr>
        <w:trPr>
          <w:trHeight w:val="224"/>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lease liability - operating leases</w:t>
            </w: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345</w:t>
            </w:r>
          </w:p>
        </w:tc>
      </w:tr>
      <w:tr>
        <w:trPr>
          <w:trHeight w:val="243"/>
        </w:trPr>
        <w:tc>
          <w:tcPr>
            <w:tcW w:w="6580" w:type="dxa"/>
            <w:vAlign w:val="bottom"/>
            <w:tcBorders>
              <w:bottom w:val="single" w:sz="8" w:color="CCEEFF"/>
            </w:tcBorders>
            <w:shd w:val="clear" w:color="auto" w:fill="CCEEFF"/>
          </w:tcPr>
          <w:p>
            <w:pPr>
              <w:ind w:left="860"/>
              <w:spacing w:after="0" w:line="218" w:lineRule="exact"/>
              <w:rPr>
                <w:sz w:val="20"/>
                <w:szCs w:val="20"/>
                <w:color w:val="auto"/>
              </w:rPr>
            </w:pPr>
            <w:r>
              <w:rPr>
                <w:rFonts w:ascii="Arial" w:cs="Arial" w:eastAsia="Arial" w:hAnsi="Arial"/>
                <w:sz w:val="18"/>
                <w:szCs w:val="18"/>
                <w:b w:val="1"/>
                <w:bCs w:val="1"/>
                <w:color w:val="auto"/>
              </w:rPr>
              <w:t xml:space="preserve">Total lease liabilities </w:t>
            </w:r>
            <w:r>
              <w:rPr>
                <w:rFonts w:ascii="Arial" w:cs="Arial" w:eastAsia="Arial" w:hAnsi="Arial"/>
                <w:sz w:val="22"/>
                <w:szCs w:val="22"/>
                <w:b w:val="1"/>
                <w:bCs w:val="1"/>
                <w:color w:val="auto"/>
                <w:vertAlign w:val="superscript"/>
              </w:rPr>
              <w:t>(a) (b)</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6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658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159"/>
        </w:trPr>
        <w:tc>
          <w:tcPr>
            <w:tcW w:w="6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223"/>
        </w:trPr>
        <w:tc>
          <w:tcPr>
            <w:tcW w:w="6580" w:type="dxa"/>
            <w:vAlign w:val="bottom"/>
          </w:tcPr>
          <w:p>
            <w:pPr>
              <w:ind w:left="220"/>
              <w:spacing w:after="0"/>
              <w:rPr>
                <w:sz w:val="20"/>
                <w:szCs w:val="20"/>
                <w:color w:val="auto"/>
              </w:rPr>
            </w:pPr>
            <w:r>
              <w:rPr>
                <w:rFonts w:ascii="Arial" w:cs="Arial" w:eastAsia="Arial" w:hAnsi="Arial"/>
                <w:sz w:val="18"/>
                <w:szCs w:val="18"/>
                <w:color w:val="auto"/>
              </w:rPr>
              <w:t>Cash paid for operating leases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32"/>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100965</wp:posOffset>
            </wp:positionV>
            <wp:extent cx="138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10" w:lineRule="exact"/>
        <w:rPr>
          <w:sz w:val="20"/>
          <w:szCs w:val="20"/>
          <w:color w:val="auto"/>
        </w:rPr>
      </w:pPr>
    </w:p>
    <w:p>
      <w:pPr>
        <w:ind w:left="160" w:hanging="154"/>
        <w:spacing w:after="0"/>
        <w:tabs>
          <w:tab w:leader="none" w:pos="160" w:val="left"/>
        </w:tabs>
        <w:numPr>
          <w:ilvl w:val="0"/>
          <w:numId w:val="78"/>
        </w:numPr>
        <w:rPr>
          <w:rFonts w:ascii="Arial" w:cs="Arial" w:eastAsia="Arial" w:hAnsi="Arial"/>
          <w:sz w:val="17"/>
          <w:szCs w:val="17"/>
          <w:color w:val="auto"/>
          <w:vertAlign w:val="superscript"/>
        </w:rPr>
      </w:pPr>
      <w:r>
        <w:rPr>
          <w:rFonts w:ascii="Arial" w:cs="Arial" w:eastAsia="Arial" w:hAnsi="Arial"/>
          <w:sz w:val="12"/>
          <w:szCs w:val="12"/>
          <w:color w:val="auto"/>
        </w:rPr>
        <w:t xml:space="preserve">Increases in right-of-use assets and total lease liabilities are primarily due to third-party and drop down asset acquisitions, as further described in Note 3, </w:t>
      </w:r>
      <w:r>
        <w:rPr>
          <w:rFonts w:ascii="Arial" w:cs="Arial" w:eastAsia="Arial" w:hAnsi="Arial"/>
          <w:sz w:val="12"/>
          <w:szCs w:val="12"/>
          <w:i w:val="1"/>
          <w:iCs w:val="1"/>
          <w:color w:val="auto"/>
        </w:rPr>
        <w:t>Acquisitions and Dispositions</w:t>
      </w:r>
      <w:r>
        <w:rPr>
          <w:rFonts w:ascii="Arial" w:cs="Arial" w:eastAsia="Arial" w:hAnsi="Arial"/>
          <w:sz w:val="12"/>
          <w:szCs w:val="12"/>
          <w:color w:val="auto"/>
        </w:rPr>
        <w:t>.</w:t>
      </w:r>
    </w:p>
    <w:p>
      <w:pPr>
        <w:spacing w:after="0" w:line="43" w:lineRule="exact"/>
        <w:rPr>
          <w:rFonts w:ascii="Arial" w:cs="Arial" w:eastAsia="Arial" w:hAnsi="Arial"/>
          <w:sz w:val="17"/>
          <w:szCs w:val="17"/>
          <w:color w:val="auto"/>
          <w:vertAlign w:val="superscript"/>
        </w:rPr>
      </w:pPr>
    </w:p>
    <w:p>
      <w:pPr>
        <w:ind w:left="140" w:hanging="134"/>
        <w:spacing w:after="0" w:line="218" w:lineRule="auto"/>
        <w:tabs>
          <w:tab w:leader="none" w:pos="140" w:val="left"/>
        </w:tabs>
        <w:numPr>
          <w:ilvl w:val="0"/>
          <w:numId w:val="78"/>
        </w:numPr>
        <w:rPr>
          <w:rFonts w:ascii="Arial" w:cs="Arial" w:eastAsia="Arial" w:hAnsi="Arial"/>
          <w:sz w:val="16"/>
          <w:szCs w:val="16"/>
          <w:color w:val="auto"/>
          <w:vertAlign w:val="superscript"/>
        </w:rPr>
      </w:pPr>
      <w:r>
        <w:rPr>
          <w:rFonts w:ascii="Arial" w:cs="Arial" w:eastAsia="Arial" w:hAnsi="Arial"/>
          <w:sz w:val="12"/>
          <w:szCs w:val="12"/>
          <w:color w:val="auto"/>
        </w:rPr>
        <w:t>Thermal Business right-of-use assets and lease liabilities were reclassified to held for sale during the fourth quarter of 2021.</w:t>
      </w:r>
    </w:p>
    <w:p>
      <w:pPr>
        <w:spacing w:after="0" w:line="43" w:lineRule="exact"/>
        <w:rPr>
          <w:rFonts w:ascii="Arial" w:cs="Arial" w:eastAsia="Arial" w:hAnsi="Arial"/>
          <w:sz w:val="16"/>
          <w:szCs w:val="16"/>
          <w:color w:val="auto"/>
          <w:vertAlign w:val="superscript"/>
        </w:rPr>
      </w:pPr>
    </w:p>
    <w:p>
      <w:pPr>
        <w:ind w:left="160" w:hanging="154"/>
        <w:spacing w:after="0" w:line="183" w:lineRule="auto"/>
        <w:tabs>
          <w:tab w:leader="none" w:pos="160" w:val="left"/>
        </w:tabs>
        <w:numPr>
          <w:ilvl w:val="0"/>
          <w:numId w:val="78"/>
        </w:numPr>
        <w:rPr>
          <w:rFonts w:ascii="Arial" w:cs="Arial" w:eastAsia="Arial" w:hAnsi="Arial"/>
          <w:sz w:val="19"/>
          <w:szCs w:val="19"/>
          <w:color w:val="auto"/>
          <w:vertAlign w:val="superscript"/>
        </w:rPr>
      </w:pPr>
      <w:r>
        <w:rPr>
          <w:rFonts w:ascii="Arial" w:cs="Arial" w:eastAsia="Arial" w:hAnsi="Arial"/>
          <w:sz w:val="13"/>
          <w:szCs w:val="13"/>
          <w:color w:val="auto"/>
        </w:rPr>
        <w:t>Short-term lease liability balances are included within the accrued expenses and other current liabilities line item of the consolidated balance sheets as of December 31, 2021 and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tcPr>
          <w:p>
            <w:pPr>
              <w:ind w:left="560"/>
              <w:spacing w:after="0"/>
              <w:rPr>
                <w:sz w:val="20"/>
                <w:szCs w:val="20"/>
                <w:color w:val="auto"/>
              </w:rPr>
            </w:pPr>
            <w:r>
              <w:rPr>
                <w:rFonts w:ascii="Arial" w:cs="Arial" w:eastAsia="Arial" w:hAnsi="Arial"/>
                <w:sz w:val="18"/>
                <w:szCs w:val="18"/>
                <w:color w:val="auto"/>
              </w:rPr>
              <w:t>Minimum future rental payments of operating lease liabilities as of December 31, 2021 are as follows: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4"/>
        </w:trPr>
        <w:tc>
          <w:tcPr>
            <w:tcW w:w="90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(In millions)</w:t>
            </w:r>
          </w:p>
        </w:tc>
      </w:tr>
      <w:tr>
        <w:trPr>
          <w:trHeight w:val="218"/>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9060" w:type="dxa"/>
            <w:vAlign w:val="bottom"/>
          </w:tcPr>
          <w:p>
            <w:pPr>
              <w:ind w:left="2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9060" w:type="dxa"/>
            <w:vAlign w:val="bottom"/>
          </w:tcPr>
          <w:p>
            <w:pPr>
              <w:ind w:left="2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18"/>
        </w:trPr>
        <w:tc>
          <w:tcPr>
            <w:tcW w:w="9060" w:type="dxa"/>
            <w:vAlign w:val="bottom"/>
            <w:shd w:val="clear" w:color="auto" w:fill="CCEEFF"/>
          </w:tcPr>
          <w:p>
            <w:pPr>
              <w:ind w:left="220"/>
              <w:spacing w:after="0" w:line="218"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2"/>
                <w:szCs w:val="22"/>
                <w:color w:val="auto"/>
                <w:vertAlign w:val="superscript"/>
              </w:rPr>
              <w:t>(a)</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4"/>
        </w:trPr>
        <w:tc>
          <w:tcPr>
            <w:tcW w:w="90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liability - operating leases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firstLine="6"/>
        <w:spacing w:after="0"/>
        <w:tabs>
          <w:tab w:leader="none" w:pos="158" w:val="left"/>
        </w:tabs>
        <w:numPr>
          <w:ilvl w:val="0"/>
          <w:numId w:val="79"/>
        </w:numPr>
        <w:rPr>
          <w:rFonts w:ascii="Arial" w:cs="Arial" w:eastAsia="Arial" w:hAnsi="Arial"/>
          <w:sz w:val="17"/>
          <w:szCs w:val="17"/>
          <w:color w:val="auto"/>
          <w:vertAlign w:val="superscript"/>
        </w:rPr>
      </w:pPr>
      <w:r>
        <w:rPr>
          <w:rFonts w:ascii="Arial" w:cs="Arial" w:eastAsia="Arial" w:hAnsi="Arial"/>
          <w:sz w:val="12"/>
          <w:szCs w:val="12"/>
          <w:color w:val="auto"/>
        </w:rPr>
        <w:t>Minimum future rental payments of the Thermal Business operating lease liabilities classified as held for sale are $1 million for each of 2022, 2023, 2024, 2025 and 2026, with $31 million due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2" w:name="page143"/>
    <w:bookmarkEnd w:id="142"/>
    <w:p>
      <w:pPr>
        <w:ind w:left="500"/>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162" w:lineRule="exact"/>
        <w:rPr>
          <w:sz w:val="20"/>
          <w:szCs w:val="20"/>
          <w:color w:val="auto"/>
        </w:rPr>
      </w:pPr>
    </w:p>
    <w:p>
      <w:pPr>
        <w:jc w:val="both"/>
        <w:ind w:left="100" w:firstLine="396"/>
        <w:spacing w:after="0" w:line="300" w:lineRule="auto"/>
        <w:rPr>
          <w:sz w:val="20"/>
          <w:szCs w:val="20"/>
          <w:color w:val="auto"/>
        </w:rPr>
      </w:pPr>
      <w:r>
        <w:rPr>
          <w:rFonts w:ascii="Arial" w:cs="Arial" w:eastAsia="Arial" w:hAnsi="Arial"/>
          <w:sz w:val="16"/>
          <w:szCs w:val="16"/>
          <w:color w:val="auto"/>
        </w:rPr>
        <w:t>The Oahu Solar projects are party to various land lease agreements with a wholly-owned subsidiary of CEG. The projects are leasing the land for a period of 35 years, with the ability to renew the lease for two additional five-year periods. The Company has a lease liability of $20 million as of both December 31, 2021 and 2020 and corresponding right-of-use asset of $18 million related to the lease as of both December 31, 2021 and 2020.</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Rosamond Lease Agreement</w:t>
      </w:r>
    </w:p>
    <w:p>
      <w:pPr>
        <w:spacing w:after="0" w:line="162" w:lineRule="exact"/>
        <w:rPr>
          <w:sz w:val="20"/>
          <w:szCs w:val="20"/>
          <w:color w:val="auto"/>
        </w:rPr>
      </w:pPr>
    </w:p>
    <w:p>
      <w:pPr>
        <w:jc w:val="both"/>
        <w:ind w:left="100" w:firstLine="396"/>
        <w:spacing w:after="0" w:line="300" w:lineRule="auto"/>
        <w:rPr>
          <w:sz w:val="20"/>
          <w:szCs w:val="20"/>
          <w:color w:val="auto"/>
        </w:rPr>
      </w:pPr>
      <w:r>
        <w:rPr>
          <w:rFonts w:ascii="Arial" w:cs="Arial" w:eastAsia="Arial" w:hAnsi="Arial"/>
          <w:sz w:val="16"/>
          <w:szCs w:val="16"/>
          <w:color w:val="auto"/>
        </w:rPr>
        <w:t>The Rosamond Central project is party to a land lease agreement with a wholly-owned subsidiary of CEG. The project is leasing the land for a period of 35 years, with the ability to renew the lease for two additional five-year periods. The Company has a lease liability of $12 million as of both December 31, 2021 and 2020 and corresponding right-of-use asset of $11 million related to the lease as of both December 31, 2021 and 2020.</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Lessor</w:t>
      </w:r>
    </w:p>
    <w:p>
      <w:pPr>
        <w:spacing w:after="0" w:line="162" w:lineRule="exact"/>
        <w:rPr>
          <w:sz w:val="20"/>
          <w:szCs w:val="20"/>
          <w:color w:val="auto"/>
        </w:rPr>
      </w:pPr>
    </w:p>
    <w:p>
      <w:pPr>
        <w:jc w:val="both"/>
        <w:ind w:left="100" w:firstLine="396"/>
        <w:spacing w:after="0" w:line="285" w:lineRule="auto"/>
        <w:rPr>
          <w:sz w:val="20"/>
          <w:szCs w:val="20"/>
          <w:color w:val="auto"/>
        </w:rPr>
      </w:pPr>
      <w:r>
        <w:rPr>
          <w:rFonts w:ascii="Arial" w:cs="Arial" w:eastAsia="Arial" w:hAnsi="Arial"/>
          <w:sz w:val="16"/>
          <w:szCs w:val="16"/>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of this Form 10-K. Many of the leases have renewal options at the end of the lease term. Termination may be allowed under specific circumstances in the lease arrangements, such as under an event of default. All but one of the Company’s leases are operating leases. The remaining lease met the criteria of a sales-type lease and the impact of this sales-type lease to the consolidated financial statements was immaterial. Certain of these leases have both lease and non-lease components, and the Company allocates the transaction price to the components based on standalone selling prices.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energy and capacity revenue are related to the Company’s operating leases: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Conventional Generation</w:t>
            </w:r>
          </w:p>
        </w:tc>
        <w:tc>
          <w:tcPr>
            <w:tcW w:w="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w w:val="97"/>
              </w:rPr>
              <w:t>Renewables</w:t>
            </w:r>
          </w:p>
        </w:tc>
        <w:tc>
          <w:tcPr>
            <w:tcW w:w="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Thermal</w:t>
            </w:r>
          </w:p>
        </w:tc>
        <w:tc>
          <w:tcPr>
            <w:tcW w:w="28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1001"/>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246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Capacity revenue</w:t>
            </w: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2460" w:type="dxa"/>
            <w:vAlign w:val="bottom"/>
            <w:gridSpan w:val="3"/>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7"/>
              </w:rPr>
              <w:t>Conventional Generation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Renewables</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Thermal</w:t>
            </w:r>
          </w:p>
        </w:tc>
        <w:tc>
          <w:tcPr>
            <w:tcW w:w="28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60" w:type="dxa"/>
            <w:vAlign w:val="bottom"/>
            <w:gridSpan w:val="3"/>
          </w:tcPr>
          <w:p>
            <w:pPr>
              <w:spacing w:after="0"/>
              <w:rPr>
                <w:sz w:val="20"/>
                <w:szCs w:val="20"/>
                <w:color w:val="auto"/>
              </w:rPr>
            </w:pPr>
            <w:r>
              <w:rPr>
                <w:rFonts w:ascii="Arial" w:cs="Arial" w:eastAsia="Arial" w:hAnsi="Arial"/>
                <w:sz w:val="16"/>
                <w:szCs w:val="16"/>
                <w:b w:val="1"/>
                <w:bCs w:val="1"/>
                <w:color w:val="auto"/>
              </w:rPr>
              <w:t>December 31, 2020</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7"/>
          </w:tcPr>
          <w:p>
            <w:pPr>
              <w:jc w:val="right"/>
              <w:ind w:right="1081"/>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Energy revenue</w:t>
            </w:r>
          </w:p>
        </w:tc>
        <w:tc>
          <w:tcPr>
            <w:tcW w:w="1680" w:type="dxa"/>
            <w:vAlign w:val="bottom"/>
            <w:tcBorders>
              <w:right w:val="single" w:sz="8" w:color="auto"/>
            </w:tcBorders>
            <w:gridSpan w:val="2"/>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60" w:type="dxa"/>
            <w:vAlign w:val="bottom"/>
            <w:vMerge w:val="continue"/>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Capacity revenue</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revenue</w:t>
            </w:r>
          </w:p>
        </w:tc>
        <w:tc>
          <w:tcPr>
            <w:tcW w:w="1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Borders>
              <w:bottom w:val="single" w:sz="8" w:color="auto"/>
            </w:tcBorders>
            <w:gridSpan w:val="4"/>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93"/>
              </w:rPr>
              <w:t>Conventional Generation</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Renewables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Thermal</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961"/>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2460" w:type="dxa"/>
            <w:vAlign w:val="bottom"/>
            <w:gridSpan w:val="3"/>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1220" w:type="dxa"/>
            <w:vAlign w:val="bottom"/>
            <w:gridSpan w:val="4"/>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Capacity revenue</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348</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2460" w:type="dxa"/>
            <w:vAlign w:val="bottom"/>
            <w:gridSpan w:val="3"/>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353</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1220" w:type="dxa"/>
            <w:vAlign w:val="bottom"/>
            <w:gridSpan w:val="4"/>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64770</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220" w:top="879"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3"/>
        </w:trPr>
        <w:tc>
          <w:tcPr>
            <w:tcW w:w="11240" w:type="dxa"/>
            <w:vAlign w:val="bottom"/>
            <w:gridSpan w:val="8"/>
          </w:tcPr>
          <w:p>
            <w:pPr>
              <w:ind w:left="400"/>
              <w:spacing w:after="0"/>
              <w:rPr>
                <w:sz w:val="20"/>
                <w:szCs w:val="20"/>
                <w:color w:val="auto"/>
              </w:rPr>
            </w:pPr>
            <w:r>
              <w:rPr>
                <w:rFonts w:ascii="Arial" w:cs="Arial" w:eastAsia="Arial" w:hAnsi="Arial"/>
                <w:sz w:val="18"/>
                <w:szCs w:val="18"/>
                <w:color w:val="auto"/>
                <w:w w:val="88"/>
              </w:rPr>
              <w:t>Minimum future rent payments for the remaining periods related to the Conventional segment operating leases as of December 31, 2021 were as follows:</w:t>
            </w:r>
          </w:p>
        </w:tc>
        <w:tc>
          <w:tcPr>
            <w:tcW w:w="0" w:type="dxa"/>
            <w:vAlign w:val="bottom"/>
          </w:tcPr>
          <w:p>
            <w:pPr>
              <w:spacing w:after="0"/>
              <w:rPr>
                <w:sz w:val="1"/>
                <w:szCs w:val="1"/>
                <w:color w:val="auto"/>
              </w:rPr>
            </w:pPr>
          </w:p>
        </w:tc>
      </w:tr>
      <w:tr>
        <w:trPr>
          <w:trHeight w:val="304"/>
        </w:trPr>
        <w:tc>
          <w:tcPr>
            <w:tcW w:w="76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lease payments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w w:val="96"/>
              </w:rPr>
              <w:t>Property, plant and equipment, net related to the Company’s operating leases were as follows:</w:t>
            </w:r>
          </w:p>
        </w:tc>
        <w:tc>
          <w:tcPr>
            <w:tcW w:w="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w w:val="87"/>
              </w:rPr>
              <w:t>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1"/>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88"/>
              </w:rPr>
              <w:t>8,981</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w w:val="84"/>
              </w:rPr>
              <w:t>7,201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1"/>
              </w:rPr>
              <w:t>(2,827)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87"/>
              </w:rPr>
              <w:t>(1,964)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property, plant and equipment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88"/>
              </w:rPr>
              <w:t>6,154</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w w:val="84"/>
              </w:rPr>
              <w:t>5,237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9"/>
        </w:trPr>
        <w:tc>
          <w:tcPr>
            <w:tcW w:w="7080" w:type="dxa"/>
            <w:vAlign w:val="bottom"/>
            <w:vMerge w:val="restart"/>
          </w:tcPr>
          <w:p>
            <w:pPr>
              <w:jc w:val="center"/>
              <w:ind w:left="4094"/>
              <w:spacing w:after="0"/>
              <w:rPr>
                <w:sz w:val="20"/>
                <w:szCs w:val="20"/>
                <w:color w:val="auto"/>
              </w:rPr>
            </w:pPr>
            <w:r>
              <w:rPr>
                <w:rFonts w:ascii="Arial" w:cs="Arial" w:eastAsia="Arial" w:hAnsi="Arial"/>
                <w:sz w:val="18"/>
                <w:szCs w:val="18"/>
                <w:b w:val="1"/>
                <w:bCs w:val="1"/>
                <w:color w:val="auto"/>
                <w:w w:val="92"/>
              </w:rPr>
              <w:t>Clearway Energy LLC (Parent)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193"/>
        </w:trPr>
        <w:tc>
          <w:tcPr>
            <w:tcW w:w="7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00" w:type="dxa"/>
            <w:vAlign w:val="bottom"/>
            <w:gridSpan w:val="2"/>
          </w:tcPr>
          <w:p>
            <w:pPr>
              <w:jc w:val="center"/>
              <w:ind w:left="3654"/>
              <w:spacing w:after="0"/>
              <w:rPr>
                <w:sz w:val="20"/>
                <w:szCs w:val="20"/>
                <w:color w:val="auto"/>
              </w:rPr>
            </w:pPr>
            <w:r>
              <w:rPr>
                <w:rFonts w:ascii="Arial" w:cs="Arial" w:eastAsia="Arial" w:hAnsi="Arial"/>
                <w:sz w:val="18"/>
                <w:szCs w:val="18"/>
                <w:b w:val="1"/>
                <w:bCs w:val="1"/>
                <w:color w:val="auto"/>
                <w:w w:val="88"/>
              </w:rPr>
              <w:t>Condensed Financial Information of Registrant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center"/>
              <w:ind w:left="4094"/>
              <w:spacing w:after="0"/>
              <w:rPr>
                <w:sz w:val="20"/>
                <w:szCs w:val="20"/>
                <w:color w:val="auto"/>
              </w:rPr>
            </w:pPr>
            <w:r>
              <w:rPr>
                <w:rFonts w:ascii="Arial" w:cs="Arial" w:eastAsia="Arial" w:hAnsi="Arial"/>
                <w:sz w:val="18"/>
                <w:szCs w:val="18"/>
                <w:b w:val="1"/>
                <w:bCs w:val="1"/>
                <w:color w:val="auto"/>
                <w:w w:val="86"/>
              </w:rPr>
              <w:t>Condensed Statements of Operations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7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earnings (losses) of consolidated affiliates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net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9"/>
        </w:trPr>
        <w:tc>
          <w:tcPr>
            <w:tcW w:w="8360" w:type="dxa"/>
            <w:vAlign w:val="bottom"/>
            <w:vMerge w:val="restart"/>
          </w:tcPr>
          <w:p>
            <w:pPr>
              <w:ind w:left="4420"/>
              <w:spacing w:after="0"/>
              <w:rPr>
                <w:sz w:val="20"/>
                <w:szCs w:val="20"/>
                <w:color w:val="auto"/>
              </w:rPr>
            </w:pPr>
            <w:r>
              <w:rPr>
                <w:rFonts w:ascii="Arial" w:cs="Arial" w:eastAsia="Arial" w:hAnsi="Arial"/>
                <w:sz w:val="18"/>
                <w:szCs w:val="18"/>
                <w:b w:val="1"/>
                <w:bCs w:val="1"/>
                <w:color w:val="auto"/>
              </w:rPr>
              <w:t>Clearway Energy LLC (Parent)</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b w:val="1"/>
                <w:bCs w:val="1"/>
                <w:color w:val="auto"/>
                <w:w w:val="84"/>
              </w:rPr>
              <w:t>Schedule I</w:t>
            </w:r>
          </w:p>
        </w:tc>
        <w:tc>
          <w:tcPr>
            <w:tcW w:w="0" w:type="dxa"/>
            <w:vAlign w:val="bottom"/>
          </w:tcPr>
          <w:p>
            <w:pPr>
              <w:spacing w:after="0"/>
              <w:rPr>
                <w:sz w:val="1"/>
                <w:szCs w:val="1"/>
                <w:color w:val="auto"/>
              </w:rPr>
            </w:pPr>
          </w:p>
        </w:tc>
      </w:tr>
      <w:tr>
        <w:trPr>
          <w:trHeight w:val="193"/>
        </w:trPr>
        <w:tc>
          <w:tcPr>
            <w:tcW w:w="83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600"/>
              <w:spacing w:after="0"/>
              <w:rPr>
                <w:sz w:val="20"/>
                <w:szCs w:val="20"/>
                <w:color w:val="auto"/>
              </w:rPr>
            </w:pPr>
            <w:r>
              <w:rPr>
                <w:rFonts w:ascii="Arial" w:cs="Arial" w:eastAsia="Arial" w:hAnsi="Arial"/>
                <w:sz w:val="18"/>
                <w:szCs w:val="18"/>
                <w:b w:val="1"/>
                <w:bCs w:val="1"/>
                <w:color w:val="auto"/>
              </w:rPr>
              <w:t>Condensed Balance Sheets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360" w:type="dxa"/>
            <w:vAlign w:val="bottom"/>
          </w:tcPr>
          <w:p>
            <w:pPr>
              <w:spacing w:after="0"/>
              <w:rPr>
                <w:sz w:val="17"/>
                <w:szCs w:val="17"/>
                <w:color w:val="auto"/>
              </w:rPr>
            </w:pPr>
          </w:p>
        </w:tc>
        <w:tc>
          <w:tcPr>
            <w:tcW w:w="150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3860"/>
              <w:spacing w:after="0" w:line="206" w:lineRule="exact"/>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7"/>
                <w:szCs w:val="17"/>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 in consolidated subsidiaries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560"/>
              <w:spacing w:after="0"/>
              <w:rPr>
                <w:sz w:val="20"/>
                <w:szCs w:val="20"/>
                <w:color w:val="auto"/>
              </w:rPr>
            </w:pPr>
            <w:r>
              <w:rPr>
                <w:rFonts w:ascii="Arial" w:cs="Arial" w:eastAsia="Arial" w:hAnsi="Arial"/>
                <w:sz w:val="18"/>
                <w:szCs w:val="18"/>
                <w:b w:val="1"/>
                <w:bCs w:val="1"/>
                <w:color w:val="auto"/>
              </w:rPr>
              <w:t>LIABILITIES AND MEMBERS' EQUITY</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Accounts payable — affiliates</w:t>
            </w: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Commitments and Contingencies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40"/>
              <w:spacing w:after="0"/>
              <w:rPr>
                <w:sz w:val="20"/>
                <w:szCs w:val="20"/>
                <w:color w:val="auto"/>
              </w:rPr>
            </w:pPr>
            <w:r>
              <w:rPr>
                <w:rFonts w:ascii="Arial" w:cs="Arial" w:eastAsia="Arial" w:hAnsi="Arial"/>
                <w:sz w:val="18"/>
                <w:szCs w:val="18"/>
                <w:color w:val="auto"/>
              </w:rPr>
              <w:t>Contributed capital</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 (Accumulated deficit)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1,530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64770</wp:posOffset>
            </wp:positionV>
            <wp:extent cx="716089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73"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w w:val="84"/>
              </w:rPr>
              <w:t>Schedule I</w:t>
            </w:r>
          </w:p>
        </w:tc>
      </w:tr>
      <w:tr>
        <w:trPr>
          <w:trHeight w:val="273"/>
        </w:trPr>
        <w:tc>
          <w:tcPr>
            <w:tcW w:w="7060" w:type="dxa"/>
            <w:vAlign w:val="bottom"/>
          </w:tcPr>
          <w:p>
            <w:pPr>
              <w:ind w:left="4400"/>
              <w:spacing w:after="0"/>
              <w:rPr>
                <w:sz w:val="20"/>
                <w:szCs w:val="20"/>
                <w:color w:val="auto"/>
              </w:rPr>
            </w:pPr>
            <w:r>
              <w:rPr>
                <w:rFonts w:ascii="Arial" w:cs="Arial" w:eastAsia="Arial" w:hAnsi="Arial"/>
                <w:sz w:val="18"/>
                <w:szCs w:val="18"/>
                <w:b w:val="1"/>
                <w:bCs w:val="1"/>
                <w:color w:val="auto"/>
              </w:rPr>
              <w:t>Clearway Energy LLC (Parent)</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7060" w:type="dxa"/>
            <w:vAlign w:val="bottom"/>
          </w:tcPr>
          <w:p>
            <w:pPr>
              <w:ind w:left="4180"/>
              <w:spacing w:after="0"/>
              <w:rPr>
                <w:sz w:val="20"/>
                <w:szCs w:val="20"/>
                <w:color w:val="auto"/>
              </w:rPr>
            </w:pPr>
            <w:r>
              <w:rPr>
                <w:rFonts w:ascii="Arial" w:cs="Arial" w:eastAsia="Arial" w:hAnsi="Arial"/>
                <w:sz w:val="18"/>
                <w:szCs w:val="18"/>
                <w:b w:val="1"/>
                <w:bCs w:val="1"/>
                <w:color w:val="auto"/>
                <w:w w:val="87"/>
              </w:rPr>
              <w:t>Condensed Statements of Cash Flows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9"/>
        </w:trPr>
        <w:tc>
          <w:tcPr>
            <w:tcW w:w="7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b w:val="1"/>
                <w:bCs w:val="1"/>
                <w:color w:val="auto"/>
                <w:w w:val="89"/>
              </w:rPr>
              <w:t>Years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70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178"/>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70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Pr>
          <w:p>
            <w:pPr>
              <w:jc w:val="right"/>
              <w:ind w:right="65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4"/>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7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Investments in consolidated affiliates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r>
      <w:tr>
        <w:trPr>
          <w:trHeight w:val="218"/>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24"/>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funds under intercompany cash management arrangement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4"/>
        </w:trPr>
        <w:tc>
          <w:tcPr>
            <w:tcW w:w="7060" w:type="dxa"/>
            <w:vAlign w:val="bottom"/>
          </w:tcPr>
          <w:p>
            <w:pPr>
              <w:ind w:left="200"/>
              <w:spacing w:after="0"/>
              <w:rPr>
                <w:sz w:val="20"/>
                <w:szCs w:val="20"/>
                <w:color w:val="auto"/>
              </w:rPr>
            </w:pPr>
            <w:r>
              <w:rPr>
                <w:rFonts w:ascii="Arial" w:cs="Arial" w:eastAsia="Arial" w:hAnsi="Arial"/>
                <w:sz w:val="18"/>
                <w:szCs w:val="18"/>
                <w:color w:val="auto"/>
              </w:rPr>
              <w:t>Proceeds from issuance of Class C units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5"/>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distributions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r>
      <w:tr>
        <w:trPr>
          <w:trHeight w:val="217"/>
        </w:trPr>
        <w:tc>
          <w:tcPr>
            <w:tcW w:w="706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25"/>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r>
      <w:tr>
        <w:trPr>
          <w:trHeight w:val="224"/>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r>
      <w:tr>
        <w:trPr>
          <w:trHeight w:val="242"/>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64770</wp:posOffset>
            </wp:positionV>
            <wp:extent cx="716089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60" w:top="96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 (Parent)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6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LLC, together with its consolidated subsidiaries, or the Company, is an energy infrastructure investor in and owner of modern, sustainable and long-term contracted assets across North America. The Company is sponsored by GIP through its portfolio company, CEG. GIP is an independent infrastructure fund manager that makes equity and debt investments in infrastructure assets and businesses.</w:t>
      </w:r>
    </w:p>
    <w:p>
      <w:pPr>
        <w:spacing w:after="0" w:line="10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Company is one of the largest renewable energy owners in the U.S. with over 5,000 net MW of installed wind and solar generation projects. The Company's over 9,000 net MW of assets includes approximately 2,500 net MW of environmentally-sound, highly efficient natural gas-fired generation facilities as well as the Thermal Business.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w:t>
      </w:r>
    </w:p>
    <w:p>
      <w:pPr>
        <w:spacing w:after="0" w:line="140"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Clearway Energy, Inc., or Clearway, Inc., consolidates the results of Clearway Energy LLC through its controlling interest, with CEG's interest shown as noncontrolling interest in the financial statements. The holders of Clearway, Inc.'s outstanding shares of Class A and Class C common stock are entitled to dividends as declared. CEG receives its distributions from Clearway Energy LLC through its ownership of Clearway Energy LLC Class B and Class D units.</w:t>
      </w:r>
    </w:p>
    <w:p>
      <w:pPr>
        <w:spacing w:after="0" w:line="101"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As of December 31, 2021, Clearway, Inc. owned 57.65% of the economic interests of the Company, with CEG owning 42.35% of the economic interests of the Company. For further discussion, see Note 11, </w:t>
      </w:r>
      <w:r>
        <w:rPr>
          <w:rFonts w:ascii="Arial" w:cs="Arial" w:eastAsia="Arial" w:hAnsi="Arial"/>
          <w:sz w:val="18"/>
          <w:szCs w:val="18"/>
          <w:i w:val="1"/>
          <w:iCs w:val="1"/>
          <w:color w:val="auto"/>
        </w:rPr>
        <w:t>Members' Equity.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Long-Term Debt</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For a discussion of Clearway Energy LLC’s financing arrangements,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to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Contingencies and Guarantees</w:t>
      </w:r>
    </w:p>
    <w:p>
      <w:pPr>
        <w:spacing w:after="0" w:line="16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 for a detailed discussion of Clearway Energy LLC’s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Distributions</w:t>
      </w:r>
    </w:p>
    <w:p>
      <w:pPr>
        <w:spacing w:after="0" w:line="16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Cash distributions paid on the Company's Class A, Class B, Class C and Class D units, were $268 million, $211 million, and $155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48" w:name="page149"/>
    <w:bookmarkEnd w:id="148"/>
    <w:p>
      <w:pPr>
        <w:ind w:left="49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19"/>
          </w:cols>
          <w:pgMar w:left="340" w:top="873" w:right="1440" w:bottom="1440" w:gutter="0" w:footer="0" w:header="0"/>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78"/>
        </w:trPr>
        <w:tc>
          <w:tcPr>
            <w:tcW w:w="880" w:type="dxa"/>
            <w:vAlign w:val="bottom"/>
          </w:tcPr>
          <w:p>
            <w:pPr>
              <w:spacing w:after="0" w:line="178" w:lineRule="exact"/>
              <w:rPr>
                <w:sz w:val="20"/>
                <w:szCs w:val="20"/>
                <w:color w:val="auto"/>
              </w:rPr>
            </w:pPr>
            <w:r>
              <w:rPr>
                <w:rFonts w:ascii="Arial" w:cs="Arial" w:eastAsia="Arial" w:hAnsi="Arial"/>
                <w:sz w:val="16"/>
                <w:szCs w:val="16"/>
                <w:color w:val="auto"/>
              </w:rPr>
              <w:t>2.1*</w:t>
            </w:r>
          </w:p>
        </w:tc>
        <w:tc>
          <w:tcPr>
            <w:tcW w:w="4880" w:type="dxa"/>
            <w:vAlign w:val="bottom"/>
            <w:gridSpan w:val="3"/>
          </w:tcPr>
          <w:p>
            <w:pPr>
              <w:spacing w:after="0" w:line="178" w:lineRule="exact"/>
              <w:rPr>
                <w:rFonts w:ascii="Arial" w:cs="Arial" w:eastAsia="Arial" w:hAnsi="Arial"/>
                <w:sz w:val="16"/>
                <w:szCs w:val="16"/>
                <w:color w:val="0000FF"/>
                <w:w w:val="87"/>
              </w:rPr>
            </w:pPr>
            <w:hyperlink r:id="rId192">
              <w:r>
                <w:rPr>
                  <w:rFonts w:ascii="Arial" w:cs="Arial" w:eastAsia="Arial" w:hAnsi="Arial"/>
                  <w:sz w:val="16"/>
                  <w:szCs w:val="16"/>
                  <w:color w:val="0000FF"/>
                  <w:w w:val="87"/>
                </w:rPr>
                <w:t>Purchase and Sale Agreement, dated as of February 6, 2018, by and between</w:t>
              </w:r>
            </w:hyperlink>
          </w:p>
        </w:tc>
      </w:tr>
      <w:tr>
        <w:trPr>
          <w:trHeight w:val="138"/>
        </w:trPr>
        <w:tc>
          <w:tcPr>
            <w:tcW w:w="880" w:type="dxa"/>
            <w:vAlign w:val="bottom"/>
          </w:tcPr>
          <w:p>
            <w:pPr>
              <w:spacing w:after="0"/>
              <w:rPr>
                <w:sz w:val="12"/>
                <w:szCs w:val="12"/>
                <w:color w:val="auto"/>
              </w:rPr>
            </w:pPr>
          </w:p>
        </w:tc>
        <w:tc>
          <w:tcPr>
            <w:tcW w:w="462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91"/>
              </w:rPr>
            </w:pPr>
            <w:hyperlink r:id="rId192">
              <w:r>
                <w:rPr>
                  <w:rFonts w:ascii="Arial" w:cs="Arial" w:eastAsia="Arial" w:hAnsi="Arial"/>
                  <w:sz w:val="16"/>
                  <w:szCs w:val="16"/>
                  <w:color w:val="0000FF"/>
                  <w:w w:val="91"/>
                </w:rPr>
                <w:t>NRG Gas Development Company, LLC and NRG Yield Operating LLC.</w:t>
              </w:r>
            </w:hyperlink>
          </w:p>
        </w:tc>
        <w:tc>
          <w:tcPr>
            <w:tcW w:w="2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123" w:lineRule="exact"/>
        <w:rPr>
          <w:sz w:val="20"/>
          <w:szCs w:val="20"/>
          <w:color w:val="auto"/>
        </w:rPr>
      </w:pPr>
    </w:p>
    <w:p>
      <w:pPr>
        <w:ind w:right="659"/>
        <w:spacing w:after="0" w:line="225" w:lineRule="auto"/>
        <w:rPr>
          <w:sz w:val="20"/>
          <w:szCs w:val="20"/>
          <w:color w:val="auto"/>
        </w:rPr>
      </w:pPr>
      <w:r>
        <w:rPr>
          <w:rFonts w:ascii="Arial" w:cs="Arial" w:eastAsia="Arial" w:hAnsi="Arial"/>
          <w:sz w:val="16"/>
          <w:szCs w:val="16"/>
          <w:color w:val="auto"/>
        </w:rPr>
        <w:t>Incorporated herein by reference to Exhibit 2.10 to Clearway Energy, Inc.'s Annual Report on Form 10-K filed on March 1, 2018.</w:t>
      </w:r>
    </w:p>
    <w:p>
      <w:pPr>
        <w:spacing w:after="0" w:line="89" w:lineRule="exact"/>
        <w:rPr>
          <w:sz w:val="20"/>
          <w:szCs w:val="20"/>
          <w:color w:val="auto"/>
        </w:rPr>
      </w:pPr>
    </w:p>
    <w:p>
      <w:pPr>
        <w:sectPr>
          <w:pgSz w:w="11900" w:h="16838" w:orient="portrait"/>
          <w:cols w:equalWidth="0" w:num="2">
            <w:col w:w="5740" w:space="300"/>
            <w:col w:w="4079"/>
          </w:cols>
          <w:pgMar w:left="340" w:top="873" w:right="1440" w:bottom="1440" w:gutter="0" w:footer="0" w:header="0"/>
          <w:type w:val="continuous"/>
        </w:sectPr>
      </w:pPr>
    </w:p>
    <w:p>
      <w:pPr>
        <w:spacing w:after="0"/>
        <w:rPr>
          <w:sz w:val="20"/>
          <w:szCs w:val="20"/>
          <w:color w:val="auto"/>
        </w:rPr>
      </w:pPr>
      <w:r>
        <w:rPr>
          <w:rFonts w:ascii="Arial" w:cs="Arial" w:eastAsia="Arial" w:hAnsi="Arial"/>
          <w:sz w:val="15"/>
          <w:szCs w:val="15"/>
          <w:color w:val="auto"/>
        </w:rPr>
        <w:t>2.2*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br w:type="column"/>
      </w:r>
    </w:p>
    <w:p>
      <w:pPr>
        <w:spacing w:after="0" w:line="295" w:lineRule="auto"/>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Purchase and Sale Agreement, dated as of December 6, 2019, by and between</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Clearway Energy Operating LLC and GIP III Zephyr Carlsbad Holdings, LLC.</w:t>
        </w:r>
      </w:hyperlink>
    </w:p>
    <w:p>
      <w:pPr>
        <w:spacing w:after="0" w:line="303" w:lineRule="exact"/>
        <w:rPr>
          <w:sz w:val="20"/>
          <w:szCs w:val="20"/>
          <w:color w:val="auto"/>
        </w:rPr>
      </w:pPr>
    </w:p>
    <w:p>
      <w:pPr>
        <w:ind w:right="340"/>
        <w:spacing w:after="0" w:line="295" w:lineRule="auto"/>
        <w:rPr>
          <w:rFonts w:ascii="Arial" w:cs="Arial" w:eastAsia="Arial" w:hAnsi="Arial"/>
          <w:sz w:val="14"/>
          <w:szCs w:val="14"/>
          <w:u w:val="single" w:color="auto"/>
          <w:color w:val="0000FF"/>
        </w:rPr>
      </w:pPr>
      <w:hyperlink r:id="rId194">
        <w:r>
          <w:rPr>
            <w:rFonts w:ascii="Arial" w:cs="Arial" w:eastAsia="Arial" w:hAnsi="Arial"/>
            <w:sz w:val="14"/>
            <w:szCs w:val="14"/>
            <w:u w:val="single" w:color="auto"/>
            <w:color w:val="0000FF"/>
          </w:rPr>
          <w:t>Purchase and Sale Agreement, dated as of November 19, 2020, by and</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between NRG Solar Sunrise LLC and Clearway AC Solar Holdings LLC.</w:t>
        </w:r>
      </w:hyperlink>
    </w:p>
    <w:p>
      <w:pPr>
        <w:spacing w:after="0" w:line="132" w:lineRule="exact"/>
        <w:rPr>
          <w:sz w:val="20"/>
          <w:szCs w:val="20"/>
          <w:color w:val="auto"/>
        </w:rPr>
      </w:pPr>
    </w:p>
    <w:p>
      <w:pPr>
        <w:spacing w:after="0"/>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Certificate of Formation of NRG Yield Operating LLC.</w:t>
        </w:r>
      </w:hyperlink>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2.1 to the Company's Current Report on Form 8-K, filed on December 9, 2019.</w:t>
      </w:r>
    </w:p>
    <w:p>
      <w:pPr>
        <w:spacing w:after="0" w:line="89"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2.1 to the Company's Current Report on Form 8-K filed on November 20, 2020.</w:t>
      </w:r>
    </w:p>
    <w:p>
      <w:pPr>
        <w:spacing w:after="0" w:line="10" w:lineRule="exact"/>
        <w:rPr>
          <w:sz w:val="20"/>
          <w:szCs w:val="20"/>
          <w:color w:val="auto"/>
        </w:rPr>
      </w:pPr>
    </w:p>
    <w:p>
      <w:pPr>
        <w:jc w:val="both"/>
        <w:ind w:right="459"/>
        <w:spacing w:after="0" w:line="225"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0" w:lineRule="exact"/>
        <w:rPr>
          <w:sz w:val="20"/>
          <w:szCs w:val="20"/>
          <w:color w:val="auto"/>
        </w:rPr>
      </w:pPr>
    </w:p>
    <w:p>
      <w:pPr>
        <w:sectPr>
          <w:pgSz w:w="11900" w:h="16838" w:orient="portrait"/>
          <w:cols w:equalWidth="0" w:num="3">
            <w:col w:w="280" w:space="600"/>
            <w:col w:w="5020" w:space="140"/>
            <w:col w:w="4079"/>
          </w:cols>
          <w:pgMar w:left="340" w:top="873" w:right="1440" w:bottom="1440" w:gutter="0" w:footer="0" w:header="0"/>
          <w:type w:val="continuous"/>
        </w:sectPr>
      </w:pPr>
    </w:p>
    <w:p>
      <w:pPr>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5"/>
          </w:tcPr>
          <w:p>
            <w:pPr>
              <w:spacing w:after="0"/>
              <w:rPr>
                <w:rFonts w:ascii="Arial" w:cs="Arial" w:eastAsia="Arial" w:hAnsi="Arial"/>
                <w:sz w:val="16"/>
                <w:szCs w:val="16"/>
                <w:color w:val="0000FF"/>
                <w:w w:val="93"/>
              </w:rPr>
            </w:pPr>
            <w:hyperlink r:id="rId196">
              <w:r>
                <w:rPr>
                  <w:rFonts w:ascii="Arial" w:cs="Arial" w:eastAsia="Arial" w:hAnsi="Arial"/>
                  <w:sz w:val="16"/>
                  <w:szCs w:val="16"/>
                  <w:color w:val="0000FF"/>
                  <w:w w:val="93"/>
                </w:rPr>
                <w:t>Certificate of Amendment of Certificate of Formation of NRG Yield Operating</w:t>
              </w:r>
            </w:hyperlink>
          </w:p>
        </w:tc>
        <w:tc>
          <w:tcPr>
            <w:tcW w:w="3700" w:type="dxa"/>
            <w:vAlign w:val="bottom"/>
          </w:tcPr>
          <w:p>
            <w:pPr>
              <w:ind w:left="80"/>
              <w:spacing w:after="0"/>
              <w:rPr>
                <w:sz w:val="20"/>
                <w:szCs w:val="20"/>
                <w:color w:val="auto"/>
              </w:rPr>
            </w:pPr>
            <w:r>
              <w:rPr>
                <w:rFonts w:ascii="Arial" w:cs="Arial" w:eastAsia="Arial" w:hAnsi="Arial"/>
                <w:sz w:val="16"/>
                <w:szCs w:val="16"/>
                <w:color w:val="auto"/>
                <w:w w:val="89"/>
              </w:rPr>
              <w:t>Incorporated herein by reference to Exhibit 3.01(b) to the</w:t>
            </w:r>
          </w:p>
        </w:tc>
        <w:tc>
          <w:tcPr>
            <w:tcW w:w="0" w:type="dxa"/>
            <w:vAlign w:val="bottom"/>
          </w:tcPr>
          <w:p>
            <w:pPr>
              <w:spacing w:after="0"/>
              <w:rPr>
                <w:sz w:val="1"/>
                <w:szCs w:val="1"/>
                <w:color w:val="auto"/>
              </w:rPr>
            </w:pPr>
          </w:p>
        </w:tc>
      </w:tr>
      <w:tr>
        <w:trPr>
          <w:trHeight w:val="138"/>
        </w:trPr>
        <w:tc>
          <w:tcPr>
            <w:tcW w:w="5020" w:type="dxa"/>
            <w:vAlign w:val="bottom"/>
            <w:tcBorders>
              <w:top w:val="single" w:sz="8" w:color="0000FF"/>
            </w:tcBorders>
            <w:gridSpan w:val="4"/>
          </w:tcPr>
          <w:p>
            <w:pPr>
              <w:spacing w:after="0" w:line="138" w:lineRule="exact"/>
              <w:rPr>
                <w:rFonts w:ascii="Arial" w:cs="Arial" w:eastAsia="Arial" w:hAnsi="Arial"/>
                <w:sz w:val="16"/>
                <w:szCs w:val="16"/>
                <w:color w:val="0000FF"/>
              </w:rPr>
            </w:pPr>
            <w:hyperlink r:id="rId196">
              <w:r>
                <w:rPr>
                  <w:rFonts w:ascii="Arial" w:cs="Arial" w:eastAsia="Arial" w:hAnsi="Arial"/>
                  <w:sz w:val="16"/>
                  <w:szCs w:val="16"/>
                  <w:color w:val="0000FF"/>
                </w:rPr>
                <w:t>LLC.</w:t>
              </w:r>
            </w:hyperlink>
          </w:p>
        </w:tc>
        <w:tc>
          <w:tcPr>
            <w:tcW w:w="60" w:type="dxa"/>
            <w:vAlign w:val="bottom"/>
          </w:tcPr>
          <w:p>
            <w:pPr>
              <w:spacing w:after="0"/>
              <w:rPr>
                <w:sz w:val="12"/>
                <w:szCs w:val="12"/>
                <w:color w:val="auto"/>
              </w:rPr>
            </w:pPr>
          </w:p>
        </w:tc>
        <w:tc>
          <w:tcPr>
            <w:tcW w:w="3700" w:type="dxa"/>
            <w:vAlign w:val="bottom"/>
          </w:tcPr>
          <w:p>
            <w:pPr>
              <w:ind w:left="80"/>
              <w:spacing w:after="0" w:line="138" w:lineRule="exact"/>
              <w:rPr>
                <w:sz w:val="20"/>
                <w:szCs w:val="20"/>
                <w:color w:val="auto"/>
              </w:rPr>
            </w:pPr>
            <w:r>
              <w:rPr>
                <w:rFonts w:ascii="Arial" w:cs="Arial" w:eastAsia="Arial" w:hAnsi="Arial"/>
                <w:sz w:val="16"/>
                <w:szCs w:val="16"/>
                <w:color w:val="auto"/>
                <w:w w:val="90"/>
              </w:rPr>
              <w:t>Company's Registration Statement on Form S-4 filed on</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April 13, 2015.</w:t>
            </w:r>
          </w:p>
        </w:tc>
        <w:tc>
          <w:tcPr>
            <w:tcW w:w="0" w:type="dxa"/>
            <w:vAlign w:val="bottom"/>
          </w:tcPr>
          <w:p>
            <w:pPr>
              <w:spacing w:after="0" w:line="20" w:lineRule="exact"/>
              <w:rPr>
                <w:sz w:val="1"/>
                <w:szCs w:val="1"/>
                <w:color w:val="auto"/>
              </w:rPr>
            </w:pPr>
          </w:p>
        </w:tc>
      </w:tr>
      <w:tr>
        <w:trPr>
          <w:trHeight w:val="181"/>
        </w:trPr>
        <w:tc>
          <w:tcPr>
            <w:tcW w:w="5080" w:type="dxa"/>
            <w:vAlign w:val="bottom"/>
            <w:gridSpan w:val="5"/>
            <w:vMerge w:val="restart"/>
          </w:tcPr>
          <w:p>
            <w:pPr>
              <w:spacing w:after="0"/>
              <w:rPr>
                <w:rFonts w:ascii="Arial" w:cs="Arial" w:eastAsia="Arial" w:hAnsi="Arial"/>
                <w:sz w:val="16"/>
                <w:szCs w:val="16"/>
                <w:color w:val="0000FF"/>
              </w:rPr>
            </w:pPr>
            <w:hyperlink r:id="rId197">
              <w:r>
                <w:rPr>
                  <w:rFonts w:ascii="Arial" w:cs="Arial" w:eastAsia="Arial" w:hAnsi="Arial"/>
                  <w:sz w:val="16"/>
                  <w:szCs w:val="16"/>
                  <w:color w:val="0000FF"/>
                </w:rPr>
                <w:t>Third Amended and Restated Limited Liability Company Agreement of</w:t>
              </w:r>
            </w:hyperlink>
          </w:p>
        </w:tc>
        <w:tc>
          <w:tcPr>
            <w:tcW w:w="3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080" w:type="dxa"/>
            <w:vAlign w:val="bottom"/>
            <w:gridSpan w:val="5"/>
            <w:vMerge w:val="continue"/>
          </w:tcPr>
          <w:p>
            <w:pPr>
              <w:spacing w:after="0"/>
              <w:rPr>
                <w:sz w:val="21"/>
                <w:szCs w:val="21"/>
                <w:color w:val="auto"/>
              </w:rPr>
            </w:pP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w w:val="95"/>
              </w:rPr>
              <w:t>Incorporated herein by reference to Exhibit 3.3. to the</w:t>
            </w:r>
          </w:p>
        </w:tc>
        <w:tc>
          <w:tcPr>
            <w:tcW w:w="0" w:type="dxa"/>
            <w:vAlign w:val="bottom"/>
          </w:tcPr>
          <w:p>
            <w:pPr>
              <w:spacing w:after="0"/>
              <w:rPr>
                <w:sz w:val="1"/>
                <w:szCs w:val="1"/>
                <w:color w:val="auto"/>
              </w:rPr>
            </w:pPr>
          </w:p>
        </w:tc>
      </w:tr>
      <w:tr>
        <w:trPr>
          <w:trHeight w:val="62"/>
        </w:trPr>
        <w:tc>
          <w:tcPr>
            <w:tcW w:w="4560" w:type="dxa"/>
            <w:vAlign w:val="bottom"/>
            <w:tcBorders>
              <w:top w:val="single" w:sz="8" w:color="0000FF"/>
            </w:tcBorders>
            <w:gridSpan w:val="3"/>
            <w:vMerge w:val="restart"/>
          </w:tcPr>
          <w:p>
            <w:pPr>
              <w:spacing w:after="0" w:line="138" w:lineRule="exact"/>
              <w:rPr>
                <w:rFonts w:ascii="Arial" w:cs="Arial" w:eastAsia="Arial" w:hAnsi="Arial"/>
                <w:sz w:val="16"/>
                <w:szCs w:val="16"/>
                <w:color w:val="0000FF"/>
              </w:rPr>
            </w:pPr>
            <w:hyperlink r:id="rId197">
              <w:r>
                <w:rPr>
                  <w:rFonts w:ascii="Arial" w:cs="Arial" w:eastAsia="Arial" w:hAnsi="Arial"/>
                  <w:sz w:val="16"/>
                  <w:szCs w:val="16"/>
                  <w:color w:val="0000FF"/>
                </w:rPr>
                <w:t>Clearway Energy Operating LLC.</w:t>
              </w:r>
            </w:hyperlink>
          </w:p>
        </w:tc>
        <w:tc>
          <w:tcPr>
            <w:tcW w:w="520" w:type="dxa"/>
            <w:vAlign w:val="bottom"/>
            <w:gridSpan w:val="2"/>
            <w:vMerge w:val="restart"/>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4560" w:type="dxa"/>
            <w:vAlign w:val="bottom"/>
            <w:gridSpan w:val="3"/>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3700" w:type="dxa"/>
            <w:vAlign w:val="bottom"/>
            <w:vMerge w:val="restart"/>
          </w:tcPr>
          <w:p>
            <w:pPr>
              <w:ind w:left="80"/>
              <w:spacing w:after="0" w:line="158" w:lineRule="exact"/>
              <w:rPr>
                <w:sz w:val="20"/>
                <w:szCs w:val="20"/>
                <w:color w:val="auto"/>
              </w:rPr>
            </w:pPr>
            <w:r>
              <w:rPr>
                <w:rFonts w:ascii="Arial" w:cs="Arial" w:eastAsia="Arial" w:hAnsi="Arial"/>
                <w:sz w:val="16"/>
                <w:szCs w:val="16"/>
                <w:color w:val="auto"/>
              </w:rPr>
              <w:t>Company's Annual Report on Form 10-K filed on</w:t>
            </w:r>
          </w:p>
        </w:tc>
        <w:tc>
          <w:tcPr>
            <w:tcW w:w="0" w:type="dxa"/>
            <w:vAlign w:val="bottom"/>
          </w:tcPr>
          <w:p>
            <w:pPr>
              <w:spacing w:after="0"/>
              <w:rPr>
                <w:sz w:val="1"/>
                <w:szCs w:val="1"/>
                <w:color w:val="auto"/>
              </w:rPr>
            </w:pPr>
          </w:p>
        </w:tc>
      </w:tr>
      <w:tr>
        <w:trPr>
          <w:trHeight w:val="62"/>
        </w:trPr>
        <w:tc>
          <w:tcPr>
            <w:tcW w:w="340" w:type="dxa"/>
            <w:vAlign w:val="bottom"/>
            <w:tcBorders>
              <w:top w:val="single" w:sz="8" w:color="0000FF"/>
            </w:tcBorders>
          </w:tcPr>
          <w:p>
            <w:pPr>
              <w:spacing w:after="0"/>
              <w:rPr>
                <w:sz w:val="5"/>
                <w:szCs w:val="5"/>
                <w:color w:val="auto"/>
              </w:rPr>
            </w:pPr>
          </w:p>
        </w:tc>
        <w:tc>
          <w:tcPr>
            <w:tcW w:w="1820" w:type="dxa"/>
            <w:vAlign w:val="bottom"/>
            <w:tcBorders>
              <w:top w:val="single" w:sz="8" w:color="0000FF"/>
            </w:tcBorders>
          </w:tcPr>
          <w:p>
            <w:pPr>
              <w:spacing w:after="0"/>
              <w:rPr>
                <w:sz w:val="5"/>
                <w:szCs w:val="5"/>
                <w:color w:val="auto"/>
              </w:rPr>
            </w:pPr>
          </w:p>
        </w:tc>
        <w:tc>
          <w:tcPr>
            <w:tcW w:w="2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February 28, 2019.</w:t>
            </w: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2">
            <w:col w:w="200" w:space="680"/>
            <w:col w:w="9239"/>
          </w:cols>
          <w:pgMar w:left="340" w:top="873" w:right="144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40" w:type="dxa"/>
            <w:vAlign w:val="bottom"/>
          </w:tcPr>
          <w:p>
            <w:pPr>
              <w:jc w:val="right"/>
              <w:ind w:right="261"/>
              <w:spacing w:after="0"/>
              <w:rPr>
                <w:sz w:val="20"/>
                <w:szCs w:val="20"/>
                <w:color w:val="auto"/>
              </w:rPr>
            </w:pPr>
            <w:r>
              <w:rPr>
                <w:rFonts w:ascii="Arial" w:cs="Arial" w:eastAsia="Arial" w:hAnsi="Arial"/>
                <w:sz w:val="16"/>
                <w:szCs w:val="16"/>
                <w:color w:val="auto"/>
                <w:w w:val="80"/>
              </w:rPr>
              <w:t>3.4</w:t>
            </w:r>
          </w:p>
        </w:tc>
        <w:tc>
          <w:tcPr>
            <w:tcW w:w="5280" w:type="dxa"/>
            <w:vAlign w:val="bottom"/>
            <w:gridSpan w:val="3"/>
          </w:tcPr>
          <w:p>
            <w:pPr>
              <w:ind w:left="340"/>
              <w:spacing w:after="0"/>
              <w:rPr>
                <w:rFonts w:ascii="Arial" w:cs="Arial" w:eastAsia="Arial" w:hAnsi="Arial"/>
                <w:sz w:val="16"/>
                <w:szCs w:val="16"/>
                <w:color w:val="0000FF"/>
              </w:rPr>
            </w:pPr>
            <w:hyperlink r:id="rId198">
              <w:r>
                <w:rPr>
                  <w:rFonts w:ascii="Arial" w:cs="Arial" w:eastAsia="Arial" w:hAnsi="Arial"/>
                  <w:sz w:val="16"/>
                  <w:szCs w:val="16"/>
                  <w:color w:val="0000FF"/>
                </w:rPr>
                <w:t>Certificate of Formation of NRG Yield LLC.</w:t>
              </w:r>
            </w:hyperlink>
          </w:p>
        </w:tc>
        <w:tc>
          <w:tcPr>
            <w:tcW w:w="3840" w:type="dxa"/>
            <w:vAlign w:val="bottom"/>
            <w:vMerge w:val="restart"/>
          </w:tcPr>
          <w:p>
            <w:pPr>
              <w:ind w:left="220"/>
              <w:spacing w:after="0"/>
              <w:rPr>
                <w:sz w:val="20"/>
                <w:szCs w:val="20"/>
                <w:color w:val="auto"/>
              </w:rPr>
            </w:pPr>
            <w:r>
              <w:rPr>
                <w:rFonts w:ascii="Arial" w:cs="Arial" w:eastAsia="Arial" w:hAnsi="Arial"/>
                <w:sz w:val="16"/>
                <w:szCs w:val="16"/>
                <w:color w:val="auto"/>
                <w:w w:val="89"/>
              </w:rPr>
              <w:t>Incorporated herein by reference to Exhibit 3.03(a) to the</w:t>
            </w:r>
          </w:p>
        </w:tc>
        <w:tc>
          <w:tcPr>
            <w:tcW w:w="0" w:type="dxa"/>
            <w:vAlign w:val="bottom"/>
          </w:tcPr>
          <w:p>
            <w:pPr>
              <w:spacing w:after="0"/>
              <w:rPr>
                <w:sz w:val="1"/>
                <w:szCs w:val="1"/>
                <w:color w:val="auto"/>
              </w:rPr>
            </w:pPr>
          </w:p>
        </w:tc>
      </w:tr>
      <w:tr>
        <w:trPr>
          <w:trHeight w:val="62"/>
        </w:trPr>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top w:val="single" w:sz="8" w:color="0000FF"/>
            </w:tcBorders>
          </w:tcPr>
          <w:p>
            <w:pPr>
              <w:spacing w:after="0"/>
              <w:rPr>
                <w:sz w:val="5"/>
                <w:szCs w:val="5"/>
                <w:color w:val="auto"/>
              </w:rPr>
            </w:pPr>
          </w:p>
        </w:tc>
        <w:tc>
          <w:tcPr>
            <w:tcW w:w="208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40" w:type="dxa"/>
            <w:vAlign w:val="bottom"/>
          </w:tcPr>
          <w:p>
            <w:pPr>
              <w:ind w:left="220"/>
              <w:spacing w:after="0" w:line="158" w:lineRule="exact"/>
              <w:rPr>
                <w:sz w:val="20"/>
                <w:szCs w:val="20"/>
                <w:color w:val="auto"/>
              </w:rPr>
            </w:pPr>
            <w:r>
              <w:rPr>
                <w:rFonts w:ascii="Arial" w:cs="Arial" w:eastAsia="Arial" w:hAnsi="Arial"/>
                <w:sz w:val="16"/>
                <w:szCs w:val="16"/>
                <w:color w:val="auto"/>
                <w:w w:val="90"/>
              </w:rPr>
              <w:t>Company's Registration Statement on Form S-4 filed on</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840" w:type="dxa"/>
            <w:vAlign w:val="bottom"/>
          </w:tcPr>
          <w:p>
            <w:pPr>
              <w:ind w:left="220"/>
              <w:spacing w:after="0"/>
              <w:rPr>
                <w:sz w:val="20"/>
                <w:szCs w:val="20"/>
                <w:color w:val="auto"/>
              </w:rPr>
            </w:pPr>
            <w:r>
              <w:rPr>
                <w:rFonts w:ascii="Arial" w:cs="Arial" w:eastAsia="Arial" w:hAnsi="Arial"/>
                <w:sz w:val="16"/>
                <w:szCs w:val="16"/>
                <w:color w:val="auto"/>
              </w:rPr>
              <w:t>April 13, 2015.</w:t>
            </w:r>
          </w:p>
        </w:tc>
        <w:tc>
          <w:tcPr>
            <w:tcW w:w="0" w:type="dxa"/>
            <w:vAlign w:val="bottom"/>
          </w:tcPr>
          <w:p>
            <w:pPr>
              <w:spacing w:after="0"/>
              <w:rPr>
                <w:sz w:val="1"/>
                <w:szCs w:val="1"/>
                <w:color w:val="auto"/>
              </w:rPr>
            </w:pPr>
          </w:p>
        </w:tc>
      </w:tr>
      <w:tr>
        <w:trPr>
          <w:trHeight w:val="195"/>
        </w:trPr>
        <w:tc>
          <w:tcPr>
            <w:tcW w:w="540" w:type="dxa"/>
            <w:vAlign w:val="bottom"/>
          </w:tcPr>
          <w:p>
            <w:pPr>
              <w:jc w:val="right"/>
              <w:ind w:right="261"/>
              <w:spacing w:after="0"/>
              <w:rPr>
                <w:sz w:val="20"/>
                <w:szCs w:val="20"/>
                <w:color w:val="auto"/>
              </w:rPr>
            </w:pPr>
            <w:r>
              <w:rPr>
                <w:rFonts w:ascii="Arial" w:cs="Arial" w:eastAsia="Arial" w:hAnsi="Arial"/>
                <w:sz w:val="16"/>
                <w:szCs w:val="16"/>
                <w:color w:val="auto"/>
                <w:w w:val="80"/>
              </w:rPr>
              <w:t>3.5</w:t>
            </w:r>
          </w:p>
        </w:tc>
        <w:tc>
          <w:tcPr>
            <w:tcW w:w="5280" w:type="dxa"/>
            <w:vAlign w:val="bottom"/>
            <w:gridSpan w:val="3"/>
          </w:tcPr>
          <w:p>
            <w:pPr>
              <w:ind w:left="340"/>
              <w:spacing w:after="0"/>
              <w:rPr>
                <w:sz w:val="20"/>
                <w:szCs w:val="20"/>
                <w:color w:val="auto"/>
              </w:rPr>
            </w:pPr>
            <w:r>
              <w:rPr>
                <w:rFonts w:ascii="Arial" w:cs="Arial" w:eastAsia="Arial" w:hAnsi="Arial"/>
                <w:sz w:val="16"/>
                <w:szCs w:val="16"/>
                <w:u w:val="single" w:color="auto"/>
                <w:color w:val="0000FF"/>
                <w:w w:val="97"/>
              </w:rPr>
              <w:t>Certificate of Amendment of Certificate of Formation of NRG Yield LLC.</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040"/>
        <w:spacing w:after="0" w:line="235" w:lineRule="auto"/>
        <w:rPr>
          <w:sz w:val="20"/>
          <w:szCs w:val="20"/>
          <w:color w:val="auto"/>
        </w:rPr>
      </w:pPr>
      <w:r>
        <w:rPr>
          <w:rFonts w:ascii="Arial" w:cs="Arial" w:eastAsia="Arial" w:hAnsi="Arial"/>
          <w:sz w:val="14"/>
          <w:szCs w:val="14"/>
          <w:color w:val="auto"/>
        </w:rPr>
        <w:t>Incorporated herein by reference to Exhibit 3.03(b) to the</w:t>
      </w:r>
    </w:p>
    <w:p>
      <w:pPr>
        <w:ind w:left="6040"/>
        <w:spacing w:after="0" w:line="236" w:lineRule="auto"/>
        <w:rPr>
          <w:sz w:val="20"/>
          <w:szCs w:val="20"/>
          <w:color w:val="auto"/>
        </w:rPr>
      </w:pPr>
      <w:r>
        <w:rPr>
          <w:rFonts w:ascii="Arial" w:cs="Arial" w:eastAsia="Arial" w:hAnsi="Arial"/>
          <w:sz w:val="14"/>
          <w:szCs w:val="14"/>
          <w:color w:val="auto"/>
        </w:rPr>
        <w:t>Company's Registration Statement on Form S-4 filed on</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April 13, 2015.</w:t>
      </w:r>
    </w:p>
    <w:p>
      <w:pPr>
        <w:sectPr>
          <w:pgSz w:w="11900" w:h="16838" w:orient="portrait"/>
          <w:cols w:equalWidth="0" w:num="1">
            <w:col w:w="10119"/>
          </w:cols>
          <w:pgMar w:left="340" w:top="873"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20"/>
        <w:spacing w:after="0" w:line="225" w:lineRule="auto"/>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Fourth Amended and Restated Limited Liability Company Agreement of NRG</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Yield LLC, dated as of August 31, 2018, by and between NRG Yield, Inc. and</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Zephyr Renewables LLC.</w:t>
        </w:r>
      </w:hyperlink>
    </w:p>
    <w:p>
      <w:pPr>
        <w:spacing w:after="0" w:line="182" w:lineRule="exact"/>
        <w:rPr>
          <w:rFonts w:ascii="Arial" w:cs="Arial" w:eastAsia="Arial" w:hAnsi="Arial"/>
          <w:sz w:val="16"/>
          <w:szCs w:val="16"/>
          <w:u w:val="single" w:color="auto"/>
          <w:color w:val="0000FF"/>
        </w:rPr>
      </w:pPr>
    </w:p>
    <w:p>
      <w:pPr>
        <w:jc w:val="both"/>
        <w:spacing w:after="0" w:line="295" w:lineRule="auto"/>
        <w:rPr>
          <w:rFonts w:ascii="Arial" w:cs="Arial" w:eastAsia="Arial" w:hAnsi="Arial"/>
          <w:sz w:val="14"/>
          <w:szCs w:val="14"/>
          <w:u w:val="single" w:color="auto"/>
          <w:color w:val="0000FF"/>
        </w:rPr>
      </w:pPr>
      <w:hyperlink r:id="rId200">
        <w:r>
          <w:rPr>
            <w:rFonts w:ascii="Arial" w:cs="Arial" w:eastAsia="Arial" w:hAnsi="Arial"/>
            <w:sz w:val="14"/>
            <w:szCs w:val="14"/>
            <w:u w:val="single" w:color="auto"/>
            <w:color w:val="0000FF"/>
          </w:rPr>
          <w:t>Indenture, dated December 11, 2019, among Clearway Energy Operating LLC,</w:t>
        </w:r>
      </w:hyperlink>
      <w:r>
        <w:rPr>
          <w:rFonts w:ascii="Arial" w:cs="Arial" w:eastAsia="Arial" w:hAnsi="Arial"/>
          <w:sz w:val="14"/>
          <w:szCs w:val="14"/>
          <w:u w:val="single" w:color="auto"/>
          <w:color w:val="0000FF"/>
        </w:rPr>
        <w:t xml:space="preserve"> </w:t>
      </w:r>
      <w:hyperlink r:id="rId200">
        <w:r>
          <w:rPr>
            <w:rFonts w:ascii="Arial" w:cs="Arial" w:eastAsia="Arial" w:hAnsi="Arial"/>
            <w:sz w:val="14"/>
            <w:szCs w:val="14"/>
            <w:u w:val="single" w:color="auto"/>
            <w:color w:val="0000FF"/>
          </w:rPr>
          <w:t>the guarantors named therein and Delaware Trust Company, as trustee.</w:t>
        </w:r>
      </w:hyperlink>
    </w:p>
    <w:p>
      <w:pPr>
        <w:spacing w:after="0" w:line="303" w:lineRule="exact"/>
        <w:rPr>
          <w:sz w:val="20"/>
          <w:szCs w:val="20"/>
          <w:color w:val="auto"/>
        </w:rPr>
      </w:pPr>
    </w:p>
    <w:p>
      <w:pPr>
        <w:spacing w:after="0"/>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Form of 4.750% Senior Note due 2028.</w:t>
        </w:r>
      </w:hyperlink>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10.6 to Clearway Energy, Inc.'s Current Report on Form 8-K filed on September 5, 2018.</w:t>
      </w:r>
    </w:p>
    <w:p>
      <w:pPr>
        <w:spacing w:after="0" w:line="182"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182"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89" w:lineRule="exact"/>
        <w:rPr>
          <w:sz w:val="20"/>
          <w:szCs w:val="20"/>
          <w:color w:val="auto"/>
        </w:rPr>
      </w:pPr>
    </w:p>
    <w:p>
      <w:pPr>
        <w:sectPr>
          <w:pgSz w:w="11900" w:h="16838" w:orient="portrait"/>
          <w:cols w:equalWidth="0" w:num="3">
            <w:col w:w="200" w:space="680"/>
            <w:col w:w="5020" w:space="140"/>
            <w:col w:w="4079"/>
          </w:cols>
          <w:pgMar w:left="340" w:top="8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4.3</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4.10</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0" w:lineRule="exact"/>
        <w:rPr>
          <w:sz w:val="20"/>
          <w:szCs w:val="20"/>
          <w:color w:val="auto"/>
        </w:rPr>
      </w:pPr>
      <w:r>
        <w:rPr>
          <w:sz w:val="20"/>
          <w:szCs w:val="20"/>
          <w:color w:val="auto"/>
        </w:rPr>
        <w:br w:type="column"/>
      </w:r>
    </w:p>
    <w:p>
      <w:pPr>
        <w:ind w:right="200"/>
        <w:spacing w:after="0" w:line="225" w:lineRule="auto"/>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First Supplemental Indenture, dated as of January 6, 2020, among Clearway</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Energy Operating LLC, the guarantors named therein and Delaware Trust</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Company.</w:t>
        </w:r>
      </w:hyperlink>
    </w:p>
    <w:p>
      <w:pPr>
        <w:spacing w:after="0" w:line="10" w:lineRule="exact"/>
        <w:rPr>
          <w:rFonts w:ascii="Arial" w:cs="Arial" w:eastAsia="Arial" w:hAnsi="Arial"/>
          <w:sz w:val="16"/>
          <w:szCs w:val="16"/>
          <w:u w:val="single" w:color="auto"/>
          <w:color w:val="0000FF"/>
        </w:rPr>
      </w:pPr>
    </w:p>
    <w:p>
      <w:pPr>
        <w:ind w:right="60"/>
        <w:spacing w:after="0" w:line="225" w:lineRule="auto"/>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Second Supplemental Indenture, dated as of February 26, 2020, among</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Clearway Energy Operating LLC, the guarantors named therein and Delaware</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Trust Company.</w:t>
        </w:r>
      </w:hyperlink>
    </w:p>
    <w:p>
      <w:pPr>
        <w:spacing w:after="0" w:line="10" w:lineRule="exact"/>
        <w:rPr>
          <w:rFonts w:ascii="Arial" w:cs="Arial" w:eastAsia="Arial" w:hAnsi="Arial"/>
          <w:sz w:val="16"/>
          <w:szCs w:val="16"/>
          <w:u w:val="single" w:color="auto"/>
          <w:color w:val="0000FF"/>
        </w:rPr>
      </w:pPr>
    </w:p>
    <w:p>
      <w:pPr>
        <w:jc w:val="both"/>
        <w:ind w:right="280"/>
        <w:spacing w:after="0" w:line="225" w:lineRule="auto"/>
        <w:rPr>
          <w:rFonts w:ascii="Arial" w:cs="Arial" w:eastAsia="Arial" w:hAnsi="Arial"/>
          <w:sz w:val="16"/>
          <w:szCs w:val="16"/>
          <w:u w:val="single" w:color="auto"/>
          <w:color w:val="0000FF"/>
        </w:rPr>
      </w:pPr>
      <w:hyperlink r:id="rId203">
        <w:r>
          <w:rPr>
            <w:rFonts w:ascii="Arial" w:cs="Arial" w:eastAsia="Arial" w:hAnsi="Arial"/>
            <w:sz w:val="16"/>
            <w:szCs w:val="16"/>
            <w:u w:val="single" w:color="auto"/>
            <w:color w:val="0000FF"/>
          </w:rPr>
          <w:t>Third Supplemental Indenture, dated as of July 17, 2020, among Clearway</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Energy Operating LLC, the guarantors named therein and Delaware Trust</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Company.</w:t>
        </w:r>
      </w:hyperlink>
    </w:p>
    <w:p>
      <w:pPr>
        <w:spacing w:after="0" w:line="10" w:lineRule="exact"/>
        <w:rPr>
          <w:rFonts w:ascii="Arial" w:cs="Arial" w:eastAsia="Arial" w:hAnsi="Arial"/>
          <w:sz w:val="16"/>
          <w:szCs w:val="16"/>
          <w:u w:val="single" w:color="auto"/>
          <w:color w:val="0000FF"/>
        </w:rPr>
      </w:pPr>
    </w:p>
    <w:p>
      <w:pPr>
        <w:ind w:right="20"/>
        <w:spacing w:after="0" w:line="225" w:lineRule="auto"/>
        <w:rPr>
          <w:rFonts w:ascii="Arial" w:cs="Arial" w:eastAsia="Arial" w:hAnsi="Arial"/>
          <w:sz w:val="16"/>
          <w:szCs w:val="16"/>
          <w:u w:val="single" w:color="auto"/>
          <w:color w:val="0000FF"/>
        </w:rPr>
      </w:pPr>
      <w:hyperlink r:id="rId204">
        <w:r>
          <w:rPr>
            <w:rFonts w:ascii="Arial" w:cs="Arial" w:eastAsia="Arial" w:hAnsi="Arial"/>
            <w:sz w:val="16"/>
            <w:szCs w:val="16"/>
            <w:u w:val="single" w:color="auto"/>
            <w:color w:val="0000FF"/>
          </w:rPr>
          <w:t>Fourth Supplemental Indenture, dated as of August 17, 2020, among Clearway</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Energy Operating LLC, the guarantors named therein and Delaware Trust</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Company.</w:t>
        </w:r>
      </w:hyperlink>
    </w:p>
    <w:p>
      <w:pPr>
        <w:spacing w:after="0" w:line="10" w:lineRule="exact"/>
        <w:rPr>
          <w:rFonts w:ascii="Arial" w:cs="Arial" w:eastAsia="Arial" w:hAnsi="Arial"/>
          <w:sz w:val="16"/>
          <w:szCs w:val="16"/>
          <w:u w:val="single" w:color="auto"/>
          <w:color w:val="0000FF"/>
        </w:rPr>
      </w:pPr>
    </w:p>
    <w:p>
      <w:pPr>
        <w:ind w:right="60"/>
        <w:spacing w:after="0" w:line="225" w:lineRule="auto"/>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Fifth Supplemental Indenture, dated as of November 18, 2020, among</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Clearway Energy Operating LLC, the guarantors named therein and Delaware</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Trust Company.</w:t>
        </w:r>
      </w:hyperlink>
    </w:p>
    <w:p>
      <w:pPr>
        <w:spacing w:after="0" w:line="10" w:lineRule="exact"/>
        <w:rPr>
          <w:rFonts w:ascii="Arial" w:cs="Arial" w:eastAsia="Arial" w:hAnsi="Arial"/>
          <w:sz w:val="16"/>
          <w:szCs w:val="16"/>
          <w:u w:val="single" w:color="auto"/>
          <w:color w:val="0000FF"/>
        </w:rPr>
      </w:pPr>
    </w:p>
    <w:p>
      <w:pPr>
        <w:spacing w:after="0" w:line="225" w:lineRule="auto"/>
        <w:rPr>
          <w:rFonts w:ascii="Arial" w:cs="Arial" w:eastAsia="Arial" w:hAnsi="Arial"/>
          <w:sz w:val="16"/>
          <w:szCs w:val="16"/>
          <w:u w:val="single" w:color="auto"/>
          <w:color w:val="0000FF"/>
        </w:rPr>
      </w:pPr>
      <w:hyperlink r:id="rId206">
        <w:r>
          <w:rPr>
            <w:rFonts w:ascii="Arial" w:cs="Arial" w:eastAsia="Arial" w:hAnsi="Arial"/>
            <w:sz w:val="16"/>
            <w:szCs w:val="16"/>
            <w:u w:val="single" w:color="auto"/>
            <w:color w:val="0000FF"/>
          </w:rPr>
          <w:t>Sixth Supplemental Indenture, dated as of December 1, 2020, among Clearway</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Energy Operating LLC, the guarantors named therein and Delaware Trust</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Company.</w:t>
        </w:r>
      </w:hyperlink>
    </w:p>
    <w:p>
      <w:pPr>
        <w:spacing w:after="0" w:line="10" w:lineRule="exact"/>
        <w:rPr>
          <w:rFonts w:ascii="Arial" w:cs="Arial" w:eastAsia="Arial" w:hAnsi="Arial"/>
          <w:sz w:val="16"/>
          <w:szCs w:val="16"/>
          <w:u w:val="single" w:color="auto"/>
          <w:color w:val="0000FF"/>
        </w:rPr>
      </w:pPr>
    </w:p>
    <w:p>
      <w:pPr>
        <w:ind w:right="60"/>
        <w:spacing w:after="0" w:line="225" w:lineRule="auto"/>
        <w:rPr>
          <w:rFonts w:ascii="Arial" w:cs="Arial" w:eastAsia="Arial" w:hAnsi="Arial"/>
          <w:sz w:val="16"/>
          <w:szCs w:val="16"/>
          <w:u w:val="single" w:color="auto"/>
          <w:color w:val="0000FF"/>
        </w:rPr>
      </w:pPr>
      <w:hyperlink r:id="rId207">
        <w:r>
          <w:rPr>
            <w:rFonts w:ascii="Arial" w:cs="Arial" w:eastAsia="Arial" w:hAnsi="Arial"/>
            <w:sz w:val="16"/>
            <w:szCs w:val="16"/>
            <w:u w:val="single" w:color="auto"/>
            <w:color w:val="0000FF"/>
          </w:rPr>
          <w:t>Seventh Supplemental Indenture, dated as of December 23, 2020, among</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Clearway Energy Operating LLC, the guarantors named therein and Delaware</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Trust Company.</w:t>
        </w:r>
      </w:hyperlink>
    </w:p>
    <w:p>
      <w:pPr>
        <w:spacing w:after="0" w:line="10" w:lineRule="exact"/>
        <w:rPr>
          <w:rFonts w:ascii="Arial" w:cs="Arial" w:eastAsia="Arial" w:hAnsi="Arial"/>
          <w:sz w:val="16"/>
          <w:szCs w:val="16"/>
          <w:u w:val="single" w:color="auto"/>
          <w:color w:val="0000FF"/>
        </w:rPr>
      </w:pPr>
    </w:p>
    <w:p>
      <w:pPr>
        <w:ind w:right="60"/>
        <w:spacing w:after="0" w:line="225" w:lineRule="auto"/>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Eighth Supplemental Indenture, dated as of February 3, 2021, among</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Clearway Energy Operating LLC, the guarantors named therein and Delaware</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Trust Company.</w:t>
        </w:r>
      </w:hyperlink>
    </w:p>
    <w:p>
      <w:pPr>
        <w:spacing w:after="0" w:line="10" w:lineRule="exact"/>
        <w:rPr>
          <w:rFonts w:ascii="Arial" w:cs="Arial" w:eastAsia="Arial" w:hAnsi="Arial"/>
          <w:sz w:val="16"/>
          <w:szCs w:val="16"/>
          <w:u w:val="single" w:color="auto"/>
          <w:color w:val="0000FF"/>
        </w:rPr>
      </w:pPr>
    </w:p>
    <w:p>
      <w:pPr>
        <w:ind w:right="80"/>
        <w:spacing w:after="0" w:line="259" w:lineRule="auto"/>
        <w:rPr>
          <w:rFonts w:ascii="Arial" w:cs="Arial" w:eastAsia="Arial" w:hAnsi="Arial"/>
          <w:sz w:val="15"/>
          <w:szCs w:val="15"/>
          <w:u w:val="single" w:color="auto"/>
          <w:color w:val="0000FF"/>
        </w:rPr>
      </w:pPr>
      <w:hyperlink r:id="rId209">
        <w:r>
          <w:rPr>
            <w:rFonts w:ascii="Arial" w:cs="Arial" w:eastAsia="Arial" w:hAnsi="Arial"/>
            <w:sz w:val="15"/>
            <w:szCs w:val="15"/>
            <w:u w:val="single" w:color="auto"/>
            <w:color w:val="0000FF"/>
          </w:rPr>
          <w:t>Indenture, dated March 9, 2021, among Clearway Energy Operating LLC, the</w:t>
        </w:r>
      </w:hyperlink>
      <w:r>
        <w:rPr>
          <w:rFonts w:ascii="Arial" w:cs="Arial" w:eastAsia="Arial" w:hAnsi="Arial"/>
          <w:sz w:val="15"/>
          <w:szCs w:val="15"/>
          <w:u w:val="single" w:color="auto"/>
          <w:color w:val="0000FF"/>
        </w:rPr>
        <w:t xml:space="preserve"> </w:t>
      </w:r>
      <w:hyperlink r:id="rId209">
        <w:r>
          <w:rPr>
            <w:rFonts w:ascii="Arial" w:cs="Arial" w:eastAsia="Arial" w:hAnsi="Arial"/>
            <w:sz w:val="15"/>
            <w:szCs w:val="15"/>
            <w:u w:val="single" w:color="auto"/>
            <w:color w:val="0000FF"/>
          </w:rPr>
          <w:t>guarantors named therein and Delaware Trust Company, as trustee.</w:t>
        </w:r>
      </w:hyperlink>
    </w:p>
    <w:p>
      <w:pPr>
        <w:spacing w:after="0" w:line="155" w:lineRule="exact"/>
        <w:rPr>
          <w:sz w:val="20"/>
          <w:szCs w:val="20"/>
          <w:color w:val="auto"/>
        </w:rPr>
      </w:pPr>
    </w:p>
    <w:p>
      <w:pPr>
        <w:spacing w:after="0"/>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Form of 3.750% Senior Notes due 2031.</w:t>
        </w:r>
      </w:hyperlink>
    </w:p>
    <w:p>
      <w:pPr>
        <w:spacing w:after="0" w:line="20" w:lineRule="exact"/>
        <w:rPr>
          <w:sz w:val="20"/>
          <w:szCs w:val="20"/>
          <w:color w:val="auto"/>
        </w:rPr>
      </w:pPr>
      <w:r>
        <w:rPr>
          <w:sz w:val="20"/>
          <w:szCs w:val="20"/>
          <w:color w:val="auto"/>
        </w:rPr>
        <w:br w:type="column"/>
      </w:r>
    </w:p>
    <w:p>
      <w:pPr>
        <w:ind w:right="43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January 8, 2020.</w:t>
      </w:r>
    </w:p>
    <w:p>
      <w:pPr>
        <w:spacing w:after="0" w:line="10" w:lineRule="exact"/>
        <w:rPr>
          <w:sz w:val="20"/>
          <w:szCs w:val="20"/>
          <w:color w:val="auto"/>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March 3, 2020.</w:t>
      </w:r>
    </w:p>
    <w:p>
      <w:pPr>
        <w:spacing w:after="0" w:line="10" w:lineRule="exact"/>
        <w:rPr>
          <w:sz w:val="20"/>
          <w:szCs w:val="20"/>
          <w:color w:val="auto"/>
        </w:rPr>
      </w:pPr>
    </w:p>
    <w:p>
      <w:pPr>
        <w:ind w:right="45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July 21, 2020.</w:t>
      </w:r>
    </w:p>
    <w:p>
      <w:pPr>
        <w:spacing w:after="0" w:line="10" w:lineRule="exact"/>
        <w:rPr>
          <w:sz w:val="20"/>
          <w:szCs w:val="20"/>
          <w:color w:val="auto"/>
        </w:rPr>
      </w:pPr>
    </w:p>
    <w:p>
      <w:pPr>
        <w:ind w:right="49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August 20, 2020.</w:t>
      </w:r>
    </w:p>
    <w:p>
      <w:pPr>
        <w:spacing w:after="0" w:line="10"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19, 2020.</w:t>
      </w:r>
    </w:p>
    <w:p>
      <w:pPr>
        <w:spacing w:after="0" w:line="10"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4, 2020.</w:t>
      </w:r>
    </w:p>
    <w:p>
      <w:pPr>
        <w:spacing w:after="0" w:line="10" w:lineRule="exact"/>
        <w:rPr>
          <w:sz w:val="20"/>
          <w:szCs w:val="20"/>
          <w:color w:val="auto"/>
        </w:rPr>
      </w:pPr>
    </w:p>
    <w:p>
      <w:pPr>
        <w:ind w:right="71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29, 2020.</w:t>
      </w:r>
    </w:p>
    <w:p>
      <w:pPr>
        <w:spacing w:after="0" w:line="10" w:lineRule="exact"/>
        <w:rPr>
          <w:sz w:val="20"/>
          <w:szCs w:val="20"/>
          <w:color w:val="auto"/>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February 5, 2021.</w:t>
      </w:r>
    </w:p>
    <w:p>
      <w:pPr>
        <w:spacing w:after="0" w:line="10" w:lineRule="exact"/>
        <w:rPr>
          <w:sz w:val="20"/>
          <w:szCs w:val="20"/>
          <w:color w:val="auto"/>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4.1 to the Company's Current Report on Form 8-K filed on March 9, 2021.</w:t>
      </w:r>
    </w:p>
    <w:p>
      <w:pPr>
        <w:spacing w:after="0" w:line="10" w:lineRule="exact"/>
        <w:rPr>
          <w:sz w:val="20"/>
          <w:szCs w:val="20"/>
          <w:color w:val="auto"/>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4.2 to the Company's Current Report on Form 8-K filed on March 9, 2021.</w:t>
      </w:r>
    </w:p>
    <w:p>
      <w:pPr>
        <w:spacing w:after="0" w:line="200" w:lineRule="exact"/>
        <w:rPr>
          <w:sz w:val="20"/>
          <w:szCs w:val="20"/>
          <w:color w:val="auto"/>
        </w:rPr>
      </w:pPr>
    </w:p>
    <w:p>
      <w:pPr>
        <w:sectPr>
          <w:pgSz w:w="11900" w:h="16838" w:orient="portrait"/>
          <w:cols w:equalWidth="0" w:num="3">
            <w:col w:w="280" w:space="600"/>
            <w:col w:w="5020" w:space="140"/>
            <w:col w:w="4079"/>
          </w:cols>
          <w:pgMar w:left="340" w:top="873"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86360</wp:posOffset>
            </wp:positionV>
            <wp:extent cx="716089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19"/>
          </w:cols>
          <w:pgMar w:left="340" w:top="873" w:right="1440"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4.13</w:t>
            </w:r>
          </w:p>
        </w:tc>
        <w:tc>
          <w:tcPr>
            <w:tcW w:w="5040" w:type="dxa"/>
            <w:vAlign w:val="bottom"/>
            <w:gridSpan w:val="11"/>
          </w:tcPr>
          <w:p>
            <w:pPr>
              <w:spacing w:after="0"/>
              <w:rPr>
                <w:rFonts w:ascii="Arial" w:cs="Arial" w:eastAsia="Arial" w:hAnsi="Arial"/>
                <w:sz w:val="16"/>
                <w:szCs w:val="16"/>
                <w:color w:val="0000FF"/>
                <w:w w:val="94"/>
              </w:rPr>
            </w:pPr>
            <w:hyperlink r:id="rId211">
              <w:r>
                <w:rPr>
                  <w:rFonts w:ascii="Arial" w:cs="Arial" w:eastAsia="Arial" w:hAnsi="Arial"/>
                  <w:sz w:val="16"/>
                  <w:szCs w:val="16"/>
                  <w:color w:val="0000FF"/>
                  <w:w w:val="94"/>
                </w:rPr>
                <w:t>Ninth Supplemental Indenture, dated as of May 14, 2021, among Clearway</w:t>
              </w:r>
            </w:hyperlink>
          </w:p>
        </w:tc>
      </w:tr>
      <w:tr>
        <w:trPr>
          <w:trHeight w:val="138"/>
        </w:trPr>
        <w:tc>
          <w:tcPr>
            <w:tcW w:w="880" w:type="dxa"/>
            <w:vAlign w:val="bottom"/>
          </w:tcPr>
          <w:p>
            <w:pPr>
              <w:spacing w:after="0"/>
              <w:rPr>
                <w:sz w:val="12"/>
                <w:szCs w:val="12"/>
                <w:color w:val="auto"/>
              </w:rPr>
            </w:pPr>
          </w:p>
        </w:tc>
        <w:tc>
          <w:tcPr>
            <w:tcW w:w="4760" w:type="dxa"/>
            <w:vAlign w:val="bottom"/>
            <w:tcBorders>
              <w:top w:val="single" w:sz="8" w:color="0000FF"/>
            </w:tcBorders>
            <w:gridSpan w:val="6"/>
          </w:tcPr>
          <w:p>
            <w:pPr>
              <w:spacing w:after="0" w:line="138" w:lineRule="exact"/>
              <w:rPr>
                <w:rFonts w:ascii="Arial" w:cs="Arial" w:eastAsia="Arial" w:hAnsi="Arial"/>
                <w:sz w:val="16"/>
                <w:szCs w:val="16"/>
                <w:color w:val="0000FF"/>
                <w:w w:val="90"/>
              </w:rPr>
            </w:pPr>
            <w:hyperlink r:id="rId211">
              <w:r>
                <w:rPr>
                  <w:rFonts w:ascii="Arial" w:cs="Arial" w:eastAsia="Arial" w:hAnsi="Arial"/>
                  <w:sz w:val="16"/>
                  <w:szCs w:val="16"/>
                  <w:color w:val="0000FF"/>
                  <w:w w:val="90"/>
                </w:rPr>
                <w:t>Energy Operating LLC, the guarantors named therein and Delaware Trust</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8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7"/>
              </w:rPr>
            </w:pPr>
            <w:hyperlink r:id="rId211">
              <w:r>
                <w:rPr>
                  <w:rFonts w:ascii="Arial" w:cs="Arial" w:eastAsia="Arial" w:hAnsi="Arial"/>
                  <w:sz w:val="16"/>
                  <w:szCs w:val="16"/>
                  <w:color w:val="0000FF"/>
                  <w:w w:val="87"/>
                </w:rPr>
                <w:t>Company.</w:t>
              </w:r>
            </w:hyperlink>
          </w:p>
        </w:tc>
        <w:tc>
          <w:tcPr>
            <w:tcW w:w="402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4.14</w:t>
            </w:r>
          </w:p>
        </w:tc>
        <w:tc>
          <w:tcPr>
            <w:tcW w:w="5040" w:type="dxa"/>
            <w:vAlign w:val="bottom"/>
            <w:gridSpan w:val="11"/>
          </w:tcPr>
          <w:p>
            <w:pPr>
              <w:spacing w:after="0"/>
              <w:rPr>
                <w:rFonts w:ascii="Arial" w:cs="Arial" w:eastAsia="Arial" w:hAnsi="Arial"/>
                <w:sz w:val="16"/>
                <w:szCs w:val="16"/>
                <w:color w:val="0000FF"/>
                <w:w w:val="95"/>
              </w:rPr>
            </w:pPr>
            <w:hyperlink r:id="rId212">
              <w:r>
                <w:rPr>
                  <w:rFonts w:ascii="Arial" w:cs="Arial" w:eastAsia="Arial" w:hAnsi="Arial"/>
                  <w:sz w:val="16"/>
                  <w:szCs w:val="16"/>
                  <w:color w:val="0000FF"/>
                  <w:w w:val="95"/>
                </w:rPr>
                <w:t>First Supplemental Indenture, dated as of May 14, 2021, among Clearway</w:t>
              </w:r>
            </w:hyperlink>
          </w:p>
        </w:tc>
      </w:tr>
      <w:tr>
        <w:trPr>
          <w:trHeight w:val="138"/>
        </w:trPr>
        <w:tc>
          <w:tcPr>
            <w:tcW w:w="880" w:type="dxa"/>
            <w:vAlign w:val="bottom"/>
          </w:tcPr>
          <w:p>
            <w:pPr>
              <w:spacing w:after="0"/>
              <w:rPr>
                <w:sz w:val="12"/>
                <w:szCs w:val="12"/>
                <w:color w:val="auto"/>
              </w:rPr>
            </w:pPr>
          </w:p>
        </w:tc>
        <w:tc>
          <w:tcPr>
            <w:tcW w:w="4700" w:type="dxa"/>
            <w:vAlign w:val="bottom"/>
            <w:tcBorders>
              <w:top w:val="single" w:sz="8" w:color="0000FF"/>
            </w:tcBorders>
            <w:gridSpan w:val="5"/>
          </w:tcPr>
          <w:p>
            <w:pPr>
              <w:spacing w:after="0" w:line="138" w:lineRule="exact"/>
              <w:rPr>
                <w:rFonts w:ascii="Arial" w:cs="Arial" w:eastAsia="Arial" w:hAnsi="Arial"/>
                <w:sz w:val="16"/>
                <w:szCs w:val="16"/>
                <w:color w:val="0000FF"/>
                <w:w w:val="89"/>
              </w:rPr>
            </w:pPr>
            <w:hyperlink r:id="rId212">
              <w:r>
                <w:rPr>
                  <w:rFonts w:ascii="Arial" w:cs="Arial" w:eastAsia="Arial" w:hAnsi="Arial"/>
                  <w:sz w:val="16"/>
                  <w:szCs w:val="16"/>
                  <w:color w:val="0000FF"/>
                  <w:w w:val="89"/>
                </w:rPr>
                <w:t>Energy Operating LLC, the guarantors named therein and Delaware Trust</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8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7"/>
              </w:rPr>
            </w:pPr>
            <w:hyperlink r:id="rId212">
              <w:r>
                <w:rPr>
                  <w:rFonts w:ascii="Arial" w:cs="Arial" w:eastAsia="Arial" w:hAnsi="Arial"/>
                  <w:sz w:val="16"/>
                  <w:szCs w:val="16"/>
                  <w:color w:val="0000FF"/>
                  <w:w w:val="87"/>
                </w:rPr>
                <w:t>Company.</w:t>
              </w:r>
            </w:hyperlink>
          </w:p>
        </w:tc>
        <w:tc>
          <w:tcPr>
            <w:tcW w:w="4020" w:type="dxa"/>
            <w:vAlign w:val="bottom"/>
            <w:tcBorders>
              <w:top w:val="single" w:sz="8" w:color="0000FF"/>
            </w:tcBorders>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4.15</w:t>
            </w:r>
          </w:p>
        </w:tc>
        <w:tc>
          <w:tcPr>
            <w:tcW w:w="5040" w:type="dxa"/>
            <w:vAlign w:val="bottom"/>
            <w:gridSpan w:val="11"/>
          </w:tcPr>
          <w:p>
            <w:pPr>
              <w:spacing w:after="0"/>
              <w:rPr>
                <w:rFonts w:ascii="Arial" w:cs="Arial" w:eastAsia="Arial" w:hAnsi="Arial"/>
                <w:sz w:val="16"/>
                <w:szCs w:val="16"/>
                <w:color w:val="0000FF"/>
                <w:w w:val="94"/>
              </w:rPr>
            </w:pPr>
            <w:hyperlink r:id="rId213">
              <w:r>
                <w:rPr>
                  <w:rFonts w:ascii="Arial" w:cs="Arial" w:eastAsia="Arial" w:hAnsi="Arial"/>
                  <w:sz w:val="16"/>
                  <w:szCs w:val="16"/>
                  <w:color w:val="0000FF"/>
                  <w:w w:val="94"/>
                </w:rPr>
                <w:t>Indenture, dated October 1, 2021, among Clearway Energy Operating LLC,</w:t>
              </w:r>
            </w:hyperlink>
          </w:p>
        </w:tc>
      </w:tr>
      <w:tr>
        <w:trPr>
          <w:trHeight w:val="138"/>
        </w:trPr>
        <w:tc>
          <w:tcPr>
            <w:tcW w:w="880" w:type="dxa"/>
            <w:vAlign w:val="bottom"/>
          </w:tcPr>
          <w:p>
            <w:pPr>
              <w:spacing w:after="0"/>
              <w:rPr>
                <w:sz w:val="12"/>
                <w:szCs w:val="12"/>
                <w:color w:val="auto"/>
              </w:rPr>
            </w:pPr>
          </w:p>
        </w:tc>
        <w:tc>
          <w:tcPr>
            <w:tcW w:w="4800" w:type="dxa"/>
            <w:vAlign w:val="bottom"/>
            <w:tcBorders>
              <w:top w:val="single" w:sz="8" w:color="0000FF"/>
            </w:tcBorders>
            <w:gridSpan w:val="7"/>
          </w:tcPr>
          <w:p>
            <w:pPr>
              <w:spacing w:after="0" w:line="138" w:lineRule="exact"/>
              <w:rPr>
                <w:rFonts w:ascii="Arial" w:cs="Arial" w:eastAsia="Arial" w:hAnsi="Arial"/>
                <w:sz w:val="16"/>
                <w:szCs w:val="16"/>
                <w:color w:val="0000FF"/>
                <w:w w:val="93"/>
              </w:rPr>
            </w:pPr>
            <w:hyperlink r:id="rId213">
              <w:r>
                <w:rPr>
                  <w:rFonts w:ascii="Arial" w:cs="Arial" w:eastAsia="Arial" w:hAnsi="Arial"/>
                  <w:sz w:val="16"/>
                  <w:szCs w:val="16"/>
                  <w:color w:val="0000FF"/>
                  <w:w w:val="93"/>
                </w:rPr>
                <w:t>the guarantors named therein and Delaware Trust Company, as trustee.</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9"/>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4.16</w:t>
            </w:r>
          </w:p>
        </w:tc>
        <w:tc>
          <w:tcPr>
            <w:tcW w:w="25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r:id="rId213">
              <w:r>
                <w:rPr>
                  <w:rFonts w:ascii="Arial" w:cs="Arial" w:eastAsia="Arial" w:hAnsi="Arial"/>
                  <w:sz w:val="16"/>
                  <w:szCs w:val="16"/>
                  <w:color w:val="0000FF"/>
                  <w:w w:val="89"/>
                </w:rPr>
                <w:t>Form of 3.750% Senior Notes due 2032.</w:t>
              </w:r>
            </w:hyperlink>
          </w:p>
        </w:tc>
        <w:tc>
          <w:tcPr>
            <w:tcW w:w="1900" w:type="dxa"/>
            <w:vAlign w:val="bottom"/>
            <w:tcBorders>
              <w:top w:val="single" w:sz="8" w:color="0000FF"/>
            </w:tcBorders>
          </w:tcPr>
          <w:p>
            <w:pPr>
              <w:spacing w:after="0"/>
              <w:rPr>
                <w:sz w:val="24"/>
                <w:szCs w:val="24"/>
                <w:color w:val="auto"/>
              </w:rPr>
            </w:pPr>
          </w:p>
        </w:tc>
        <w:tc>
          <w:tcPr>
            <w:tcW w:w="560" w:type="dxa"/>
            <w:vAlign w:val="bottom"/>
            <w:gridSpan w:val="8"/>
          </w:tcPr>
          <w:p>
            <w:pPr>
              <w:spacing w:after="0"/>
              <w:rPr>
                <w:sz w:val="24"/>
                <w:szCs w:val="24"/>
                <w:color w:val="auto"/>
              </w:rPr>
            </w:pPr>
          </w:p>
        </w:tc>
      </w:tr>
      <w:tr>
        <w:trPr>
          <w:trHeight w:val="508"/>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4.17</w:t>
            </w:r>
          </w:p>
        </w:tc>
        <w:tc>
          <w:tcPr>
            <w:tcW w:w="5040" w:type="dxa"/>
            <w:vAlign w:val="bottom"/>
            <w:gridSpan w:val="11"/>
          </w:tcPr>
          <w:p>
            <w:pPr>
              <w:spacing w:after="0"/>
              <w:rPr>
                <w:rFonts w:ascii="Arial" w:cs="Arial" w:eastAsia="Arial" w:hAnsi="Arial"/>
                <w:sz w:val="16"/>
                <w:szCs w:val="16"/>
                <w:color w:val="0000FF"/>
                <w:w w:val="91"/>
              </w:rPr>
            </w:pPr>
            <w:hyperlink r:id="rId214">
              <w:r>
                <w:rPr>
                  <w:rFonts w:ascii="Arial" w:cs="Arial" w:eastAsia="Arial" w:hAnsi="Arial"/>
                  <w:sz w:val="16"/>
                  <w:szCs w:val="16"/>
                  <w:color w:val="0000FF"/>
                  <w:w w:val="91"/>
                </w:rPr>
                <w:t>Tenth Supplemental Indenture, dated as of October 7, 2021, among Clearway</w:t>
              </w:r>
            </w:hyperlink>
          </w:p>
        </w:tc>
      </w:tr>
      <w:tr>
        <w:trPr>
          <w:trHeight w:val="138"/>
        </w:trPr>
        <w:tc>
          <w:tcPr>
            <w:tcW w:w="880" w:type="dxa"/>
            <w:vAlign w:val="bottom"/>
          </w:tcPr>
          <w:p>
            <w:pPr>
              <w:spacing w:after="0"/>
              <w:rPr>
                <w:sz w:val="12"/>
                <w:szCs w:val="12"/>
                <w:color w:val="auto"/>
              </w:rPr>
            </w:pPr>
          </w:p>
        </w:tc>
        <w:tc>
          <w:tcPr>
            <w:tcW w:w="4900" w:type="dxa"/>
            <w:vAlign w:val="bottom"/>
            <w:tcBorders>
              <w:top w:val="single" w:sz="8" w:color="0000FF"/>
            </w:tcBorders>
            <w:gridSpan w:val="9"/>
          </w:tcPr>
          <w:p>
            <w:pPr>
              <w:spacing w:after="0" w:line="138" w:lineRule="exact"/>
              <w:rPr>
                <w:rFonts w:ascii="Arial" w:cs="Arial" w:eastAsia="Arial" w:hAnsi="Arial"/>
                <w:sz w:val="16"/>
                <w:szCs w:val="16"/>
                <w:color w:val="0000FF"/>
                <w:w w:val="93"/>
              </w:rPr>
            </w:pPr>
            <w:hyperlink r:id="rId214">
              <w:r>
                <w:rPr>
                  <w:rFonts w:ascii="Arial" w:cs="Arial" w:eastAsia="Arial" w:hAnsi="Arial"/>
                  <w:sz w:val="16"/>
                  <w:szCs w:val="16"/>
                  <w:color w:val="0000FF"/>
                  <w:w w:val="93"/>
                </w:rPr>
                <w:t>Energy Operating LLC, the guarantors named therein and Delaware Trust</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8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7"/>
              </w:rPr>
            </w:pPr>
            <w:hyperlink r:id="rId214">
              <w:r>
                <w:rPr>
                  <w:rFonts w:ascii="Arial" w:cs="Arial" w:eastAsia="Arial" w:hAnsi="Arial"/>
                  <w:sz w:val="16"/>
                  <w:szCs w:val="16"/>
                  <w:color w:val="0000FF"/>
                  <w:w w:val="87"/>
                </w:rPr>
                <w:t>Company.</w:t>
              </w:r>
            </w:hyperlink>
          </w:p>
        </w:tc>
        <w:tc>
          <w:tcPr>
            <w:tcW w:w="4020" w:type="dxa"/>
            <w:vAlign w:val="bottom"/>
            <w:tcBorders>
              <w:top w:val="single" w:sz="8" w:color="0000FF"/>
            </w:tcBorders>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4.18</w:t>
            </w:r>
          </w:p>
        </w:tc>
        <w:tc>
          <w:tcPr>
            <w:tcW w:w="5040" w:type="dxa"/>
            <w:vAlign w:val="bottom"/>
            <w:gridSpan w:val="11"/>
          </w:tcPr>
          <w:p>
            <w:pPr>
              <w:spacing w:after="0"/>
              <w:rPr>
                <w:rFonts w:ascii="Arial" w:cs="Arial" w:eastAsia="Arial" w:hAnsi="Arial"/>
                <w:sz w:val="16"/>
                <w:szCs w:val="16"/>
                <w:color w:val="0000FF"/>
                <w:w w:val="88"/>
              </w:rPr>
            </w:pPr>
            <w:hyperlink r:id="rId215">
              <w:r>
                <w:rPr>
                  <w:rFonts w:ascii="Arial" w:cs="Arial" w:eastAsia="Arial" w:hAnsi="Arial"/>
                  <w:sz w:val="16"/>
                  <w:szCs w:val="16"/>
                  <w:color w:val="0000FF"/>
                  <w:w w:val="88"/>
                </w:rPr>
                <w:t>Second Supplemental Indenture, dated as of October 7, 2021, among Clearway</w:t>
              </w:r>
            </w:hyperlink>
          </w:p>
        </w:tc>
      </w:tr>
      <w:tr>
        <w:trPr>
          <w:trHeight w:val="138"/>
        </w:trPr>
        <w:tc>
          <w:tcPr>
            <w:tcW w:w="880" w:type="dxa"/>
            <w:vAlign w:val="bottom"/>
          </w:tcPr>
          <w:p>
            <w:pPr>
              <w:spacing w:after="0"/>
              <w:rPr>
                <w:sz w:val="12"/>
                <w:szCs w:val="12"/>
                <w:color w:val="auto"/>
              </w:rPr>
            </w:pPr>
          </w:p>
        </w:tc>
        <w:tc>
          <w:tcPr>
            <w:tcW w:w="5020" w:type="dxa"/>
            <w:vAlign w:val="bottom"/>
            <w:tcBorders>
              <w:top w:val="single" w:sz="8" w:color="0000FF"/>
            </w:tcBorders>
            <w:gridSpan w:val="10"/>
          </w:tcPr>
          <w:p>
            <w:pPr>
              <w:spacing w:after="0" w:line="138" w:lineRule="exact"/>
              <w:rPr>
                <w:rFonts w:ascii="Arial" w:cs="Arial" w:eastAsia="Arial" w:hAnsi="Arial"/>
                <w:sz w:val="16"/>
                <w:szCs w:val="16"/>
                <w:color w:val="0000FF"/>
                <w:w w:val="95"/>
              </w:rPr>
            </w:pPr>
            <w:hyperlink r:id="rId215">
              <w:r>
                <w:rPr>
                  <w:rFonts w:ascii="Arial" w:cs="Arial" w:eastAsia="Arial" w:hAnsi="Arial"/>
                  <w:sz w:val="16"/>
                  <w:szCs w:val="16"/>
                  <w:color w:val="0000FF"/>
                  <w:w w:val="95"/>
                </w:rPr>
                <w:t>Energy Operating LLC, the guarantors named therein and Delaware Trust</w:t>
              </w:r>
            </w:hyperlink>
          </w:p>
        </w:tc>
        <w:tc>
          <w:tcPr>
            <w:tcW w:w="20" w:type="dxa"/>
            <w:vAlign w:val="bottom"/>
          </w:tcPr>
          <w:p>
            <w:pPr>
              <w:spacing w:after="0"/>
              <w:rPr>
                <w:sz w:val="12"/>
                <w:szCs w:val="12"/>
                <w:color w:val="auto"/>
              </w:rPr>
            </w:pPr>
          </w:p>
        </w:tc>
      </w:tr>
      <w:tr>
        <w:trPr>
          <w:trHeight w:val="138"/>
        </w:trPr>
        <w:tc>
          <w:tcPr>
            <w:tcW w:w="8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7"/>
              </w:rPr>
            </w:pPr>
            <w:hyperlink r:id="rId215">
              <w:r>
                <w:rPr>
                  <w:rFonts w:ascii="Arial" w:cs="Arial" w:eastAsia="Arial" w:hAnsi="Arial"/>
                  <w:sz w:val="16"/>
                  <w:szCs w:val="16"/>
                  <w:color w:val="0000FF"/>
                  <w:w w:val="87"/>
                </w:rPr>
                <w:t>Company.</w:t>
              </w:r>
            </w:hyperlink>
          </w:p>
        </w:tc>
        <w:tc>
          <w:tcPr>
            <w:tcW w:w="4020" w:type="dxa"/>
            <w:vAlign w:val="bottom"/>
            <w:tcBorders>
              <w:top w:val="single" w:sz="8" w:color="0000FF"/>
            </w:tcBorders>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200" w:type="dxa"/>
            <w:vAlign w:val="bottom"/>
            <w:gridSpan w:val="3"/>
          </w:tcPr>
          <w:p>
            <w:pPr>
              <w:spacing w:after="0"/>
              <w:rPr>
                <w:sz w:val="12"/>
                <w:szCs w:val="12"/>
                <w:color w:val="auto"/>
              </w:rPr>
            </w:pPr>
          </w:p>
        </w:tc>
      </w:tr>
      <w:tr>
        <w:trPr>
          <w:trHeight w:val="191"/>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4.19</w:t>
            </w:r>
          </w:p>
        </w:tc>
        <w:tc>
          <w:tcPr>
            <w:tcW w:w="5040" w:type="dxa"/>
            <w:vAlign w:val="bottom"/>
            <w:gridSpan w:val="11"/>
          </w:tcPr>
          <w:p>
            <w:pPr>
              <w:spacing w:after="0"/>
              <w:rPr>
                <w:rFonts w:ascii="Arial" w:cs="Arial" w:eastAsia="Arial" w:hAnsi="Arial"/>
                <w:sz w:val="16"/>
                <w:szCs w:val="16"/>
                <w:color w:val="0000FF"/>
                <w:w w:val="92"/>
              </w:rPr>
            </w:pPr>
            <w:hyperlink r:id="rId216">
              <w:r>
                <w:rPr>
                  <w:rFonts w:ascii="Arial" w:cs="Arial" w:eastAsia="Arial" w:hAnsi="Arial"/>
                  <w:sz w:val="16"/>
                  <w:szCs w:val="16"/>
                  <w:color w:val="0000FF"/>
                  <w:w w:val="92"/>
                </w:rPr>
                <w:t>First Supplemental Indenture, dated as of October 7, 2021, among Clearway</w:t>
              </w:r>
            </w:hyperlink>
          </w:p>
        </w:tc>
      </w:tr>
      <w:tr>
        <w:trPr>
          <w:trHeight w:val="138"/>
        </w:trPr>
        <w:tc>
          <w:tcPr>
            <w:tcW w:w="880" w:type="dxa"/>
            <w:vAlign w:val="bottom"/>
          </w:tcPr>
          <w:p>
            <w:pPr>
              <w:spacing w:after="0"/>
              <w:rPr>
                <w:sz w:val="12"/>
                <w:szCs w:val="12"/>
                <w:color w:val="auto"/>
              </w:rPr>
            </w:pPr>
          </w:p>
        </w:tc>
        <w:tc>
          <w:tcPr>
            <w:tcW w:w="4840" w:type="dxa"/>
            <w:vAlign w:val="bottom"/>
            <w:tcBorders>
              <w:top w:val="single" w:sz="8" w:color="0000FF"/>
            </w:tcBorders>
            <w:gridSpan w:val="8"/>
          </w:tcPr>
          <w:p>
            <w:pPr>
              <w:spacing w:after="0" w:line="138" w:lineRule="exact"/>
              <w:rPr>
                <w:rFonts w:ascii="Arial" w:cs="Arial" w:eastAsia="Arial" w:hAnsi="Arial"/>
                <w:sz w:val="16"/>
                <w:szCs w:val="16"/>
                <w:color w:val="0000FF"/>
                <w:w w:val="92"/>
              </w:rPr>
            </w:pPr>
            <w:hyperlink r:id="rId216">
              <w:r>
                <w:rPr>
                  <w:rFonts w:ascii="Arial" w:cs="Arial" w:eastAsia="Arial" w:hAnsi="Arial"/>
                  <w:sz w:val="16"/>
                  <w:szCs w:val="16"/>
                  <w:color w:val="0000FF"/>
                  <w:w w:val="92"/>
                </w:rPr>
                <w:t>Energy Operating LLC, the guarantors named therein and Delaware Trust</w:t>
              </w:r>
            </w:hyperlink>
          </w:p>
        </w:tc>
        <w:tc>
          <w:tcPr>
            <w:tcW w:w="200" w:type="dxa"/>
            <w:vAlign w:val="bottom"/>
            <w:gridSpan w:val="3"/>
          </w:tcPr>
          <w:p>
            <w:pPr>
              <w:spacing w:after="0"/>
              <w:rPr>
                <w:sz w:val="12"/>
                <w:szCs w:val="12"/>
                <w:color w:val="auto"/>
              </w:rPr>
            </w:pPr>
          </w:p>
        </w:tc>
      </w:tr>
      <w:tr>
        <w:trPr>
          <w:trHeight w:val="138"/>
        </w:trPr>
        <w:tc>
          <w:tcPr>
            <w:tcW w:w="8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7"/>
              </w:rPr>
            </w:pPr>
            <w:hyperlink r:id="rId216">
              <w:r>
                <w:rPr>
                  <w:rFonts w:ascii="Arial" w:cs="Arial" w:eastAsia="Arial" w:hAnsi="Arial"/>
                  <w:sz w:val="16"/>
                  <w:szCs w:val="16"/>
                  <w:color w:val="0000FF"/>
                  <w:w w:val="87"/>
                </w:rPr>
                <w:t>Company.</w:t>
              </w:r>
            </w:hyperlink>
          </w:p>
        </w:tc>
        <w:tc>
          <w:tcPr>
            <w:tcW w:w="4020" w:type="dxa"/>
            <w:vAlign w:val="bottom"/>
            <w:tcBorders>
              <w:top w:val="single" w:sz="8" w:color="0000FF"/>
            </w:tcBorders>
            <w:gridSpan w:val="3"/>
          </w:tcPr>
          <w:p>
            <w:pPr>
              <w:spacing w:after="0"/>
              <w:rPr>
                <w:sz w:val="12"/>
                <w:szCs w:val="12"/>
                <w:color w:val="auto"/>
              </w:rPr>
            </w:pPr>
          </w:p>
        </w:tc>
        <w:tc>
          <w:tcPr>
            <w:tcW w:w="360" w:type="dxa"/>
            <w:vAlign w:val="bottom"/>
            <w:gridSpan w:val="7"/>
          </w:tcPr>
          <w:p>
            <w:pPr>
              <w:spacing w:after="0"/>
              <w:rPr>
                <w:sz w:val="12"/>
                <w:szCs w:val="12"/>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0" w:type="dxa"/>
            <w:vAlign w:val="bottom"/>
          </w:tcPr>
          <w:p>
            <w:pPr>
              <w:jc w:val="right"/>
              <w:ind w:right="521"/>
              <w:spacing w:after="0"/>
              <w:rPr>
                <w:sz w:val="20"/>
                <w:szCs w:val="20"/>
                <w:color w:val="auto"/>
              </w:rPr>
            </w:pPr>
            <w:r>
              <w:rPr>
                <w:rFonts w:ascii="Arial" w:cs="Arial" w:eastAsia="Arial" w:hAnsi="Arial"/>
                <w:sz w:val="16"/>
                <w:szCs w:val="16"/>
                <w:color w:val="auto"/>
                <w:w w:val="83"/>
              </w:rPr>
              <w:t>10.1</w:t>
            </w:r>
          </w:p>
        </w:tc>
        <w:tc>
          <w:tcPr>
            <w:tcW w:w="4660" w:type="dxa"/>
            <w:vAlign w:val="bottom"/>
            <w:gridSpan w:val="2"/>
            <w:vMerge w:val="restart"/>
          </w:tcPr>
          <w:p>
            <w:pPr>
              <w:spacing w:after="0"/>
              <w:rPr>
                <w:rFonts w:ascii="Arial" w:cs="Arial" w:eastAsia="Arial" w:hAnsi="Arial"/>
                <w:sz w:val="16"/>
                <w:szCs w:val="16"/>
                <w:color w:val="0000FF"/>
                <w:w w:val="90"/>
              </w:rPr>
            </w:pPr>
            <w:hyperlink r:id="rId217">
              <w:r>
                <w:rPr>
                  <w:rFonts w:ascii="Arial" w:cs="Arial" w:eastAsia="Arial" w:hAnsi="Arial"/>
                  <w:sz w:val="16"/>
                  <w:szCs w:val="16"/>
                  <w:color w:val="0000FF"/>
                  <w:w w:val="90"/>
                </w:rPr>
                <w:t>Third Amended and Restated Right of First Offer Agreement, dated as of</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64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9"/>
              </w:rPr>
            </w:pPr>
            <w:hyperlink r:id="rId217">
              <w:r>
                <w:rPr>
                  <w:rFonts w:ascii="Arial" w:cs="Arial" w:eastAsia="Arial" w:hAnsi="Arial"/>
                  <w:sz w:val="16"/>
                  <w:szCs w:val="16"/>
                  <w:color w:val="0000FF"/>
                  <w:w w:val="89"/>
                </w:rPr>
                <w:t>August 31, 2018, by and between NRG Yield, Inc. and NRG Energy, Inc.</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19"/>
        <w:spacing w:after="0" w:line="225" w:lineRule="auto"/>
        <w:rPr>
          <w:sz w:val="20"/>
          <w:szCs w:val="20"/>
          <w:color w:val="auto"/>
        </w:rPr>
      </w:pPr>
      <w:r>
        <w:rPr>
          <w:rFonts w:ascii="Arial" w:cs="Arial" w:eastAsia="Arial" w:hAnsi="Arial"/>
          <w:sz w:val="16"/>
          <w:szCs w:val="16"/>
          <w:color w:val="auto"/>
        </w:rPr>
        <w:t>Incorporated herein by reference to Exhibit 4.2 to the Company's Current Report on Form 8-K filed on May 19, 2021.</w:t>
      </w:r>
    </w:p>
    <w:p>
      <w:pPr>
        <w:spacing w:after="0" w:line="10" w:lineRule="exact"/>
        <w:rPr>
          <w:sz w:val="20"/>
          <w:szCs w:val="20"/>
          <w:color w:val="auto"/>
        </w:rPr>
      </w:pPr>
    </w:p>
    <w:p>
      <w:pPr>
        <w:ind w:right="41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May 19, 2021.</w:t>
      </w:r>
    </w:p>
    <w:p>
      <w:pPr>
        <w:spacing w:after="0" w:line="10" w:lineRule="exact"/>
        <w:rPr>
          <w:sz w:val="20"/>
          <w:szCs w:val="20"/>
          <w:color w:val="auto"/>
        </w:rPr>
      </w:pPr>
    </w:p>
    <w:p>
      <w:pPr>
        <w:ind w:right="439"/>
        <w:spacing w:after="0" w:line="225"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1, 2021.</w:t>
      </w:r>
    </w:p>
    <w:p>
      <w:pPr>
        <w:spacing w:after="0" w:line="10" w:lineRule="exact"/>
        <w:rPr>
          <w:sz w:val="20"/>
          <w:szCs w:val="20"/>
          <w:color w:val="auto"/>
        </w:rPr>
      </w:pPr>
    </w:p>
    <w:p>
      <w:pPr>
        <w:ind w:right="439"/>
        <w:spacing w:after="0" w:line="225"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1, 2021.</w:t>
      </w:r>
    </w:p>
    <w:p>
      <w:pPr>
        <w:spacing w:after="0" w:line="10" w:lineRule="exact"/>
        <w:rPr>
          <w:sz w:val="20"/>
          <w:szCs w:val="20"/>
          <w:color w:val="auto"/>
        </w:rPr>
      </w:pPr>
    </w:p>
    <w:p>
      <w:pPr>
        <w:ind w:right="439"/>
        <w:spacing w:after="0" w:line="225"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8, 2021.</w:t>
      </w:r>
    </w:p>
    <w:p>
      <w:pPr>
        <w:spacing w:after="0" w:line="10" w:lineRule="exact"/>
        <w:rPr>
          <w:sz w:val="20"/>
          <w:szCs w:val="20"/>
          <w:color w:val="auto"/>
        </w:rPr>
      </w:pPr>
    </w:p>
    <w:p>
      <w:pPr>
        <w:ind w:right="439"/>
        <w:spacing w:after="0" w:line="225"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8, 2021.</w:t>
      </w:r>
    </w:p>
    <w:p>
      <w:pPr>
        <w:spacing w:after="0" w:line="10" w:lineRule="exact"/>
        <w:rPr>
          <w:sz w:val="20"/>
          <w:szCs w:val="20"/>
          <w:color w:val="auto"/>
        </w:rPr>
      </w:pPr>
    </w:p>
    <w:p>
      <w:pPr>
        <w:ind w:right="439"/>
        <w:spacing w:after="0" w:line="225" w:lineRule="auto"/>
        <w:rPr>
          <w:sz w:val="20"/>
          <w:szCs w:val="20"/>
          <w:color w:val="auto"/>
        </w:rPr>
      </w:pPr>
      <w:r>
        <w:rPr>
          <w:rFonts w:ascii="Arial" w:cs="Arial" w:eastAsia="Arial" w:hAnsi="Arial"/>
          <w:sz w:val="16"/>
          <w:szCs w:val="16"/>
          <w:color w:val="auto"/>
        </w:rPr>
        <w:t>Incorporated herein by reference to Exhibit 4.4 to the Company's Current Report on Form 8-K filed on October 8, 2021.</w:t>
      </w:r>
    </w:p>
    <w:p>
      <w:pPr>
        <w:spacing w:after="0" w:line="102"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10.5 to Clearway Energy, Inc.'s Current Report on Form 8-K filed on September 5, 2018.</w:t>
      </w:r>
    </w:p>
    <w:p>
      <w:pPr>
        <w:spacing w:after="0" w:line="89" w:lineRule="exact"/>
        <w:rPr>
          <w:sz w:val="20"/>
          <w:szCs w:val="20"/>
          <w:color w:val="auto"/>
        </w:rPr>
      </w:pPr>
    </w:p>
    <w:p>
      <w:pPr>
        <w:sectPr>
          <w:pgSz w:w="11900" w:h="16838" w:orient="portrait"/>
          <w:cols w:equalWidth="0" w:num="2">
            <w:col w:w="5900" w:space="140"/>
            <w:col w:w="4079"/>
          </w:cols>
          <w:pgMar w:left="340" w:top="905" w:right="1440" w:bottom="1440" w:gutter="0" w:footer="0" w:header="0"/>
        </w:sectPr>
      </w:pPr>
    </w:p>
    <w:tbl>
      <w:tblPr>
        <w:tblLayout w:type="fixed"/>
        <w:tblInd w:w="0" w:type="dxa"/>
        <w:tblCellMar>
          <w:top w:w="0" w:type="dxa"/>
          <w:left w:w="0" w:type="dxa"/>
          <w:bottom w:w="0" w:type="dxa"/>
          <w:right w:w="0" w:type="dxa"/>
        </w:tblCellMar>
      </w:tblPr>
      <w:tr>
        <w:trPr>
          <w:trHeight w:val="201"/>
        </w:trPr>
        <w:tc>
          <w:tcPr>
            <w:tcW w:w="880" w:type="dxa"/>
            <w:vAlign w:val="bottom"/>
          </w:tcPr>
          <w:p>
            <w:pPr>
              <w:jc w:val="right"/>
              <w:ind w:right="401"/>
              <w:spacing w:after="0"/>
              <w:rPr>
                <w:sz w:val="20"/>
                <w:szCs w:val="20"/>
                <w:color w:val="auto"/>
              </w:rPr>
            </w:pPr>
            <w:r>
              <w:rPr>
                <w:rFonts w:ascii="Arial" w:cs="Arial" w:eastAsia="Arial" w:hAnsi="Arial"/>
                <w:sz w:val="16"/>
                <w:szCs w:val="16"/>
                <w:color w:val="auto"/>
                <w:w w:val="85"/>
              </w:rPr>
              <w:t>10.2.1</w:t>
            </w:r>
          </w:p>
        </w:tc>
        <w:tc>
          <w:tcPr>
            <w:tcW w:w="4980" w:type="dxa"/>
            <w:vAlign w:val="bottom"/>
            <w:gridSpan w:val="6"/>
            <w:vMerge w:val="restart"/>
          </w:tcPr>
          <w:p>
            <w:pPr>
              <w:spacing w:after="0"/>
              <w:rPr>
                <w:rFonts w:ascii="Arial" w:cs="Arial" w:eastAsia="Arial" w:hAnsi="Arial"/>
                <w:sz w:val="16"/>
                <w:szCs w:val="16"/>
                <w:color w:val="0000FF"/>
                <w:w w:val="93"/>
              </w:rPr>
            </w:pPr>
            <w:hyperlink r:id="rId218">
              <w:r>
                <w:rPr>
                  <w:rFonts w:ascii="Arial" w:cs="Arial" w:eastAsia="Arial" w:hAnsi="Arial"/>
                  <w:sz w:val="16"/>
                  <w:szCs w:val="16"/>
                  <w:color w:val="0000FF"/>
                  <w:w w:val="93"/>
                </w:rPr>
                <w:t>Right of First Offer Agreement, dated as of August 31, 2018, by and among</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49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3"/>
          </w:tcPr>
          <w:p>
            <w:pPr>
              <w:spacing w:after="0" w:line="138" w:lineRule="exact"/>
              <w:rPr>
                <w:rFonts w:ascii="Arial" w:cs="Arial" w:eastAsia="Arial" w:hAnsi="Arial"/>
                <w:sz w:val="16"/>
                <w:szCs w:val="16"/>
                <w:color w:val="0000FF"/>
                <w:w w:val="88"/>
              </w:rPr>
            </w:pPr>
            <w:hyperlink r:id="rId218">
              <w:r>
                <w:rPr>
                  <w:rFonts w:ascii="Arial" w:cs="Arial" w:eastAsia="Arial" w:hAnsi="Arial"/>
                  <w:sz w:val="16"/>
                  <w:szCs w:val="16"/>
                  <w:color w:val="0000FF"/>
                  <w:w w:val="88"/>
                </w:rPr>
                <w:t>NRG Yield, Inc., Zephyr Renewables LLC and solely for purposes of Section</w:t>
              </w:r>
            </w:hyperlink>
          </w:p>
        </w:tc>
        <w:tc>
          <w:tcPr>
            <w:tcW w:w="10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2900" w:type="dxa"/>
            <w:vAlign w:val="bottom"/>
            <w:tcBorders>
              <w:bottom w:val="single" w:sz="8" w:color="0000FF"/>
            </w:tcBorders>
          </w:tcPr>
          <w:p>
            <w:pPr>
              <w:spacing w:after="0" w:line="138" w:lineRule="exact"/>
              <w:rPr>
                <w:rFonts w:ascii="Arial" w:cs="Arial" w:eastAsia="Arial" w:hAnsi="Arial"/>
                <w:sz w:val="16"/>
                <w:szCs w:val="16"/>
                <w:color w:val="0000FF"/>
                <w:w w:val="91"/>
              </w:rPr>
            </w:pPr>
            <w:hyperlink r:id="rId218">
              <w:r>
                <w:rPr>
                  <w:rFonts w:ascii="Arial" w:cs="Arial" w:eastAsia="Arial" w:hAnsi="Arial"/>
                  <w:sz w:val="16"/>
                  <w:szCs w:val="16"/>
                  <w:color w:val="0000FF"/>
                  <w:w w:val="91"/>
                </w:rPr>
                <w:t>2.</w:t>
              </w:r>
              <w:r>
                <w:rPr>
                  <w:rFonts w:ascii="Arial" w:cs="Arial" w:eastAsia="Arial" w:hAnsi="Arial"/>
                  <w:sz w:val="16"/>
                  <w:szCs w:val="16"/>
                  <w:u w:val="single" w:color="auto"/>
                  <w:color w:val="0000FF"/>
                  <w:w w:val="91"/>
                </w:rPr>
                <w:t>4,</w:t>
              </w:r>
              <w:r>
                <w:rPr>
                  <w:rFonts w:ascii="Arial" w:cs="Arial" w:eastAsia="Arial" w:hAnsi="Arial"/>
                  <w:sz w:val="16"/>
                  <w:szCs w:val="16"/>
                  <w:color w:val="0000FF"/>
                  <w:w w:val="91"/>
                </w:rPr>
                <w:t xml:space="preserve"> GIP III Zephyr Acquisition Partners, L.P.</w:t>
              </w:r>
            </w:hyperlink>
          </w:p>
        </w:tc>
        <w:tc>
          <w:tcPr>
            <w:tcW w:w="20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80" w:type="dxa"/>
            <w:vAlign w:val="bottom"/>
          </w:tcPr>
          <w:p>
            <w:pPr>
              <w:jc w:val="right"/>
              <w:ind w:right="401"/>
              <w:spacing w:after="0"/>
              <w:rPr>
                <w:sz w:val="20"/>
                <w:szCs w:val="20"/>
                <w:color w:val="auto"/>
              </w:rPr>
            </w:pPr>
            <w:r>
              <w:rPr>
                <w:rFonts w:ascii="Arial" w:cs="Arial" w:eastAsia="Arial" w:hAnsi="Arial"/>
                <w:sz w:val="16"/>
                <w:szCs w:val="16"/>
                <w:color w:val="auto"/>
                <w:w w:val="85"/>
              </w:rPr>
              <w:t>10.2.2</w:t>
            </w:r>
          </w:p>
        </w:tc>
        <w:tc>
          <w:tcPr>
            <w:tcW w:w="4980" w:type="dxa"/>
            <w:vAlign w:val="bottom"/>
            <w:gridSpan w:val="6"/>
          </w:tcPr>
          <w:p>
            <w:pPr>
              <w:spacing w:after="0"/>
              <w:rPr>
                <w:rFonts w:ascii="Arial" w:cs="Arial" w:eastAsia="Arial" w:hAnsi="Arial"/>
                <w:sz w:val="16"/>
                <w:szCs w:val="16"/>
                <w:color w:val="0000FF"/>
                <w:w w:val="90"/>
              </w:rPr>
            </w:pPr>
            <w:hyperlink r:id="rId219">
              <w:r>
                <w:rPr>
                  <w:rFonts w:ascii="Arial" w:cs="Arial" w:eastAsia="Arial" w:hAnsi="Arial"/>
                  <w:sz w:val="16"/>
                  <w:szCs w:val="16"/>
                  <w:color w:val="0000FF"/>
                  <w:w w:val="90"/>
                </w:rPr>
                <w:t>First Amendment to Right of First Offer Agreement, dated February 14, 2019,</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60" w:type="dxa"/>
            <w:vAlign w:val="bottom"/>
            <w:tcBorders>
              <w:top w:val="single" w:sz="8" w:color="0000FF"/>
            </w:tcBorders>
            <w:gridSpan w:val="5"/>
          </w:tcPr>
          <w:p>
            <w:pPr>
              <w:spacing w:after="0" w:line="138" w:lineRule="exact"/>
              <w:rPr>
                <w:rFonts w:ascii="Arial" w:cs="Arial" w:eastAsia="Arial" w:hAnsi="Arial"/>
                <w:sz w:val="16"/>
                <w:szCs w:val="16"/>
                <w:color w:val="0000FF"/>
                <w:w w:val="96"/>
              </w:rPr>
            </w:pPr>
            <w:hyperlink r:id="rId219">
              <w:r>
                <w:rPr>
                  <w:rFonts w:ascii="Arial" w:cs="Arial" w:eastAsia="Arial" w:hAnsi="Arial"/>
                  <w:sz w:val="16"/>
                  <w:szCs w:val="16"/>
                  <w:color w:val="0000FF"/>
                  <w:w w:val="96"/>
                </w:rPr>
                <w:t>by and between Clearway Energy Group LLC and Clearway Energy, Inc.</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10.3 to Clearway Energy, Inc.'s Current Report on Form 8-K filed on September 5, 2018.</w:t>
      </w:r>
    </w:p>
    <w:p>
      <w:pPr>
        <w:spacing w:after="0" w:line="182"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February 14, 2019.</w:t>
      </w:r>
    </w:p>
    <w:p>
      <w:pPr>
        <w:spacing w:after="0" w:line="73" w:lineRule="exact"/>
        <w:rPr>
          <w:sz w:val="20"/>
          <w:szCs w:val="20"/>
          <w:color w:val="auto"/>
        </w:rPr>
      </w:pPr>
    </w:p>
    <w:p>
      <w:pPr>
        <w:sectPr>
          <w:pgSz w:w="11900" w:h="16838" w:orient="portrait"/>
          <w:cols w:equalWidth="0" w:num="2">
            <w:col w:w="5840" w:space="200"/>
            <w:col w:w="4079"/>
          </w:cols>
          <w:pgMar w:left="340" w:top="905" w:right="144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10.2.3</w:t>
            </w:r>
          </w:p>
        </w:tc>
        <w:tc>
          <w:tcPr>
            <w:tcW w:w="5060" w:type="dxa"/>
            <w:vAlign w:val="bottom"/>
            <w:gridSpan w:val="27"/>
          </w:tcPr>
          <w:p>
            <w:pPr>
              <w:spacing w:after="0"/>
              <w:rPr>
                <w:rFonts w:ascii="Arial" w:cs="Arial" w:eastAsia="Arial" w:hAnsi="Arial"/>
                <w:sz w:val="16"/>
                <w:szCs w:val="16"/>
                <w:color w:val="0000FF"/>
                <w:w w:val="92"/>
              </w:rPr>
            </w:pPr>
            <w:hyperlink r:id="rId220">
              <w:r>
                <w:rPr>
                  <w:rFonts w:ascii="Arial" w:cs="Arial" w:eastAsia="Arial" w:hAnsi="Arial"/>
                  <w:sz w:val="16"/>
                  <w:szCs w:val="16"/>
                  <w:color w:val="0000FF"/>
                  <w:w w:val="92"/>
                </w:rPr>
                <w:t>Second Amendment to Right of First Offer Agreement, dated August 1, 2019,</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60" w:type="dxa"/>
            <w:vAlign w:val="bottom"/>
            <w:tcBorders>
              <w:top w:val="single" w:sz="8" w:color="0000FF"/>
            </w:tcBorders>
            <w:gridSpan w:val="22"/>
          </w:tcPr>
          <w:p>
            <w:pPr>
              <w:spacing w:after="0" w:line="138" w:lineRule="exact"/>
              <w:rPr>
                <w:rFonts w:ascii="Arial" w:cs="Arial" w:eastAsia="Arial" w:hAnsi="Arial"/>
                <w:sz w:val="16"/>
                <w:szCs w:val="16"/>
                <w:color w:val="0000FF"/>
                <w:w w:val="96"/>
              </w:rPr>
            </w:pPr>
            <w:hyperlink r:id="rId220">
              <w:r>
                <w:rPr>
                  <w:rFonts w:ascii="Arial" w:cs="Arial" w:eastAsia="Arial" w:hAnsi="Arial"/>
                  <w:sz w:val="16"/>
                  <w:szCs w:val="16"/>
                  <w:color w:val="0000FF"/>
                  <w:w w:val="96"/>
                </w:rPr>
                <w:t>by and between Clearway Energy Group LLC and Clearway Energy,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80" w:type="dxa"/>
            <w:vAlign w:val="bottom"/>
          </w:tcPr>
          <w:p>
            <w:pPr>
              <w:spacing w:after="0"/>
              <w:rPr>
                <w:sz w:val="20"/>
                <w:szCs w:val="20"/>
                <w:color w:val="auto"/>
              </w:rPr>
            </w:pPr>
            <w:r>
              <w:rPr>
                <w:rFonts w:ascii="Arial" w:cs="Arial" w:eastAsia="Arial" w:hAnsi="Arial"/>
                <w:sz w:val="16"/>
                <w:szCs w:val="16"/>
                <w:color w:val="auto"/>
              </w:rPr>
              <w:t>10.2.4</w:t>
            </w:r>
          </w:p>
        </w:tc>
        <w:tc>
          <w:tcPr>
            <w:tcW w:w="5060" w:type="dxa"/>
            <w:vAlign w:val="bottom"/>
            <w:gridSpan w:val="27"/>
          </w:tcPr>
          <w:p>
            <w:pPr>
              <w:spacing w:after="0"/>
              <w:rPr>
                <w:rFonts w:ascii="Arial" w:cs="Arial" w:eastAsia="Arial" w:hAnsi="Arial"/>
                <w:sz w:val="16"/>
                <w:szCs w:val="16"/>
                <w:color w:val="0000FF"/>
                <w:w w:val="92"/>
              </w:rPr>
            </w:pPr>
            <w:hyperlink r:id="rId221">
              <w:r>
                <w:rPr>
                  <w:rFonts w:ascii="Arial" w:cs="Arial" w:eastAsia="Arial" w:hAnsi="Arial"/>
                  <w:sz w:val="16"/>
                  <w:szCs w:val="16"/>
                  <w:color w:val="0000FF"/>
                  <w:w w:val="92"/>
                </w:rPr>
                <w:t>Third Amendment to Right of First Offer Agreement, dated as of December 6,</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5000" w:type="dxa"/>
            <w:vAlign w:val="bottom"/>
            <w:tcBorders>
              <w:top w:val="single" w:sz="8" w:color="0000FF"/>
            </w:tcBorders>
            <w:gridSpan w:val="24"/>
          </w:tcPr>
          <w:p>
            <w:pPr>
              <w:spacing w:after="0" w:line="138" w:lineRule="exact"/>
              <w:rPr>
                <w:rFonts w:ascii="Arial" w:cs="Arial" w:eastAsia="Arial" w:hAnsi="Arial"/>
                <w:sz w:val="16"/>
                <w:szCs w:val="16"/>
                <w:color w:val="0000FF"/>
                <w:w w:val="93"/>
              </w:rPr>
            </w:pPr>
            <w:hyperlink r:id="rId221">
              <w:r>
                <w:rPr>
                  <w:rFonts w:ascii="Arial" w:cs="Arial" w:eastAsia="Arial" w:hAnsi="Arial"/>
                  <w:sz w:val="16"/>
                  <w:szCs w:val="16"/>
                  <w:color w:val="0000FF"/>
                  <w:w w:val="93"/>
                </w:rPr>
                <w:t>2019, by and between Clearway Energy Group LLC, Clearway Energy,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20" w:type="dxa"/>
            <w:vAlign w:val="bottom"/>
            <w:tcBorders>
              <w:top w:val="single" w:sz="8" w:color="0000FF"/>
            </w:tcBorders>
            <w:gridSpan w:val="18"/>
          </w:tcPr>
          <w:p>
            <w:pPr>
              <w:spacing w:after="0" w:line="138" w:lineRule="exact"/>
              <w:rPr>
                <w:rFonts w:ascii="Arial" w:cs="Arial" w:eastAsia="Arial" w:hAnsi="Arial"/>
                <w:sz w:val="16"/>
                <w:szCs w:val="16"/>
                <w:color w:val="0000FF"/>
              </w:rPr>
            </w:pPr>
            <w:hyperlink r:id="rId221">
              <w:r>
                <w:rPr>
                  <w:rFonts w:ascii="Arial" w:cs="Arial" w:eastAsia="Arial" w:hAnsi="Arial"/>
                  <w:sz w:val="16"/>
                  <w:szCs w:val="16"/>
                  <w:color w:val="0000FF"/>
                </w:rPr>
                <w:t>and GIP III Zephyr Acquisition Partners, L.P.</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 w:type="dxa"/>
            <w:vAlign w:val="bottom"/>
            <w:vMerge w:val="continue"/>
          </w:tcPr>
          <w:p>
            <w:pPr>
              <w:spacing w:after="0"/>
              <w:rPr>
                <w:sz w:val="19"/>
                <w:szCs w:val="19"/>
                <w:color w:val="auto"/>
              </w:rPr>
            </w:pPr>
          </w:p>
        </w:tc>
        <w:tc>
          <w:tcPr>
            <w:tcW w:w="5060" w:type="dxa"/>
            <w:vAlign w:val="bottom"/>
            <w:gridSpan w:val="27"/>
            <w:vMerge w:val="restart"/>
          </w:tcPr>
          <w:p>
            <w:pPr>
              <w:spacing w:after="0"/>
              <w:rPr>
                <w:rFonts w:ascii="Arial" w:cs="Arial" w:eastAsia="Arial" w:hAnsi="Arial"/>
                <w:sz w:val="16"/>
                <w:szCs w:val="16"/>
                <w:color w:val="0000FF"/>
                <w:w w:val="90"/>
              </w:rPr>
            </w:pPr>
            <w:hyperlink r:id="rId222">
              <w:r>
                <w:rPr>
                  <w:rFonts w:ascii="Arial" w:cs="Arial" w:eastAsia="Arial" w:hAnsi="Arial"/>
                  <w:sz w:val="16"/>
                  <w:szCs w:val="16"/>
                  <w:color w:val="0000FF"/>
                  <w:w w:val="90"/>
                </w:rPr>
                <w:t>Master Services Agreement, dated as of August 31, 2018, by and among NRG</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06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80" w:type="dxa"/>
            <w:vAlign w:val="bottom"/>
            <w:tcBorders>
              <w:top w:val="single" w:sz="8" w:color="0000FF"/>
            </w:tcBorders>
            <w:gridSpan w:val="23"/>
          </w:tcPr>
          <w:p>
            <w:pPr>
              <w:spacing w:after="0" w:line="138" w:lineRule="exact"/>
              <w:rPr>
                <w:rFonts w:ascii="Arial" w:cs="Arial" w:eastAsia="Arial" w:hAnsi="Arial"/>
                <w:sz w:val="16"/>
                <w:szCs w:val="16"/>
                <w:color w:val="0000FF"/>
              </w:rPr>
            </w:pPr>
            <w:hyperlink r:id="rId222">
              <w:r>
                <w:rPr>
                  <w:rFonts w:ascii="Arial" w:cs="Arial" w:eastAsia="Arial" w:hAnsi="Arial"/>
                  <w:sz w:val="16"/>
                  <w:szCs w:val="16"/>
                  <w:color w:val="0000FF"/>
                </w:rPr>
                <w:t>Yield, Inc., NRG Yield LLC, NRG Yield Operating LLC and Zephyr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380" w:type="dxa"/>
            <w:vAlign w:val="bottom"/>
            <w:tcBorders>
              <w:top w:val="single" w:sz="8" w:color="0000FF"/>
            </w:tcBorders>
            <w:gridSpan w:val="8"/>
          </w:tcPr>
          <w:p>
            <w:pPr>
              <w:spacing w:after="0" w:line="138" w:lineRule="exact"/>
              <w:rPr>
                <w:rFonts w:ascii="Arial" w:cs="Arial" w:eastAsia="Arial" w:hAnsi="Arial"/>
                <w:sz w:val="16"/>
                <w:szCs w:val="16"/>
                <w:color w:val="0000FF"/>
              </w:rPr>
            </w:pPr>
            <w:hyperlink r:id="rId222">
              <w:r>
                <w:rPr>
                  <w:rFonts w:ascii="Arial" w:cs="Arial" w:eastAsia="Arial" w:hAnsi="Arial"/>
                  <w:sz w:val="16"/>
                  <w:szCs w:val="16"/>
                  <w:color w:val="0000FF"/>
                </w:rPr>
                <w:t>Renewables LLC.</w:t>
              </w:r>
            </w:hyperlink>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80" w:type="dxa"/>
            <w:vAlign w:val="bottom"/>
            <w:vMerge w:val="continue"/>
          </w:tcPr>
          <w:p>
            <w:pPr>
              <w:spacing w:after="0"/>
              <w:rPr>
                <w:sz w:val="24"/>
                <w:szCs w:val="24"/>
                <w:color w:val="auto"/>
              </w:rPr>
            </w:pPr>
          </w:p>
        </w:tc>
        <w:tc>
          <w:tcPr>
            <w:tcW w:w="5060" w:type="dxa"/>
            <w:vAlign w:val="bottom"/>
            <w:gridSpan w:val="27"/>
            <w:vMerge w:val="restart"/>
          </w:tcPr>
          <w:p>
            <w:pPr>
              <w:spacing w:after="0"/>
              <w:rPr>
                <w:rFonts w:ascii="Arial" w:cs="Arial" w:eastAsia="Arial" w:hAnsi="Arial"/>
                <w:sz w:val="16"/>
                <w:szCs w:val="16"/>
                <w:color w:val="0000FF"/>
                <w:w w:val="97"/>
              </w:rPr>
            </w:pPr>
            <w:hyperlink r:id="rId223">
              <w:r>
                <w:rPr>
                  <w:rFonts w:ascii="Arial" w:cs="Arial" w:eastAsia="Arial" w:hAnsi="Arial"/>
                  <w:sz w:val="16"/>
                  <w:szCs w:val="16"/>
                  <w:color w:val="0000FF"/>
                  <w:w w:val="97"/>
                </w:rPr>
                <w:t>Master Services Agreement, dated as of August 31, 2018, by and among</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06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600" w:type="dxa"/>
            <w:vAlign w:val="bottom"/>
            <w:tcBorders>
              <w:top w:val="single" w:sz="8" w:color="0000FF"/>
            </w:tcBorders>
            <w:gridSpan w:val="11"/>
          </w:tcPr>
          <w:p>
            <w:pPr>
              <w:spacing w:after="0" w:line="138" w:lineRule="exact"/>
              <w:rPr>
                <w:rFonts w:ascii="Arial" w:cs="Arial" w:eastAsia="Arial" w:hAnsi="Arial"/>
                <w:sz w:val="16"/>
                <w:szCs w:val="16"/>
                <w:color w:val="0000FF"/>
                <w:w w:val="93"/>
              </w:rPr>
            </w:pPr>
            <w:hyperlink r:id="rId223">
              <w:r>
                <w:rPr>
                  <w:rFonts w:ascii="Arial" w:cs="Arial" w:eastAsia="Arial" w:hAnsi="Arial"/>
                  <w:sz w:val="16"/>
                  <w:szCs w:val="16"/>
                  <w:color w:val="0000FF"/>
                  <w:w w:val="93"/>
                </w:rPr>
                <w:t>Zephyr Renewables LLC, NRG Yield, Inc., NRG Yield LLC, and NRG</w:t>
              </w:r>
            </w:hyperlink>
          </w:p>
        </w:tc>
        <w:tc>
          <w:tcPr>
            <w:tcW w:w="460" w:type="dxa"/>
            <w:vAlign w:val="bottom"/>
            <w:gridSpan w:val="16"/>
          </w:tcPr>
          <w:p>
            <w:pPr>
              <w:spacing w:after="0" w:line="138" w:lineRule="exact"/>
              <w:rPr>
                <w:rFonts w:ascii="Arial" w:cs="Arial" w:eastAsia="Arial" w:hAnsi="Arial"/>
                <w:sz w:val="16"/>
                <w:szCs w:val="16"/>
                <w:color w:val="0000FF"/>
              </w:rPr>
            </w:pPr>
            <w:hyperlink r:id="rId223">
              <w:r>
                <w:rPr>
                  <w:rFonts w:ascii="Arial" w:cs="Arial" w:eastAsia="Arial" w:hAnsi="Arial"/>
                  <w:sz w:val="16"/>
                  <w:szCs w:val="16"/>
                  <w:color w:val="0000FF"/>
                </w:rPr>
                <w:t>Yield</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38" w:lineRule="exact"/>
              <w:rPr>
                <w:rFonts w:ascii="Arial" w:cs="Arial" w:eastAsia="Arial" w:hAnsi="Arial"/>
                <w:sz w:val="16"/>
                <w:szCs w:val="16"/>
                <w:color w:val="0000FF"/>
                <w:w w:val="92"/>
              </w:rPr>
            </w:pPr>
            <w:hyperlink r:id="rId223">
              <w:r>
                <w:rPr>
                  <w:rFonts w:ascii="Arial" w:cs="Arial" w:eastAsia="Arial" w:hAnsi="Arial"/>
                  <w:sz w:val="16"/>
                  <w:szCs w:val="16"/>
                  <w:color w:val="0000FF"/>
                  <w:w w:val="92"/>
                </w:rPr>
                <w:t>Operating LLC.</w:t>
              </w:r>
            </w:hyperlink>
          </w:p>
        </w:tc>
        <w:tc>
          <w:tcPr>
            <w:tcW w:w="39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6"/>
                <w:szCs w:val="16"/>
                <w:color w:val="auto"/>
              </w:rPr>
              <w:t>10.5</w:t>
            </w:r>
          </w:p>
        </w:tc>
        <w:tc>
          <w:tcPr>
            <w:tcW w:w="5060" w:type="dxa"/>
            <w:vAlign w:val="bottom"/>
            <w:gridSpan w:val="27"/>
            <w:vMerge w:val="restart"/>
          </w:tcPr>
          <w:p>
            <w:pPr>
              <w:spacing w:after="0"/>
              <w:rPr>
                <w:rFonts w:ascii="Arial" w:cs="Arial" w:eastAsia="Arial" w:hAnsi="Arial"/>
                <w:sz w:val="16"/>
                <w:szCs w:val="16"/>
                <w:color w:val="0000FF"/>
                <w:w w:val="95"/>
              </w:rPr>
            </w:pPr>
            <w:hyperlink r:id="rId224">
              <w:r>
                <w:rPr>
                  <w:rFonts w:ascii="Arial" w:cs="Arial" w:eastAsia="Arial" w:hAnsi="Arial"/>
                  <w:sz w:val="16"/>
                  <w:szCs w:val="16"/>
                  <w:color w:val="0000FF"/>
                  <w:w w:val="95"/>
                </w:rPr>
                <w:t>Termination Agreement, dated as of August 31, 2018, by and among NRG</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06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14"/>
          </w:tcPr>
          <w:p>
            <w:pPr>
              <w:spacing w:after="0" w:line="138" w:lineRule="exact"/>
              <w:rPr>
                <w:rFonts w:ascii="Arial" w:cs="Arial" w:eastAsia="Arial" w:hAnsi="Arial"/>
                <w:sz w:val="16"/>
                <w:szCs w:val="16"/>
                <w:color w:val="0000FF"/>
                <w:w w:val="91"/>
              </w:rPr>
            </w:pPr>
            <w:hyperlink r:id="rId224">
              <w:r>
                <w:rPr>
                  <w:rFonts w:ascii="Arial" w:cs="Arial" w:eastAsia="Arial" w:hAnsi="Arial"/>
                  <w:sz w:val="16"/>
                  <w:szCs w:val="16"/>
                  <w:color w:val="0000FF"/>
                  <w:w w:val="91"/>
                </w:rPr>
                <w:t>Yield, Inc., NRG Yield LLC, NRG Yield Operating LLC and NRG Energy,</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00" w:type="dxa"/>
            <w:vAlign w:val="bottom"/>
            <w:gridSpan w:val="17"/>
          </w:tcPr>
          <w:p>
            <w:pPr>
              <w:spacing w:after="0" w:line="138" w:lineRule="exact"/>
              <w:rPr>
                <w:rFonts w:ascii="Arial" w:cs="Arial" w:eastAsia="Arial" w:hAnsi="Arial"/>
                <w:sz w:val="16"/>
                <w:szCs w:val="16"/>
                <w:color w:val="0000FF"/>
              </w:rPr>
            </w:pPr>
            <w:hyperlink r:id="rId224">
              <w:r>
                <w:rPr>
                  <w:rFonts w:ascii="Arial" w:cs="Arial" w:eastAsia="Arial" w:hAnsi="Arial"/>
                  <w:sz w:val="16"/>
                  <w:szCs w:val="16"/>
                  <w:color w:val="0000FF"/>
                </w:rPr>
                <w:t>Inc.</w:t>
              </w:r>
            </w:hyperlink>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10.6.1</w:t>
            </w:r>
          </w:p>
        </w:tc>
        <w:tc>
          <w:tcPr>
            <w:tcW w:w="5060" w:type="dxa"/>
            <w:vAlign w:val="bottom"/>
            <w:gridSpan w:val="27"/>
          </w:tcPr>
          <w:p>
            <w:pPr>
              <w:spacing w:after="0"/>
              <w:rPr>
                <w:rFonts w:ascii="Arial" w:cs="Arial" w:eastAsia="Arial" w:hAnsi="Arial"/>
                <w:sz w:val="16"/>
                <w:szCs w:val="16"/>
                <w:color w:val="0000FF"/>
                <w:w w:val="89"/>
              </w:rPr>
            </w:pPr>
            <w:hyperlink r:id="rId225">
              <w:r>
                <w:rPr>
                  <w:rFonts w:ascii="Arial" w:cs="Arial" w:eastAsia="Arial" w:hAnsi="Arial"/>
                  <w:sz w:val="16"/>
                  <w:szCs w:val="16"/>
                  <w:color w:val="0000FF"/>
                  <w:w w:val="89"/>
                </w:rPr>
                <w:t>Amended and Restated Credit Agreement, dated April 25, 2014, by and among</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5040" w:type="dxa"/>
            <w:vAlign w:val="bottom"/>
            <w:tcBorders>
              <w:top w:val="single" w:sz="8" w:color="0000FF"/>
            </w:tcBorders>
            <w:gridSpan w:val="26"/>
          </w:tcPr>
          <w:p>
            <w:pPr>
              <w:spacing w:after="0" w:line="138" w:lineRule="exact"/>
              <w:rPr>
                <w:rFonts w:ascii="Arial" w:cs="Arial" w:eastAsia="Arial" w:hAnsi="Arial"/>
                <w:sz w:val="16"/>
                <w:szCs w:val="16"/>
                <w:color w:val="0000FF"/>
              </w:rPr>
            </w:pPr>
            <w:hyperlink r:id="rId225">
              <w:r>
                <w:rPr>
                  <w:rFonts w:ascii="Arial" w:cs="Arial" w:eastAsia="Arial" w:hAnsi="Arial"/>
                  <w:sz w:val="16"/>
                  <w:szCs w:val="16"/>
                  <w:color w:val="0000FF"/>
                </w:rPr>
                <w:t>NRG Yield Operating LLC, NRG Yield LLC, Royal Bank of Canada, as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640" w:type="dxa"/>
            <w:vAlign w:val="bottom"/>
            <w:tcBorders>
              <w:top w:val="single" w:sz="8" w:color="0000FF"/>
            </w:tcBorders>
            <w:gridSpan w:val="12"/>
          </w:tcPr>
          <w:p>
            <w:pPr>
              <w:spacing w:after="0" w:line="138" w:lineRule="exact"/>
              <w:rPr>
                <w:rFonts w:ascii="Arial" w:cs="Arial" w:eastAsia="Arial" w:hAnsi="Arial"/>
                <w:sz w:val="16"/>
                <w:szCs w:val="16"/>
                <w:color w:val="0000FF"/>
                <w:w w:val="91"/>
              </w:rPr>
            </w:pPr>
            <w:hyperlink r:id="rId225">
              <w:r>
                <w:rPr>
                  <w:rFonts w:ascii="Arial" w:cs="Arial" w:eastAsia="Arial" w:hAnsi="Arial"/>
                  <w:sz w:val="16"/>
                  <w:szCs w:val="16"/>
                  <w:color w:val="0000FF"/>
                  <w:w w:val="91"/>
                </w:rPr>
                <w:t>Administrative Agent, the lenders party thereto, Royal Bank of Canada,</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560" w:type="dxa"/>
            <w:vAlign w:val="bottom"/>
            <w:tcBorders>
              <w:top w:val="single" w:sz="8" w:color="0000FF"/>
            </w:tcBorders>
            <w:gridSpan w:val="10"/>
          </w:tcPr>
          <w:p>
            <w:pPr>
              <w:spacing w:after="0" w:line="138" w:lineRule="exact"/>
              <w:rPr>
                <w:rFonts w:ascii="Arial" w:cs="Arial" w:eastAsia="Arial" w:hAnsi="Arial"/>
                <w:sz w:val="16"/>
                <w:szCs w:val="16"/>
                <w:color w:val="0000FF"/>
                <w:w w:val="91"/>
              </w:rPr>
            </w:pPr>
            <w:hyperlink r:id="rId225">
              <w:r>
                <w:rPr>
                  <w:rFonts w:ascii="Arial" w:cs="Arial" w:eastAsia="Arial" w:hAnsi="Arial"/>
                  <w:sz w:val="16"/>
                  <w:szCs w:val="16"/>
                  <w:color w:val="0000FF"/>
                  <w:w w:val="91"/>
                </w:rPr>
                <w:t>Goldman Sachs Bank USA and Bank of America, N.A., as L/C Issuers</w:t>
              </w:r>
            </w:hyperlink>
          </w:p>
        </w:tc>
        <w:tc>
          <w:tcPr>
            <w:tcW w:w="500" w:type="dxa"/>
            <w:vAlign w:val="bottom"/>
            <w:gridSpan w:val="17"/>
          </w:tcPr>
          <w:p>
            <w:pPr>
              <w:spacing w:after="0" w:line="138" w:lineRule="exact"/>
              <w:rPr>
                <w:rFonts w:ascii="Arial" w:cs="Arial" w:eastAsia="Arial" w:hAnsi="Arial"/>
                <w:sz w:val="16"/>
                <w:szCs w:val="16"/>
                <w:color w:val="0000FF"/>
              </w:rPr>
            </w:pPr>
            <w:hyperlink r:id="rId225">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15"/>
          </w:tcPr>
          <w:p>
            <w:pPr>
              <w:spacing w:after="0" w:line="138" w:lineRule="exact"/>
              <w:rPr>
                <w:rFonts w:ascii="Arial" w:cs="Arial" w:eastAsia="Arial" w:hAnsi="Arial"/>
                <w:sz w:val="16"/>
                <w:szCs w:val="16"/>
                <w:color w:val="0000FF"/>
                <w:w w:val="90"/>
              </w:rPr>
            </w:pPr>
            <w:hyperlink r:id="rId225">
              <w:r>
                <w:rPr>
                  <w:rFonts w:ascii="Arial" w:cs="Arial" w:eastAsia="Arial" w:hAnsi="Arial"/>
                  <w:sz w:val="16"/>
                  <w:szCs w:val="16"/>
                  <w:color w:val="0000FF"/>
                  <w:w w:val="90"/>
                </w:rPr>
                <w:t>RBC Capital Markets as Sole Left Lead Arranger and Sole Left Lead Book</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780" w:type="dxa"/>
            <w:vAlign w:val="bottom"/>
            <w:gridSpan w:val="16"/>
          </w:tcPr>
          <w:p>
            <w:pPr>
              <w:spacing w:after="0" w:line="138" w:lineRule="exact"/>
              <w:rPr>
                <w:rFonts w:ascii="Arial" w:cs="Arial" w:eastAsia="Arial" w:hAnsi="Arial"/>
                <w:sz w:val="16"/>
                <w:szCs w:val="16"/>
                <w:color w:val="0000FF"/>
              </w:rPr>
            </w:pPr>
            <w:hyperlink r:id="rId225">
              <w:r>
                <w:rPr>
                  <w:rFonts w:ascii="Arial" w:cs="Arial" w:eastAsia="Arial" w:hAnsi="Arial"/>
                  <w:sz w:val="16"/>
                  <w:szCs w:val="16"/>
                  <w:color w:val="0000FF"/>
                </w:rPr>
                <w:t>Runner.</w:t>
              </w:r>
            </w:hyperlink>
          </w:p>
        </w:tc>
        <w:tc>
          <w:tcPr>
            <w:tcW w:w="8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10.6.2</w:t>
            </w: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 w:type="dxa"/>
            <w:vAlign w:val="bottom"/>
            <w:vMerge w:val="continue"/>
          </w:tcPr>
          <w:p>
            <w:pPr>
              <w:spacing w:after="0"/>
              <w:rPr>
                <w:sz w:val="19"/>
                <w:szCs w:val="19"/>
                <w:color w:val="auto"/>
              </w:rPr>
            </w:pPr>
          </w:p>
        </w:tc>
        <w:tc>
          <w:tcPr>
            <w:tcW w:w="5060" w:type="dxa"/>
            <w:vAlign w:val="bottom"/>
            <w:gridSpan w:val="27"/>
            <w:vMerge w:val="restart"/>
          </w:tcPr>
          <w:p>
            <w:pPr>
              <w:spacing w:after="0"/>
              <w:rPr>
                <w:rFonts w:ascii="Arial" w:cs="Arial" w:eastAsia="Arial" w:hAnsi="Arial"/>
                <w:sz w:val="16"/>
                <w:szCs w:val="16"/>
                <w:color w:val="0000FF"/>
                <w:w w:val="93"/>
              </w:rPr>
            </w:pPr>
            <w:hyperlink r:id="rId226">
              <w:r>
                <w:rPr>
                  <w:rFonts w:ascii="Arial" w:cs="Arial" w:eastAsia="Arial" w:hAnsi="Arial"/>
                  <w:sz w:val="16"/>
                  <w:szCs w:val="16"/>
                  <w:color w:val="0000FF"/>
                  <w:w w:val="93"/>
                </w:rPr>
                <w:t>First Amendment to Amended &amp; Restated Credit Agreement, dated June 26,</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06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60" w:type="dxa"/>
            <w:vAlign w:val="bottom"/>
            <w:tcBorders>
              <w:top w:val="single" w:sz="8" w:color="0000FF"/>
            </w:tcBorders>
            <w:gridSpan w:val="19"/>
          </w:tcPr>
          <w:p>
            <w:pPr>
              <w:spacing w:after="0" w:line="138" w:lineRule="exact"/>
              <w:rPr>
                <w:rFonts w:ascii="Arial" w:cs="Arial" w:eastAsia="Arial" w:hAnsi="Arial"/>
                <w:sz w:val="16"/>
                <w:szCs w:val="16"/>
                <w:color w:val="0000FF"/>
                <w:w w:val="96"/>
              </w:rPr>
            </w:pPr>
            <w:hyperlink r:id="rId226">
              <w:r>
                <w:rPr>
                  <w:rFonts w:ascii="Arial" w:cs="Arial" w:eastAsia="Arial" w:hAnsi="Arial"/>
                  <w:sz w:val="16"/>
                  <w:szCs w:val="16"/>
                  <w:color w:val="0000FF"/>
                  <w:w w:val="96"/>
                </w:rPr>
                <w:t>2015, by and among NRG Yield Operating LLC, NRG Yield LLC, Royal</w:t>
              </w:r>
            </w:hyperlink>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660" w:type="dxa"/>
            <w:vAlign w:val="bottom"/>
            <w:tcBorders>
              <w:top w:val="single" w:sz="8" w:color="0000FF"/>
            </w:tcBorders>
            <w:gridSpan w:val="13"/>
          </w:tcPr>
          <w:p>
            <w:pPr>
              <w:spacing w:after="0" w:line="138" w:lineRule="exact"/>
              <w:rPr>
                <w:rFonts w:ascii="Arial" w:cs="Arial" w:eastAsia="Arial" w:hAnsi="Arial"/>
                <w:sz w:val="16"/>
                <w:szCs w:val="16"/>
                <w:color w:val="0000FF"/>
              </w:rPr>
            </w:pPr>
            <w:hyperlink r:id="rId226">
              <w:r>
                <w:rPr>
                  <w:rFonts w:ascii="Arial" w:cs="Arial" w:eastAsia="Arial" w:hAnsi="Arial"/>
                  <w:sz w:val="16"/>
                  <w:szCs w:val="16"/>
                  <w:color w:val="0000FF"/>
                </w:rPr>
                <w:t>Bank of Canada and the Lenders party thereto.</w:t>
              </w:r>
            </w:hyperlink>
          </w:p>
        </w:tc>
        <w:tc>
          <w:tcPr>
            <w:tcW w:w="280" w:type="dxa"/>
            <w:vAlign w:val="bottom"/>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10.6.3</w:t>
            </w:r>
          </w:p>
        </w:tc>
        <w:tc>
          <w:tcPr>
            <w:tcW w:w="4460" w:type="dxa"/>
            <w:vAlign w:val="bottom"/>
            <w:tcBorders>
              <w:bottom w:val="single" w:sz="8" w:color="0000FF"/>
            </w:tcBorders>
            <w:gridSpan w:val="9"/>
          </w:tcPr>
          <w:p>
            <w:pPr>
              <w:spacing w:after="0"/>
              <w:rPr>
                <w:rFonts w:ascii="Arial" w:cs="Arial" w:eastAsia="Arial" w:hAnsi="Arial"/>
                <w:sz w:val="16"/>
                <w:szCs w:val="16"/>
                <w:color w:val="0000FF"/>
                <w:w w:val="89"/>
              </w:rPr>
            </w:pPr>
            <w:hyperlink r:id="rId227">
              <w:r>
                <w:rPr>
                  <w:rFonts w:ascii="Arial" w:cs="Arial" w:eastAsia="Arial" w:hAnsi="Arial"/>
                  <w:sz w:val="16"/>
                  <w:szCs w:val="16"/>
                  <w:color w:val="0000FF"/>
                  <w:w w:val="89"/>
                </w:rPr>
                <w:t>Second Amendment to Amended &amp; Restated Credit Agreement, dated</w:t>
              </w:r>
            </w:hyperlink>
          </w:p>
        </w:tc>
        <w:tc>
          <w:tcPr>
            <w:tcW w:w="600" w:type="dxa"/>
            <w:vAlign w:val="bottom"/>
            <w:gridSpan w:val="18"/>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5060" w:type="dxa"/>
            <w:vAlign w:val="bottom"/>
            <w:gridSpan w:val="27"/>
          </w:tcPr>
          <w:p>
            <w:pPr>
              <w:spacing w:after="0" w:line="138" w:lineRule="exact"/>
              <w:rPr>
                <w:rFonts w:ascii="Arial" w:cs="Arial" w:eastAsia="Arial" w:hAnsi="Arial"/>
                <w:sz w:val="16"/>
                <w:szCs w:val="16"/>
                <w:color w:val="0000FF"/>
                <w:w w:val="92"/>
              </w:rPr>
            </w:pPr>
            <w:hyperlink r:id="rId227">
              <w:r>
                <w:rPr>
                  <w:rFonts w:ascii="Arial" w:cs="Arial" w:eastAsia="Arial" w:hAnsi="Arial"/>
                  <w:sz w:val="16"/>
                  <w:szCs w:val="16"/>
                  <w:color w:val="0000FF"/>
                  <w:w w:val="92"/>
                </w:rPr>
                <w:t>February 6, 2018, by and among NRG Yield Operating LLC, NRG Yield LLC,</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5020" w:type="dxa"/>
            <w:vAlign w:val="bottom"/>
            <w:tcBorders>
              <w:top w:val="single" w:sz="8" w:color="0000FF"/>
            </w:tcBorders>
            <w:gridSpan w:val="25"/>
          </w:tcPr>
          <w:p>
            <w:pPr>
              <w:spacing w:after="0" w:line="138" w:lineRule="exact"/>
              <w:rPr>
                <w:rFonts w:ascii="Arial" w:cs="Arial" w:eastAsia="Arial" w:hAnsi="Arial"/>
                <w:sz w:val="16"/>
                <w:szCs w:val="16"/>
                <w:color w:val="0000FF"/>
                <w:w w:val="91"/>
              </w:rPr>
            </w:pPr>
            <w:hyperlink r:id="rId227">
              <w:r>
                <w:rPr>
                  <w:rFonts w:ascii="Arial" w:cs="Arial" w:eastAsia="Arial" w:hAnsi="Arial"/>
                  <w:sz w:val="16"/>
                  <w:szCs w:val="16"/>
                  <w:color w:val="0000FF"/>
                  <w:w w:val="91"/>
                </w:rPr>
                <w:t>the guarantors party thereto, Royal Bank of Canada, as Administrative Agent,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40" w:type="dxa"/>
            <w:vAlign w:val="bottom"/>
            <w:tcBorders>
              <w:top w:val="single" w:sz="8" w:color="0000FF"/>
            </w:tcBorders>
            <w:gridSpan w:val="21"/>
          </w:tcPr>
          <w:p>
            <w:pPr>
              <w:spacing w:after="0" w:line="138" w:lineRule="exact"/>
              <w:rPr>
                <w:rFonts w:ascii="Arial" w:cs="Arial" w:eastAsia="Arial" w:hAnsi="Arial"/>
                <w:sz w:val="16"/>
                <w:szCs w:val="16"/>
                <w:color w:val="0000FF"/>
              </w:rPr>
            </w:pPr>
            <w:hyperlink r:id="rId227">
              <w:r>
                <w:rPr>
                  <w:rFonts w:ascii="Arial" w:cs="Arial" w:eastAsia="Arial" w:hAnsi="Arial"/>
                  <w:sz w:val="16"/>
                  <w:szCs w:val="16"/>
                  <w:color w:val="0000FF"/>
                </w:rPr>
                <w:t>and the lenders party thereto.</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0" w:type="dxa"/>
            <w:vAlign w:val="bottom"/>
          </w:tcPr>
          <w:p>
            <w:pPr>
              <w:jc w:val="right"/>
              <w:ind w:right="401"/>
              <w:spacing w:after="0"/>
              <w:rPr>
                <w:sz w:val="20"/>
                <w:szCs w:val="20"/>
                <w:color w:val="auto"/>
              </w:rPr>
            </w:pPr>
            <w:r>
              <w:rPr>
                <w:rFonts w:ascii="Arial" w:cs="Arial" w:eastAsia="Arial" w:hAnsi="Arial"/>
                <w:sz w:val="16"/>
                <w:szCs w:val="16"/>
                <w:color w:val="auto"/>
                <w:w w:val="85"/>
              </w:rPr>
              <w:t>10.6.4</w:t>
            </w:r>
          </w:p>
        </w:tc>
        <w:tc>
          <w:tcPr>
            <w:tcW w:w="4300" w:type="dxa"/>
            <w:vAlign w:val="bottom"/>
            <w:gridSpan w:val="4"/>
            <w:vMerge w:val="restart"/>
          </w:tcPr>
          <w:p>
            <w:pPr>
              <w:spacing w:after="0"/>
              <w:rPr>
                <w:rFonts w:ascii="Arial" w:cs="Arial" w:eastAsia="Arial" w:hAnsi="Arial"/>
                <w:sz w:val="16"/>
                <w:szCs w:val="16"/>
                <w:color w:val="0000FF"/>
                <w:w w:val="89"/>
              </w:rPr>
            </w:pPr>
            <w:hyperlink r:id="rId228">
              <w:r>
                <w:rPr>
                  <w:rFonts w:ascii="Arial" w:cs="Arial" w:eastAsia="Arial" w:hAnsi="Arial"/>
                  <w:sz w:val="16"/>
                  <w:szCs w:val="16"/>
                  <w:color w:val="0000FF"/>
                  <w:w w:val="89"/>
                </w:rPr>
                <w:t>Third Amendment to Amended and Restated Credit Agreement and</w:t>
              </w:r>
            </w:hyperlink>
          </w:p>
        </w:tc>
        <w:tc>
          <w:tcPr>
            <w:tcW w:w="58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4300" w:type="dxa"/>
            <w:vAlign w:val="bottom"/>
            <w:tcBorders>
              <w:bottom w:val="single" w:sz="8" w:color="0000FF"/>
            </w:tcBorders>
            <w:gridSpan w:val="4"/>
            <w:vMerge w:val="continu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80" w:type="dxa"/>
            <w:vAlign w:val="bottom"/>
            <w:gridSpan w:val="7"/>
          </w:tcPr>
          <w:p>
            <w:pPr>
              <w:spacing w:after="0" w:line="138" w:lineRule="exact"/>
              <w:rPr>
                <w:rFonts w:ascii="Arial" w:cs="Arial" w:eastAsia="Arial" w:hAnsi="Arial"/>
                <w:sz w:val="16"/>
                <w:szCs w:val="16"/>
                <w:color w:val="0000FF"/>
                <w:w w:val="91"/>
              </w:rPr>
            </w:pPr>
            <w:hyperlink r:id="rId228">
              <w:r>
                <w:rPr>
                  <w:rFonts w:ascii="Arial" w:cs="Arial" w:eastAsia="Arial" w:hAnsi="Arial"/>
                  <w:sz w:val="16"/>
                  <w:szCs w:val="16"/>
                  <w:color w:val="0000FF"/>
                  <w:w w:val="91"/>
                </w:rPr>
                <w:t>Administrative Agent Resignation and Appointment Agreement, dated as of</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w w:val="92"/>
              </w:rPr>
            </w:pPr>
            <w:hyperlink r:id="rId228">
              <w:r>
                <w:rPr>
                  <w:rFonts w:ascii="Arial" w:cs="Arial" w:eastAsia="Arial" w:hAnsi="Arial"/>
                  <w:sz w:val="16"/>
                  <w:szCs w:val="16"/>
                  <w:color w:val="0000FF"/>
                  <w:w w:val="92"/>
                </w:rPr>
                <w:t>April 30, 2018, by and among NRG Yield Operating LLC, NRG Yield LLC,</w:t>
              </w:r>
            </w:hyperlink>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860" w:type="dxa"/>
            <w:vAlign w:val="bottom"/>
            <w:gridSpan w:val="6"/>
          </w:tcPr>
          <w:p>
            <w:pPr>
              <w:spacing w:after="0" w:line="138" w:lineRule="exact"/>
              <w:rPr>
                <w:rFonts w:ascii="Arial" w:cs="Arial" w:eastAsia="Arial" w:hAnsi="Arial"/>
                <w:sz w:val="16"/>
                <w:szCs w:val="16"/>
                <w:color w:val="0000FF"/>
              </w:rPr>
            </w:pPr>
            <w:hyperlink r:id="rId228">
              <w:r>
                <w:rPr>
                  <w:rFonts w:ascii="Arial" w:cs="Arial" w:eastAsia="Arial" w:hAnsi="Arial"/>
                  <w:sz w:val="16"/>
                  <w:szCs w:val="16"/>
                  <w:color w:val="0000FF"/>
                </w:rPr>
                <w:t>the guarantors party thereto, Royal Bank of Canada, as Resigning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2"/>
          </w:tcPr>
          <w:p>
            <w:pPr>
              <w:spacing w:after="0" w:line="138" w:lineRule="exact"/>
              <w:rPr>
                <w:rFonts w:ascii="Arial" w:cs="Arial" w:eastAsia="Arial" w:hAnsi="Arial"/>
                <w:sz w:val="16"/>
                <w:szCs w:val="16"/>
                <w:color w:val="0000FF"/>
                <w:w w:val="89"/>
              </w:rPr>
            </w:pPr>
            <w:hyperlink r:id="rId228">
              <w:r>
                <w:rPr>
                  <w:rFonts w:ascii="Arial" w:cs="Arial" w:eastAsia="Arial" w:hAnsi="Arial"/>
                  <w:sz w:val="16"/>
                  <w:szCs w:val="16"/>
                  <w:color w:val="0000FF"/>
                  <w:w w:val="89"/>
                </w:rPr>
                <w:t>Administrative Agent, JPMorgan Chase Bank, N.A., as Successor</w:t>
              </w:r>
            </w:hyperlink>
          </w:p>
        </w:tc>
        <w:tc>
          <w:tcPr>
            <w:tcW w:w="20" w:type="dxa"/>
            <w:vAlign w:val="bottom"/>
            <w:tcBorders>
              <w:bottom w:val="single" w:sz="8" w:color="0000FF"/>
            </w:tcBorders>
          </w:tcPr>
          <w:p>
            <w:pPr>
              <w:spacing w:after="0"/>
              <w:rPr>
                <w:sz w:val="12"/>
                <w:szCs w:val="12"/>
                <w:color w:val="auto"/>
              </w:rPr>
            </w:pPr>
          </w:p>
        </w:tc>
        <w:tc>
          <w:tcPr>
            <w:tcW w:w="7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180" w:type="dxa"/>
            <w:vAlign w:val="bottom"/>
            <w:gridSpan w:val="3"/>
          </w:tcPr>
          <w:p>
            <w:pPr>
              <w:spacing w:after="0" w:line="138" w:lineRule="exact"/>
              <w:rPr>
                <w:rFonts w:ascii="Arial" w:cs="Arial" w:eastAsia="Arial" w:hAnsi="Arial"/>
                <w:sz w:val="16"/>
                <w:szCs w:val="16"/>
                <w:color w:val="0000FF"/>
              </w:rPr>
            </w:pPr>
            <w:hyperlink r:id="rId228">
              <w:r>
                <w:rPr>
                  <w:rFonts w:ascii="Arial" w:cs="Arial" w:eastAsia="Arial" w:hAnsi="Arial"/>
                  <w:sz w:val="16"/>
                  <w:szCs w:val="16"/>
                  <w:color w:val="0000FF"/>
                </w:rPr>
                <w:t>Administrative Agent, and the lenders party thereto.</w:t>
              </w:r>
            </w:hyperlink>
          </w:p>
        </w:tc>
        <w:tc>
          <w:tcPr>
            <w:tcW w:w="7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10" w:lineRule="exact"/>
        <w:rPr>
          <w:sz w:val="20"/>
          <w:szCs w:val="20"/>
          <w:color w:val="auto"/>
        </w:rPr>
      </w:pP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102"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182"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182" w:lineRule="exact"/>
        <w:rPr>
          <w:sz w:val="20"/>
          <w:szCs w:val="20"/>
          <w:color w:val="auto"/>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89" w:lineRule="exact"/>
        <w:rPr>
          <w:sz w:val="20"/>
          <w:szCs w:val="20"/>
          <w:color w:val="auto"/>
        </w:rPr>
      </w:pPr>
    </w:p>
    <w:p>
      <w:pPr>
        <w:ind w:right="479"/>
        <w:spacing w:after="0" w:line="225" w:lineRule="auto"/>
        <w:rPr>
          <w:sz w:val="20"/>
          <w:szCs w:val="20"/>
          <w:color w:val="auto"/>
        </w:rPr>
      </w:pPr>
      <w:r>
        <w:rPr>
          <w:rFonts w:ascii="Arial" w:cs="Arial" w:eastAsia="Arial" w:hAnsi="Arial"/>
          <w:sz w:val="16"/>
          <w:szCs w:val="16"/>
          <w:color w:val="auto"/>
        </w:rPr>
        <w:t>Incorporated by reference to Exhibit 10.1 to Clearway Energy, Inc.'s Current Report on Form 8-K filed on April 28, 2014.</w:t>
      </w:r>
    </w:p>
    <w:p>
      <w:pPr>
        <w:spacing w:after="0" w:line="200" w:lineRule="exact"/>
        <w:rPr>
          <w:sz w:val="20"/>
          <w:szCs w:val="20"/>
          <w:color w:val="auto"/>
        </w:rPr>
      </w:pPr>
    </w:p>
    <w:p>
      <w:pPr>
        <w:spacing w:after="0" w:line="285" w:lineRule="exact"/>
        <w:rPr>
          <w:sz w:val="20"/>
          <w:szCs w:val="20"/>
          <w:color w:val="auto"/>
        </w:rPr>
      </w:pPr>
    </w:p>
    <w:p>
      <w:pPr>
        <w:ind w:right="519"/>
        <w:spacing w:after="0" w:line="225" w:lineRule="auto"/>
        <w:rPr>
          <w:sz w:val="20"/>
          <w:szCs w:val="20"/>
          <w:color w:val="auto"/>
        </w:rPr>
      </w:pPr>
      <w:r>
        <w:rPr>
          <w:rFonts w:ascii="Arial" w:cs="Arial" w:eastAsia="Arial" w:hAnsi="Arial"/>
          <w:sz w:val="16"/>
          <w:szCs w:val="16"/>
          <w:color w:val="auto"/>
        </w:rPr>
        <w:t>Incorporated herein by reference to Exhibit 10.9 to Clearway Energy, Inc.'s Quarterly Report on Form 10-Q filed on August 4, 2015.</w:t>
      </w:r>
    </w:p>
    <w:p>
      <w:pPr>
        <w:spacing w:after="0" w:line="182" w:lineRule="exact"/>
        <w:rPr>
          <w:sz w:val="20"/>
          <w:szCs w:val="20"/>
          <w:color w:val="auto"/>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168" w:lineRule="exact"/>
        <w:rPr>
          <w:sz w:val="20"/>
          <w:szCs w:val="20"/>
          <w:color w:val="auto"/>
        </w:rPr>
      </w:pPr>
    </w:p>
    <w:p>
      <w:pPr>
        <w:ind w:right="459"/>
        <w:spacing w:after="0" w:line="225"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3, 2018.</w:t>
      </w:r>
    </w:p>
    <w:p>
      <w:pPr>
        <w:spacing w:after="0" w:line="747" w:lineRule="exact"/>
        <w:rPr>
          <w:sz w:val="20"/>
          <w:szCs w:val="20"/>
          <w:color w:val="auto"/>
        </w:rPr>
      </w:pPr>
    </w:p>
    <w:p>
      <w:pPr>
        <w:sectPr>
          <w:pgSz w:w="11900" w:h="16838" w:orient="portrait"/>
          <w:cols w:equalWidth="0" w:num="2">
            <w:col w:w="5900" w:space="140"/>
            <w:col w:w="4079"/>
          </w:cols>
          <w:pgMar w:left="340" w:top="905"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86360</wp:posOffset>
            </wp:positionV>
            <wp:extent cx="716089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19"/>
          </w:cols>
          <w:pgMar w:left="340" w:top="905" w:right="1440" w:bottom="1440" w:gutter="0" w:footer="0" w:header="0"/>
          <w:type w:val="continuous"/>
        </w:sectPr>
      </w:pPr>
    </w:p>
    <w:bookmarkStart w:id="150" w:name="page151"/>
    <w:bookmarkEnd w:id="150"/>
    <w:p>
      <w:pPr>
        <w:ind w:left="880" w:hanging="883"/>
        <w:spacing w:after="0" w:line="255" w:lineRule="auto"/>
        <w:tabs>
          <w:tab w:leader="none" w:pos="860" w:val="left"/>
        </w:tabs>
        <w:rPr>
          <w:rFonts w:ascii="Arial" w:cs="Arial" w:eastAsia="Arial" w:hAnsi="Arial"/>
          <w:sz w:val="14"/>
          <w:szCs w:val="14"/>
          <w:u w:val="single" w:color="auto"/>
          <w:color w:val="0000FF"/>
        </w:rPr>
      </w:pPr>
      <w:r>
        <w:rPr>
          <w:rFonts w:ascii="Arial" w:cs="Arial" w:eastAsia="Arial" w:hAnsi="Arial"/>
          <w:sz w:val="16"/>
          <w:szCs w:val="16"/>
          <w:color w:val="auto"/>
        </w:rPr>
        <w:t>10.6.5</w:t>
      </w:r>
      <w:r>
        <w:rPr>
          <w:sz w:val="20"/>
          <w:szCs w:val="20"/>
          <w:color w:val="auto"/>
        </w:rPr>
        <w:tab/>
      </w:r>
      <w:hyperlink r:id="rId230">
        <w:r>
          <w:rPr>
            <w:rFonts w:ascii="Arial" w:cs="Arial" w:eastAsia="Arial" w:hAnsi="Arial"/>
            <w:sz w:val="14"/>
            <w:szCs w:val="14"/>
            <w:u w:val="single" w:color="auto"/>
            <w:color w:val="0000FF"/>
          </w:rPr>
          <w:t>Fourth Amendment to Amended and Restated Credit Agreement, dated as of</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November 30, 2018, by and among Clearway Energy Operating LLC,</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Clearway Energy LLC, the guarantors party thereto, JPMorgan Chase Bank,</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N.A., as administrative agent, and the lenders party thereto.</w:t>
        </w:r>
      </w:hyperlink>
    </w:p>
    <w:p>
      <w:pPr>
        <w:spacing w:after="0" w:line="239" w:lineRule="exact"/>
        <w:rPr>
          <w:rFonts w:ascii="Arial" w:cs="Arial" w:eastAsia="Arial" w:hAnsi="Arial"/>
          <w:sz w:val="14"/>
          <w:szCs w:val="14"/>
          <w:u w:val="single" w:color="auto"/>
          <w:color w:val="0000FF"/>
        </w:rPr>
      </w:pPr>
    </w:p>
    <w:p>
      <w:pPr>
        <w:ind w:left="880" w:right="20" w:hanging="883"/>
        <w:spacing w:after="0" w:line="235" w:lineRule="auto"/>
        <w:tabs>
          <w:tab w:leader="none" w:pos="860" w:val="left"/>
        </w:tabs>
        <w:rPr>
          <w:rFonts w:ascii="Arial" w:cs="Arial" w:eastAsia="Arial" w:hAnsi="Arial"/>
          <w:sz w:val="15"/>
          <w:szCs w:val="15"/>
          <w:u w:val="single" w:color="auto"/>
          <w:color w:val="0000FF"/>
        </w:rPr>
      </w:pPr>
      <w:r>
        <w:rPr>
          <w:rFonts w:ascii="Arial" w:cs="Arial" w:eastAsia="Arial" w:hAnsi="Arial"/>
          <w:sz w:val="16"/>
          <w:szCs w:val="16"/>
          <w:color w:val="auto"/>
        </w:rPr>
        <w:t>10.6.6</w:t>
      </w:r>
      <w:r>
        <w:rPr>
          <w:sz w:val="20"/>
          <w:szCs w:val="20"/>
          <w:color w:val="auto"/>
        </w:rPr>
        <w:tab/>
      </w:r>
      <w:hyperlink r:id="rId231">
        <w:r>
          <w:rPr>
            <w:rFonts w:ascii="Arial" w:cs="Arial" w:eastAsia="Arial" w:hAnsi="Arial"/>
            <w:sz w:val="15"/>
            <w:szCs w:val="15"/>
            <w:u w:val="single" w:color="auto"/>
            <w:color w:val="0000FF"/>
          </w:rPr>
          <w:t>Fifth Amendment to Amended and Restated Credit Agreement, dated as of</w:t>
        </w:r>
      </w:hyperlink>
      <w:r>
        <w:rPr>
          <w:rFonts w:ascii="Arial" w:cs="Arial" w:eastAsia="Arial" w:hAnsi="Arial"/>
          <w:sz w:val="15"/>
          <w:szCs w:val="15"/>
          <w:u w:val="single" w:color="auto"/>
          <w:color w:val="0000FF"/>
        </w:rPr>
        <w:t xml:space="preserve"> </w:t>
      </w:r>
      <w:hyperlink r:id="rId231">
        <w:r>
          <w:rPr>
            <w:rFonts w:ascii="Arial" w:cs="Arial" w:eastAsia="Arial" w:hAnsi="Arial"/>
            <w:sz w:val="15"/>
            <w:szCs w:val="15"/>
            <w:u w:val="single" w:color="auto"/>
            <w:color w:val="0000FF"/>
          </w:rPr>
          <w:t>December 20, 2019, by and among Clearway Energy Operating LLC,</w:t>
        </w:r>
      </w:hyperlink>
      <w:r>
        <w:rPr>
          <w:rFonts w:ascii="Arial" w:cs="Arial" w:eastAsia="Arial" w:hAnsi="Arial"/>
          <w:sz w:val="15"/>
          <w:szCs w:val="15"/>
          <w:u w:val="single" w:color="auto"/>
          <w:color w:val="0000FF"/>
        </w:rPr>
        <w:t xml:space="preserve"> </w:t>
      </w:r>
      <w:hyperlink r:id="rId231">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31">
        <w:r>
          <w:rPr>
            <w:rFonts w:ascii="Arial" w:cs="Arial" w:eastAsia="Arial" w:hAnsi="Arial"/>
            <w:sz w:val="15"/>
            <w:szCs w:val="15"/>
            <w:u w:val="single" w:color="auto"/>
            <w:color w:val="0000FF"/>
          </w:rPr>
          <w:t>N.A., as administrative agent, and the lenders party thereto.</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00" w:lineRule="exact"/>
        <w:rPr>
          <w:rFonts w:ascii="Arial" w:cs="Arial" w:eastAsia="Arial" w:hAnsi="Arial"/>
          <w:sz w:val="15"/>
          <w:szCs w:val="15"/>
          <w:u w:val="single" w:color="auto"/>
          <w:color w:val="0000FF"/>
        </w:rPr>
      </w:pPr>
    </w:p>
    <w:p>
      <w:pPr>
        <w:spacing w:after="0" w:line="206" w:lineRule="exact"/>
        <w:rPr>
          <w:rFonts w:ascii="Arial" w:cs="Arial" w:eastAsia="Arial" w:hAnsi="Arial"/>
          <w:sz w:val="15"/>
          <w:szCs w:val="15"/>
          <w:u w:val="single" w:color="auto"/>
          <w:color w:val="0000FF"/>
        </w:rPr>
      </w:pP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358" w:lineRule="exact"/>
        <w:rPr>
          <w:rFonts w:ascii="Arial" w:cs="Arial" w:eastAsia="Arial" w:hAnsi="Arial"/>
          <w:sz w:val="15"/>
          <w:szCs w:val="15"/>
          <w:u w:val="single" w:color="auto"/>
          <w:color w:val="0000FF"/>
        </w:rPr>
      </w:pPr>
    </w:p>
    <w:p>
      <w:pPr>
        <w:sectPr>
          <w:pgSz w:w="11900" w:h="16838" w:orient="portrait"/>
          <w:cols w:equalWidth="0" w:num="2">
            <w:col w:w="5740" w:space="300"/>
            <w:col w:w="4079"/>
          </w:cols>
          <w:pgMar w:left="340" w:top="921" w:right="1440" w:bottom="1440" w:gutter="0" w:footer="0" w:header="0"/>
        </w:sectPr>
      </w:pPr>
    </w:p>
    <w:p>
      <w:pPr>
        <w:spacing w:after="0" w:line="48"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5"/>
          <w:szCs w:val="15"/>
          <w:color w:val="auto"/>
        </w:rPr>
        <w:t>10.6.7</w:t>
      </w:r>
    </w:p>
    <w:p>
      <w:pPr>
        <w:spacing w:after="0" w:line="200" w:lineRule="exact"/>
        <w:rPr>
          <w:rFonts w:ascii="Arial" w:cs="Arial" w:eastAsia="Arial" w:hAnsi="Arial"/>
          <w:sz w:val="15"/>
          <w:szCs w:val="15"/>
          <w:u w:val="single" w:color="auto"/>
          <w:color w:val="0000FF"/>
        </w:rPr>
      </w:pPr>
    </w:p>
    <w:p>
      <w:pPr>
        <w:spacing w:after="0" w:line="313"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6"/>
          <w:szCs w:val="16"/>
          <w:color w:val="auto"/>
        </w:rPr>
        <w:t>10.7^</w:t>
      </w:r>
    </w:p>
    <w:p>
      <w:pPr>
        <w:spacing w:after="0" w:line="357"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6"/>
          <w:szCs w:val="16"/>
          <w:color w:val="auto"/>
        </w:rPr>
        <w:t>10.8^</w:t>
      </w:r>
    </w:p>
    <w:p>
      <w:pPr>
        <w:spacing w:after="0" w:line="357"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6"/>
          <w:szCs w:val="16"/>
          <w:color w:val="auto"/>
        </w:rPr>
        <w:t>10.9^</w:t>
      </w:r>
    </w:p>
    <w:p>
      <w:pPr>
        <w:spacing w:after="0" w:line="200" w:lineRule="exact"/>
        <w:rPr>
          <w:rFonts w:ascii="Arial" w:cs="Arial" w:eastAsia="Arial" w:hAnsi="Arial"/>
          <w:sz w:val="15"/>
          <w:szCs w:val="15"/>
          <w:u w:val="single" w:color="auto"/>
          <w:color w:val="0000FF"/>
        </w:rPr>
      </w:pPr>
    </w:p>
    <w:p>
      <w:pPr>
        <w:spacing w:after="0" w:line="302"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4"/>
          <w:szCs w:val="14"/>
          <w:color w:val="auto"/>
        </w:rPr>
        <w:t>10.10^</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28" w:lineRule="exact"/>
        <w:rPr>
          <w:rFonts w:ascii="Arial" w:cs="Arial" w:eastAsia="Arial" w:hAnsi="Arial"/>
          <w:sz w:val="15"/>
          <w:szCs w:val="15"/>
          <w:u w:val="single" w:color="auto"/>
          <w:color w:val="0000FF"/>
        </w:rPr>
      </w:pPr>
    </w:p>
    <w:p>
      <w:pPr>
        <w:ind w:right="40"/>
        <w:spacing w:after="0" w:line="235" w:lineRule="auto"/>
        <w:rPr>
          <w:rFonts w:ascii="Arial" w:cs="Arial" w:eastAsia="Arial" w:hAnsi="Arial"/>
          <w:sz w:val="15"/>
          <w:szCs w:val="15"/>
          <w:u w:val="single" w:color="auto"/>
          <w:color w:val="0000FF"/>
        </w:rPr>
      </w:pPr>
      <w:hyperlink r:id="rId232">
        <w:r>
          <w:rPr>
            <w:rFonts w:ascii="Arial" w:cs="Arial" w:eastAsia="Arial" w:hAnsi="Arial"/>
            <w:sz w:val="15"/>
            <w:szCs w:val="15"/>
            <w:u w:val="single" w:color="auto"/>
            <w:color w:val="0000FF"/>
          </w:rPr>
          <w:t>Sixth Amendment to Amended and Restated Credit Agreement, effective as of</w:t>
        </w:r>
      </w:hyperlink>
      <w:r>
        <w:rPr>
          <w:rFonts w:ascii="Arial" w:cs="Arial" w:eastAsia="Arial" w:hAnsi="Arial"/>
          <w:sz w:val="15"/>
          <w:szCs w:val="15"/>
          <w:u w:val="single" w:color="auto"/>
          <w:color w:val="0000FF"/>
        </w:rPr>
        <w:t xml:space="preserve"> </w:t>
      </w:r>
      <w:hyperlink r:id="rId232">
        <w:r>
          <w:rPr>
            <w:rFonts w:ascii="Arial" w:cs="Arial" w:eastAsia="Arial" w:hAnsi="Arial"/>
            <w:sz w:val="15"/>
            <w:szCs w:val="15"/>
            <w:u w:val="single" w:color="auto"/>
            <w:color w:val="0000FF"/>
          </w:rPr>
          <w:t>November 30, 2021, by and among Clearway Energy Operating LLC,</w:t>
        </w:r>
      </w:hyperlink>
      <w:r>
        <w:rPr>
          <w:rFonts w:ascii="Arial" w:cs="Arial" w:eastAsia="Arial" w:hAnsi="Arial"/>
          <w:sz w:val="15"/>
          <w:szCs w:val="15"/>
          <w:u w:val="single" w:color="auto"/>
          <w:color w:val="0000FF"/>
        </w:rPr>
        <w:t xml:space="preserve"> </w:t>
      </w:r>
      <w:hyperlink r:id="rId232">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32">
        <w:r>
          <w:rPr>
            <w:rFonts w:ascii="Arial" w:cs="Arial" w:eastAsia="Arial" w:hAnsi="Arial"/>
            <w:sz w:val="15"/>
            <w:szCs w:val="15"/>
            <w:u w:val="single" w:color="auto"/>
            <w:color w:val="0000FF"/>
          </w:rPr>
          <w:t>N.A., as administrative agent, and the lenders party thereto.</w:t>
        </w:r>
      </w:hyperlink>
    </w:p>
    <w:p>
      <w:pPr>
        <w:spacing w:after="0" w:line="103" w:lineRule="exact"/>
        <w:rPr>
          <w:rFonts w:ascii="Arial" w:cs="Arial" w:eastAsia="Arial" w:hAnsi="Arial"/>
          <w:sz w:val="15"/>
          <w:szCs w:val="15"/>
          <w:u w:val="single" w:color="auto"/>
          <w:color w:val="0000FF"/>
        </w:rPr>
      </w:pPr>
    </w:p>
    <w:p>
      <w:pPr>
        <w:ind w:right="120"/>
        <w:spacing w:after="0" w:line="234" w:lineRule="auto"/>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Amended and Restated Limited Liability Company Agreement of NRG RPV</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Holdco 1 LLC, dated as of April 9, 2015.</w:t>
        </w:r>
      </w:hyperlink>
    </w:p>
    <w:p>
      <w:pPr>
        <w:spacing w:after="0" w:line="182" w:lineRule="exact"/>
        <w:rPr>
          <w:sz w:val="20"/>
          <w:szCs w:val="20"/>
          <w:color w:val="auto"/>
        </w:rPr>
      </w:pPr>
    </w:p>
    <w:p>
      <w:pPr>
        <w:spacing w:after="0" w:line="234" w:lineRule="auto"/>
        <w:rPr>
          <w:rFonts w:ascii="Arial" w:cs="Arial" w:eastAsia="Arial" w:hAnsi="Arial"/>
          <w:sz w:val="16"/>
          <w:szCs w:val="16"/>
          <w:u w:val="single" w:color="auto"/>
          <w:color w:val="0000FF"/>
        </w:rPr>
      </w:pPr>
      <w:hyperlink r:id="rId234">
        <w:r>
          <w:rPr>
            <w:rFonts w:ascii="Arial" w:cs="Arial" w:eastAsia="Arial" w:hAnsi="Arial"/>
            <w:sz w:val="16"/>
            <w:szCs w:val="16"/>
            <w:u w:val="single" w:color="auto"/>
            <w:color w:val="0000FF"/>
          </w:rPr>
          <w:t>Amended and Restated Limited Liability Company Agreement of NRG DGPV</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Holdco 1 LLC, dated as of May 8, 2015.</w:t>
        </w:r>
      </w:hyperlink>
    </w:p>
    <w:p>
      <w:pPr>
        <w:spacing w:after="0" w:line="90" w:lineRule="exact"/>
        <w:rPr>
          <w:sz w:val="20"/>
          <w:szCs w:val="20"/>
          <w:color w:val="auto"/>
        </w:rPr>
      </w:pPr>
    </w:p>
    <w:p>
      <w:pPr>
        <w:ind w:right="80"/>
        <w:spacing w:after="0" w:line="220" w:lineRule="auto"/>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Amendment No. 1 to Amended and Restated Limited Liability Company</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Agreement of NRG RPV Holdco 1 LLC, dated as of March 1, 2016, by and</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between NRG Yield RPV Holding LLC and NRG Residential Solar Solutions</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LLC.</w:t>
        </w:r>
      </w:hyperlink>
    </w:p>
    <w:p>
      <w:pPr>
        <w:spacing w:after="0" w:line="104" w:lineRule="exact"/>
        <w:rPr>
          <w:rFonts w:ascii="Arial" w:cs="Arial" w:eastAsia="Arial" w:hAnsi="Arial"/>
          <w:sz w:val="16"/>
          <w:szCs w:val="16"/>
          <w:u w:val="single" w:color="auto"/>
          <w:color w:val="0000FF"/>
        </w:rPr>
      </w:pPr>
    </w:p>
    <w:p>
      <w:pPr>
        <w:ind w:right="80"/>
        <w:spacing w:after="0" w:line="220" w:lineRule="auto"/>
        <w:rPr>
          <w:rFonts w:ascii="Arial" w:cs="Arial" w:eastAsia="Arial" w:hAnsi="Arial"/>
          <w:sz w:val="16"/>
          <w:szCs w:val="16"/>
          <w:u w:val="single" w:color="auto"/>
          <w:color w:val="0000FF"/>
        </w:rPr>
      </w:pPr>
      <w:hyperlink r:id="rId236">
        <w:r>
          <w:rPr>
            <w:rFonts w:ascii="Arial" w:cs="Arial" w:eastAsia="Arial" w:hAnsi="Arial"/>
            <w:sz w:val="16"/>
            <w:szCs w:val="16"/>
            <w:u w:val="single" w:color="auto"/>
            <w:color w:val="0000FF"/>
          </w:rPr>
          <w:t>Amendment No. 2 to Amended and Restated Limited Liability Company</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Agreement of NRG DGPV Holdco 1 LLC, dated as of March 1, 2016, by and</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among NRG Yield DGPV Holding LLC, NRG Renew DG Holdings LLC and</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NRG Renew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8" w:lineRule="exact"/>
        <w:rPr>
          <w:rFonts w:ascii="Arial" w:cs="Arial" w:eastAsia="Arial" w:hAnsi="Arial"/>
          <w:sz w:val="16"/>
          <w:szCs w:val="16"/>
          <w:u w:val="single" w:color="auto"/>
          <w:color w:val="0000FF"/>
        </w:rPr>
      </w:pP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1, 2021.</w:t>
      </w:r>
    </w:p>
    <w:p>
      <w:pPr>
        <w:spacing w:after="0" w:line="168" w:lineRule="exact"/>
        <w:rPr>
          <w:rFonts w:ascii="Arial" w:cs="Arial" w:eastAsia="Arial" w:hAnsi="Arial"/>
          <w:sz w:val="16"/>
          <w:szCs w:val="16"/>
          <w:u w:val="single" w:color="auto"/>
          <w:color w:val="0000FF"/>
        </w:rPr>
      </w:pPr>
    </w:p>
    <w:p>
      <w:pPr>
        <w:ind w:right="519"/>
        <w:spacing w:after="0" w:line="225"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4, 2015.</w:t>
      </w:r>
    </w:p>
    <w:p>
      <w:pPr>
        <w:spacing w:after="0" w:line="23" w:lineRule="exact"/>
        <w:rPr>
          <w:rFonts w:ascii="Arial" w:cs="Arial" w:eastAsia="Arial" w:hAnsi="Arial"/>
          <w:sz w:val="16"/>
          <w:szCs w:val="16"/>
          <w:u w:val="single" w:color="auto"/>
          <w:color w:val="0000FF"/>
        </w:rPr>
      </w:pPr>
    </w:p>
    <w:p>
      <w:pPr>
        <w:ind w:right="519"/>
        <w:spacing w:after="0" w:line="225"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August 4, 2015.</w:t>
      </w:r>
    </w:p>
    <w:p>
      <w:pPr>
        <w:spacing w:after="0" w:line="23" w:lineRule="exact"/>
        <w:rPr>
          <w:rFonts w:ascii="Arial" w:cs="Arial" w:eastAsia="Arial" w:hAnsi="Arial"/>
          <w:sz w:val="16"/>
          <w:szCs w:val="16"/>
          <w:u w:val="single" w:color="auto"/>
          <w:color w:val="0000FF"/>
        </w:rPr>
      </w:pPr>
    </w:p>
    <w:p>
      <w:pPr>
        <w:ind w:right="519"/>
        <w:spacing w:after="0" w:line="225"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May 5, 2016.</w:t>
      </w:r>
    </w:p>
    <w:p>
      <w:pPr>
        <w:spacing w:after="0" w:line="168" w:lineRule="exact"/>
        <w:rPr>
          <w:rFonts w:ascii="Arial" w:cs="Arial" w:eastAsia="Arial" w:hAnsi="Arial"/>
          <w:sz w:val="16"/>
          <w:szCs w:val="16"/>
          <w:u w:val="single" w:color="auto"/>
          <w:color w:val="0000FF"/>
        </w:rPr>
      </w:pPr>
    </w:p>
    <w:p>
      <w:pPr>
        <w:ind w:right="519"/>
        <w:spacing w:after="0" w:line="225"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May 5, 2016.</w:t>
      </w:r>
    </w:p>
    <w:p>
      <w:pPr>
        <w:spacing w:after="0" w:line="339" w:lineRule="exact"/>
        <w:rPr>
          <w:rFonts w:ascii="Arial" w:cs="Arial" w:eastAsia="Arial" w:hAnsi="Arial"/>
          <w:sz w:val="16"/>
          <w:szCs w:val="16"/>
          <w:u w:val="single" w:color="auto"/>
          <w:color w:val="0000FF"/>
        </w:rPr>
      </w:pPr>
    </w:p>
    <w:p>
      <w:pPr>
        <w:sectPr>
          <w:pgSz w:w="11900" w:h="16838" w:orient="portrait"/>
          <w:cols w:equalWidth="0" w:num="3">
            <w:col w:w="440" w:space="440"/>
            <w:col w:w="5020" w:space="140"/>
            <w:col w:w="4079"/>
          </w:cols>
          <w:pgMar w:left="340" w:top="921" w:right="1440" w:bottom="1440" w:gutter="0" w:footer="0" w:header="0"/>
          <w:type w:val="continuous"/>
        </w:sectPr>
      </w:pPr>
    </w:p>
    <w:p>
      <w:pPr>
        <w:spacing w:after="0"/>
        <w:rPr>
          <w:sz w:val="20"/>
          <w:szCs w:val="20"/>
          <w:color w:val="auto"/>
        </w:rPr>
      </w:pPr>
      <w:r>
        <w:rPr>
          <w:rFonts w:ascii="Arial" w:cs="Arial" w:eastAsia="Arial" w:hAnsi="Arial"/>
          <w:sz w:val="14"/>
          <w:szCs w:val="14"/>
          <w:color w:val="auto"/>
        </w:rPr>
        <w:t>10.11^</w:t>
      </w:r>
    </w:p>
    <w:p>
      <w:pPr>
        <w:spacing w:after="0" w:line="200" w:lineRule="exact"/>
        <w:rPr>
          <w:rFonts w:ascii="Arial" w:cs="Arial" w:eastAsia="Arial" w:hAnsi="Arial"/>
          <w:sz w:val="16"/>
          <w:szCs w:val="16"/>
          <w:u w:val="single" w:color="auto"/>
          <w:color w:val="0000FF"/>
        </w:rPr>
      </w:pPr>
    </w:p>
    <w:p>
      <w:pPr>
        <w:spacing w:after="0" w:line="33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10.12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57"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5080" w:type="dxa"/>
            <w:vAlign w:val="bottom"/>
            <w:gridSpan w:val="8"/>
          </w:tcPr>
          <w:p>
            <w:pPr>
              <w:spacing w:after="0"/>
              <w:rPr>
                <w:rFonts w:ascii="Arial" w:cs="Arial" w:eastAsia="Arial" w:hAnsi="Arial"/>
                <w:sz w:val="16"/>
                <w:szCs w:val="16"/>
                <w:color w:val="0000FF"/>
                <w:w w:val="92"/>
              </w:rPr>
            </w:pPr>
            <w:hyperlink r:id="rId237">
              <w:r>
                <w:rPr>
                  <w:rFonts w:ascii="Arial" w:cs="Arial" w:eastAsia="Arial" w:hAnsi="Arial"/>
                  <w:sz w:val="16"/>
                  <w:szCs w:val="16"/>
                  <w:color w:val="0000FF"/>
                  <w:w w:val="92"/>
                </w:rPr>
                <w:t>Amended and Restated Limited Liability Company Agreement of NRG DGPV</w:t>
              </w:r>
            </w:hyperlink>
          </w:p>
        </w:tc>
        <w:tc>
          <w:tcPr>
            <w:tcW w:w="3680" w:type="dxa"/>
            <w:vAlign w:val="bottom"/>
          </w:tcPr>
          <w:p>
            <w:pPr>
              <w:ind w:left="80"/>
              <w:spacing w:after="0"/>
              <w:rPr>
                <w:sz w:val="20"/>
                <w:szCs w:val="20"/>
                <w:color w:val="auto"/>
              </w:rPr>
            </w:pPr>
            <w:r>
              <w:rPr>
                <w:rFonts w:ascii="Arial" w:cs="Arial" w:eastAsia="Arial" w:hAnsi="Arial"/>
                <w:sz w:val="16"/>
                <w:szCs w:val="16"/>
                <w:color w:val="auto"/>
              </w:rPr>
              <w:t>Incorporated herein by reference to Exhibit 10.3 to</w:t>
            </w:r>
          </w:p>
        </w:tc>
        <w:tc>
          <w:tcPr>
            <w:tcW w:w="0" w:type="dxa"/>
            <w:vAlign w:val="bottom"/>
          </w:tcPr>
          <w:p>
            <w:pPr>
              <w:spacing w:after="0"/>
              <w:rPr>
                <w:sz w:val="1"/>
                <w:szCs w:val="1"/>
                <w:color w:val="auto"/>
              </w:rPr>
            </w:pPr>
          </w:p>
        </w:tc>
      </w:tr>
      <w:tr>
        <w:trPr>
          <w:trHeight w:val="138"/>
        </w:trPr>
        <w:tc>
          <w:tcPr>
            <w:tcW w:w="5020" w:type="dxa"/>
            <w:vAlign w:val="bottom"/>
            <w:tcBorders>
              <w:top w:val="single" w:sz="8" w:color="0000FF"/>
            </w:tcBorders>
            <w:gridSpan w:val="7"/>
          </w:tcPr>
          <w:p>
            <w:pPr>
              <w:spacing w:after="0" w:line="138" w:lineRule="exact"/>
              <w:rPr>
                <w:rFonts w:ascii="Arial" w:cs="Arial" w:eastAsia="Arial" w:hAnsi="Arial"/>
                <w:sz w:val="16"/>
                <w:szCs w:val="16"/>
                <w:color w:val="0000FF"/>
                <w:w w:val="94"/>
              </w:rPr>
            </w:pPr>
            <w:hyperlink r:id="rId237">
              <w:r>
                <w:rPr>
                  <w:rFonts w:ascii="Arial" w:cs="Arial" w:eastAsia="Arial" w:hAnsi="Arial"/>
                  <w:sz w:val="16"/>
                  <w:szCs w:val="16"/>
                  <w:color w:val="0000FF"/>
                  <w:w w:val="94"/>
                </w:rPr>
                <w:t>Holdco 2 LLC, dated as of March 1, 2016, by and among NRG Yield DGPV</w:t>
              </w:r>
            </w:hyperlink>
          </w:p>
        </w:tc>
        <w:tc>
          <w:tcPr>
            <w:tcW w:w="60" w:type="dxa"/>
            <w:vAlign w:val="bottom"/>
          </w:tcPr>
          <w:p>
            <w:pPr>
              <w:spacing w:after="0"/>
              <w:rPr>
                <w:sz w:val="12"/>
                <w:szCs w:val="12"/>
                <w:color w:val="auto"/>
              </w:rPr>
            </w:pPr>
          </w:p>
        </w:tc>
        <w:tc>
          <w:tcPr>
            <w:tcW w:w="3680" w:type="dxa"/>
            <w:vAlign w:val="bottom"/>
          </w:tcPr>
          <w:p>
            <w:pPr>
              <w:ind w:left="80"/>
              <w:spacing w:after="0" w:line="138" w:lineRule="exact"/>
              <w:rPr>
                <w:sz w:val="20"/>
                <w:szCs w:val="20"/>
                <w:color w:val="auto"/>
              </w:rPr>
            </w:pPr>
            <w:r>
              <w:rPr>
                <w:rFonts w:ascii="Arial" w:cs="Arial" w:eastAsia="Arial" w:hAnsi="Arial"/>
                <w:sz w:val="16"/>
                <w:szCs w:val="16"/>
                <w:color w:val="auto"/>
                <w:w w:val="90"/>
              </w:rPr>
              <w:t>Clearway Energy, Inc.'s Quarterly Report on Form 10-Q</w:t>
            </w:r>
          </w:p>
        </w:tc>
        <w:tc>
          <w:tcPr>
            <w:tcW w:w="0" w:type="dxa"/>
            <w:vAlign w:val="bottom"/>
          </w:tcPr>
          <w:p>
            <w:pPr>
              <w:spacing w:after="0"/>
              <w:rPr>
                <w:sz w:val="1"/>
                <w:szCs w:val="1"/>
                <w:color w:val="auto"/>
              </w:rPr>
            </w:pPr>
          </w:p>
        </w:tc>
      </w:tr>
      <w:tr>
        <w:trPr>
          <w:trHeight w:val="138"/>
        </w:trPr>
        <w:tc>
          <w:tcPr>
            <w:tcW w:w="4860" w:type="dxa"/>
            <w:vAlign w:val="bottom"/>
            <w:tcBorders>
              <w:top w:val="single" w:sz="8" w:color="0000FF"/>
            </w:tcBorders>
            <w:gridSpan w:val="5"/>
          </w:tcPr>
          <w:p>
            <w:pPr>
              <w:spacing w:after="0" w:line="138" w:lineRule="exact"/>
              <w:rPr>
                <w:rFonts w:ascii="Arial" w:cs="Arial" w:eastAsia="Arial" w:hAnsi="Arial"/>
                <w:sz w:val="16"/>
                <w:szCs w:val="16"/>
                <w:color w:val="0000FF"/>
              </w:rPr>
            </w:pPr>
            <w:hyperlink r:id="rId237">
              <w:r>
                <w:rPr>
                  <w:rFonts w:ascii="Arial" w:cs="Arial" w:eastAsia="Arial" w:hAnsi="Arial"/>
                  <w:sz w:val="16"/>
                  <w:szCs w:val="16"/>
                  <w:color w:val="0000FF"/>
                </w:rPr>
                <w:t>Holding LLC, NRG Renew DG Holdings LLC, and NRG Renew LLC.</w:t>
              </w:r>
            </w:hyperlink>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3680" w:type="dxa"/>
            <w:vAlign w:val="bottom"/>
          </w:tcPr>
          <w:p>
            <w:pPr>
              <w:ind w:left="80"/>
              <w:spacing w:after="0" w:line="138" w:lineRule="exact"/>
              <w:rPr>
                <w:sz w:val="20"/>
                <w:szCs w:val="20"/>
                <w:color w:val="auto"/>
              </w:rPr>
            </w:pPr>
            <w:r>
              <w:rPr>
                <w:rFonts w:ascii="Arial" w:cs="Arial" w:eastAsia="Arial" w:hAnsi="Arial"/>
                <w:sz w:val="16"/>
                <w:szCs w:val="16"/>
                <w:color w:val="auto"/>
              </w:rPr>
              <w:t>filed on May 5, 2016.</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vMerge w:val="restart"/>
          </w:tcPr>
          <w:p>
            <w:pPr>
              <w:ind w:left="80"/>
              <w:spacing w:after="0"/>
              <w:rPr>
                <w:sz w:val="20"/>
                <w:szCs w:val="20"/>
                <w:color w:val="auto"/>
              </w:rPr>
            </w:pPr>
            <w:r>
              <w:rPr>
                <w:rFonts w:ascii="Arial" w:cs="Arial" w:eastAsia="Arial" w:hAnsi="Arial"/>
                <w:sz w:val="16"/>
                <w:szCs w:val="16"/>
                <w:color w:val="auto"/>
              </w:rPr>
              <w:t>Incorporated herein by reference to Exhibit 10.1 to</w:t>
            </w:r>
          </w:p>
        </w:tc>
        <w:tc>
          <w:tcPr>
            <w:tcW w:w="0" w:type="dxa"/>
            <w:vAlign w:val="bottom"/>
          </w:tcPr>
          <w:p>
            <w:pPr>
              <w:spacing w:after="0" w:line="20" w:lineRule="exact"/>
              <w:rPr>
                <w:sz w:val="1"/>
                <w:szCs w:val="1"/>
                <w:color w:val="auto"/>
              </w:rPr>
            </w:pPr>
          </w:p>
        </w:tc>
      </w:tr>
      <w:tr>
        <w:trPr>
          <w:trHeight w:val="260"/>
        </w:trPr>
        <w:tc>
          <w:tcPr>
            <w:tcW w:w="4640" w:type="dxa"/>
            <w:vAlign w:val="bottom"/>
            <w:gridSpan w:val="3"/>
            <w:vMerge w:val="restart"/>
          </w:tcPr>
          <w:p>
            <w:pPr>
              <w:spacing w:after="0"/>
              <w:rPr>
                <w:rFonts w:ascii="Arial" w:cs="Arial" w:eastAsia="Arial" w:hAnsi="Arial"/>
                <w:sz w:val="16"/>
                <w:szCs w:val="16"/>
                <w:color w:val="0000FF"/>
                <w:w w:val="91"/>
              </w:rPr>
            </w:pPr>
            <w:hyperlink r:id="rId238">
              <w:r>
                <w:rPr>
                  <w:rFonts w:ascii="Arial" w:cs="Arial" w:eastAsia="Arial" w:hAnsi="Arial"/>
                  <w:sz w:val="16"/>
                  <w:szCs w:val="16"/>
                  <w:color w:val="0000FF"/>
                  <w:w w:val="91"/>
                </w:rPr>
                <w:t>Amendment No. 2 to Amended and Restated Limited Liability Company</w:t>
              </w:r>
            </w:hyperlink>
          </w:p>
        </w:tc>
        <w:tc>
          <w:tcPr>
            <w:tcW w:w="440" w:type="dxa"/>
            <w:vAlign w:val="bottom"/>
            <w:gridSpan w:val="5"/>
            <w:vMerge w:val="restart"/>
          </w:tcPr>
          <w:p>
            <w:pPr>
              <w:spacing w:after="0"/>
              <w:rPr>
                <w:sz w:val="22"/>
                <w:szCs w:val="22"/>
                <w:color w:val="auto"/>
              </w:rPr>
            </w:pPr>
          </w:p>
        </w:tc>
        <w:tc>
          <w:tcPr>
            <w:tcW w:w="3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4640" w:type="dxa"/>
            <w:vAlign w:val="bottom"/>
            <w:tcBorders>
              <w:bottom w:val="single" w:sz="8" w:color="0000FF"/>
            </w:tcBorders>
            <w:gridSpan w:val="3"/>
            <w:vMerge w:val="continue"/>
          </w:tcPr>
          <w:p>
            <w:pPr>
              <w:spacing w:after="0"/>
              <w:rPr>
                <w:sz w:val="8"/>
                <w:szCs w:val="8"/>
                <w:color w:val="auto"/>
              </w:rPr>
            </w:pPr>
          </w:p>
        </w:tc>
        <w:tc>
          <w:tcPr>
            <w:tcW w:w="440" w:type="dxa"/>
            <w:vAlign w:val="bottom"/>
            <w:gridSpan w:val="5"/>
            <w:vMerge w:val="continue"/>
          </w:tcPr>
          <w:p>
            <w:pPr>
              <w:spacing w:after="0"/>
              <w:rPr>
                <w:sz w:val="8"/>
                <w:szCs w:val="8"/>
                <w:color w:val="auto"/>
              </w:rPr>
            </w:pPr>
          </w:p>
        </w:tc>
        <w:tc>
          <w:tcPr>
            <w:tcW w:w="3680" w:type="dxa"/>
            <w:vAlign w:val="bottom"/>
            <w:vMerge w:val="restart"/>
          </w:tcPr>
          <w:p>
            <w:pPr>
              <w:ind w:left="80"/>
              <w:spacing w:after="0" w:line="158" w:lineRule="exact"/>
              <w:rPr>
                <w:sz w:val="20"/>
                <w:szCs w:val="20"/>
                <w:color w:val="auto"/>
              </w:rPr>
            </w:pPr>
            <w:r>
              <w:rPr>
                <w:rFonts w:ascii="Arial" w:cs="Arial" w:eastAsia="Arial" w:hAnsi="Arial"/>
                <w:sz w:val="16"/>
                <w:szCs w:val="16"/>
                <w:color w:val="auto"/>
                <w:w w:val="89"/>
              </w:rPr>
              <w:t>Clearway Energy, Inc.'s Quarterly Report on Form 10-Q,</w:t>
            </w:r>
          </w:p>
        </w:tc>
        <w:tc>
          <w:tcPr>
            <w:tcW w:w="0" w:type="dxa"/>
            <w:vAlign w:val="bottom"/>
          </w:tcPr>
          <w:p>
            <w:pPr>
              <w:spacing w:after="0"/>
              <w:rPr>
                <w:sz w:val="1"/>
                <w:szCs w:val="1"/>
                <w:color w:val="auto"/>
              </w:rPr>
            </w:pPr>
          </w:p>
        </w:tc>
      </w:tr>
      <w:tr>
        <w:trPr>
          <w:trHeight w:val="36"/>
        </w:trPr>
        <w:tc>
          <w:tcPr>
            <w:tcW w:w="5080" w:type="dxa"/>
            <w:vAlign w:val="bottom"/>
            <w:gridSpan w:val="8"/>
            <w:vMerge w:val="restart"/>
          </w:tcPr>
          <w:p>
            <w:pPr>
              <w:spacing w:after="0" w:line="138" w:lineRule="exact"/>
              <w:rPr>
                <w:rFonts w:ascii="Arial" w:cs="Arial" w:eastAsia="Arial" w:hAnsi="Arial"/>
                <w:sz w:val="16"/>
                <w:szCs w:val="16"/>
                <w:color w:val="0000FF"/>
                <w:w w:val="95"/>
              </w:rPr>
            </w:pPr>
            <w:hyperlink r:id="rId238">
              <w:r>
                <w:rPr>
                  <w:rFonts w:ascii="Arial" w:cs="Arial" w:eastAsia="Arial" w:hAnsi="Arial"/>
                  <w:sz w:val="16"/>
                  <w:szCs w:val="16"/>
                  <w:color w:val="0000FF"/>
                  <w:w w:val="95"/>
                </w:rPr>
                <w:t>Agreement of NRG RPV Holdco 1 LLC, dated as of August 5, 2016, by and</w:t>
              </w:r>
            </w:hyperlink>
          </w:p>
        </w:tc>
        <w:tc>
          <w:tcPr>
            <w:tcW w:w="3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5080" w:type="dxa"/>
            <w:vAlign w:val="bottom"/>
            <w:gridSpan w:val="8"/>
            <w:vMerge w:val="continue"/>
          </w:tcPr>
          <w:p>
            <w:pPr>
              <w:spacing w:after="0"/>
              <w:rPr>
                <w:sz w:val="8"/>
                <w:szCs w:val="8"/>
                <w:color w:val="auto"/>
              </w:rPr>
            </w:pPr>
          </w:p>
        </w:tc>
        <w:tc>
          <w:tcPr>
            <w:tcW w:w="3680" w:type="dxa"/>
            <w:vAlign w:val="bottom"/>
            <w:vMerge w:val="restart"/>
          </w:tcPr>
          <w:p>
            <w:pPr>
              <w:ind w:left="80"/>
              <w:spacing w:after="0"/>
              <w:rPr>
                <w:sz w:val="20"/>
                <w:szCs w:val="20"/>
                <w:color w:val="auto"/>
              </w:rPr>
            </w:pPr>
            <w:r>
              <w:rPr>
                <w:rFonts w:ascii="Arial" w:cs="Arial" w:eastAsia="Arial" w:hAnsi="Arial"/>
                <w:sz w:val="16"/>
                <w:szCs w:val="16"/>
                <w:color w:val="auto"/>
              </w:rPr>
              <w:t>filed on August 9, 2016.</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080" w:type="dxa"/>
            <w:vAlign w:val="bottom"/>
            <w:gridSpan w:val="8"/>
            <w:vMerge w:val="restart"/>
          </w:tcPr>
          <w:p>
            <w:pPr>
              <w:spacing w:after="0" w:line="138" w:lineRule="exact"/>
              <w:rPr>
                <w:rFonts w:ascii="Arial" w:cs="Arial" w:eastAsia="Arial" w:hAnsi="Arial"/>
                <w:sz w:val="16"/>
                <w:szCs w:val="16"/>
                <w:color w:val="0000FF"/>
                <w:w w:val="94"/>
              </w:rPr>
            </w:pPr>
            <w:hyperlink r:id="rId238">
              <w:r>
                <w:rPr>
                  <w:rFonts w:ascii="Arial" w:cs="Arial" w:eastAsia="Arial" w:hAnsi="Arial"/>
                  <w:sz w:val="16"/>
                  <w:szCs w:val="16"/>
                  <w:color w:val="0000FF"/>
                  <w:w w:val="94"/>
                </w:rPr>
                <w:t>between NRG Yield RPV Holding LLC and NRG Residential Solar Solutions</w:t>
              </w:r>
            </w:hyperlink>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5080" w:type="dxa"/>
            <w:vAlign w:val="bottom"/>
            <w:gridSpan w:val="8"/>
            <w:vMerge w:val="continue"/>
          </w:tcPr>
          <w:p>
            <w:pPr>
              <w:spacing w:after="0"/>
              <w:rPr>
                <w:sz w:val="5"/>
                <w:szCs w:val="5"/>
                <w:color w:val="auto"/>
              </w:rPr>
            </w:pPr>
          </w:p>
        </w:tc>
        <w:tc>
          <w:tcPr>
            <w:tcW w:w="3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4940" w:type="dxa"/>
            <w:vAlign w:val="bottom"/>
            <w:tcBorders>
              <w:top w:val="single" w:sz="8" w:color="0000FF"/>
            </w:tcBorders>
            <w:gridSpan w:val="6"/>
          </w:tcPr>
          <w:p>
            <w:pPr>
              <w:spacing w:after="0" w:line="138" w:lineRule="exact"/>
              <w:rPr>
                <w:rFonts w:ascii="Arial" w:cs="Arial" w:eastAsia="Arial" w:hAnsi="Arial"/>
                <w:sz w:val="16"/>
                <w:szCs w:val="16"/>
                <w:color w:val="0000FF"/>
              </w:rPr>
            </w:pPr>
            <w:hyperlink r:id="rId238">
              <w:r>
                <w:rPr>
                  <w:rFonts w:ascii="Arial" w:cs="Arial" w:eastAsia="Arial" w:hAnsi="Arial"/>
                  <w:sz w:val="16"/>
                  <w:szCs w:val="16"/>
                  <w:color w:val="0000FF"/>
                </w:rPr>
                <w:t>LLC.</w:t>
              </w:r>
            </w:hyperlink>
          </w:p>
        </w:tc>
        <w:tc>
          <w:tcPr>
            <w:tcW w:w="140" w:type="dxa"/>
            <w:vAlign w:val="bottom"/>
            <w:gridSpan w:val="2"/>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2">
            <w:col w:w="420" w:space="460"/>
            <w:col w:w="9239"/>
          </w:cols>
          <w:pgMar w:left="340" w:top="92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10.13</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10.18*^</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10.19*^</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10.20*^</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80"/>
        <w:spacing w:after="0" w:line="225" w:lineRule="auto"/>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Assignment and Assumption Agreement, effective as of February 26, 2019,</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among Clearway Energy Operating LLC and GIP III Zephyr Carlsbad</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Holdings, LLC.</w:t>
        </w:r>
      </w:hyperlink>
    </w:p>
    <w:p>
      <w:pPr>
        <w:spacing w:after="0" w:line="89" w:lineRule="exact"/>
        <w:rPr>
          <w:rFonts w:ascii="Arial" w:cs="Arial" w:eastAsia="Arial" w:hAnsi="Arial"/>
          <w:sz w:val="16"/>
          <w:szCs w:val="16"/>
          <w:u w:val="single" w:color="auto"/>
          <w:color w:val="0000FF"/>
        </w:rPr>
      </w:pPr>
    </w:p>
    <w:p>
      <w:pPr>
        <w:spacing w:after="0" w:line="220" w:lineRule="auto"/>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Amended and Restated Exchange Agreement, dated as of May 14, 2015, by</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and among NRG Energy, Inc., NRG Yield, Inc., and NRG Yield LLC and,</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pursuant to a joinder thereto, dated as of August 31, 2018, Zephyr Renewables</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LLC.</w:t>
        </w:r>
      </w:hyperlink>
    </w:p>
    <w:p>
      <w:pPr>
        <w:spacing w:after="0" w:line="11"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Clearway Energy, Inc. Involuntary Severance Plan.</w:t>
        </w:r>
      </w:hyperlink>
    </w:p>
    <w:p>
      <w:pPr>
        <w:spacing w:after="0" w:line="344" w:lineRule="exact"/>
        <w:rPr>
          <w:rFonts w:ascii="Arial" w:cs="Arial" w:eastAsia="Arial" w:hAnsi="Arial"/>
          <w:sz w:val="16"/>
          <w:szCs w:val="16"/>
          <w:u w:val="single" w:color="auto"/>
          <w:color w:val="0000FF"/>
        </w:rPr>
      </w:pPr>
    </w:p>
    <w:p>
      <w:pPr>
        <w:ind w:right="160"/>
        <w:spacing w:after="0" w:line="234" w:lineRule="auto"/>
        <w:rPr>
          <w:rFonts w:ascii="Arial" w:cs="Arial" w:eastAsia="Arial" w:hAnsi="Arial"/>
          <w:sz w:val="16"/>
          <w:szCs w:val="16"/>
          <w:u w:val="single" w:color="auto"/>
          <w:color w:val="0000FF"/>
        </w:rPr>
      </w:pPr>
      <w:hyperlink r:id="rId242">
        <w:r>
          <w:rPr>
            <w:rFonts w:ascii="Arial" w:cs="Arial" w:eastAsia="Arial" w:hAnsi="Arial"/>
            <w:sz w:val="16"/>
            <w:szCs w:val="16"/>
            <w:u w:val="single" w:color="auto"/>
            <w:color w:val="0000FF"/>
          </w:rPr>
          <w:t>Clearway Energy, Inc. Executive Change-in-Control and General Severance</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Plan.</w:t>
        </w:r>
      </w:hyperlink>
    </w:p>
    <w:p>
      <w:pPr>
        <w:spacing w:after="0" w:line="208" w:lineRule="exact"/>
        <w:rPr>
          <w:sz w:val="20"/>
          <w:szCs w:val="20"/>
          <w:color w:val="auto"/>
        </w:rPr>
      </w:pPr>
    </w:p>
    <w:p>
      <w:pPr>
        <w:ind w:right="340"/>
        <w:spacing w:after="0" w:line="234" w:lineRule="auto"/>
        <w:rPr>
          <w:rFonts w:ascii="Arial" w:cs="Arial" w:eastAsia="Arial" w:hAnsi="Arial"/>
          <w:sz w:val="16"/>
          <w:szCs w:val="16"/>
          <w:u w:val="single" w:color="auto"/>
          <w:color w:val="0000FF"/>
        </w:rPr>
      </w:pPr>
      <w:hyperlink r:id="rId243">
        <w:r>
          <w:rPr>
            <w:rFonts w:ascii="Arial" w:cs="Arial" w:eastAsia="Arial" w:hAnsi="Arial"/>
            <w:sz w:val="16"/>
            <w:szCs w:val="16"/>
            <w:u w:val="single" w:color="auto"/>
            <w:color w:val="0000FF"/>
          </w:rPr>
          <w:t>Clearway Energy, Inc. Key Management Change-in-Control and General</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Severance Plan.</w:t>
        </w:r>
      </w:hyperlink>
    </w:p>
    <w:p>
      <w:pPr>
        <w:spacing w:after="0" w:line="208" w:lineRule="exact"/>
        <w:rPr>
          <w:sz w:val="20"/>
          <w:szCs w:val="20"/>
          <w:color w:val="auto"/>
        </w:rPr>
      </w:pPr>
    </w:p>
    <w:p>
      <w:pPr>
        <w:ind w:right="280"/>
        <w:spacing w:after="0" w:line="259" w:lineRule="auto"/>
        <w:rPr>
          <w:rFonts w:ascii="Arial" w:cs="Arial" w:eastAsia="Arial" w:hAnsi="Arial"/>
          <w:sz w:val="15"/>
          <w:szCs w:val="15"/>
          <w:u w:val="single" w:color="auto"/>
          <w:color w:val="0000FF"/>
        </w:rPr>
      </w:pPr>
      <w:hyperlink r:id="rId244">
        <w:r>
          <w:rPr>
            <w:rFonts w:ascii="Arial" w:cs="Arial" w:eastAsia="Arial" w:hAnsi="Arial"/>
            <w:sz w:val="15"/>
            <w:szCs w:val="15"/>
            <w:u w:val="single" w:color="auto"/>
            <w:color w:val="0000FF"/>
          </w:rPr>
          <w:t>Purchase and Sale Agreement, dated as of April 17, 2020, by and between</w:t>
        </w:r>
      </w:hyperlink>
      <w:r>
        <w:rPr>
          <w:rFonts w:ascii="Arial" w:cs="Arial" w:eastAsia="Arial" w:hAnsi="Arial"/>
          <w:sz w:val="15"/>
          <w:szCs w:val="15"/>
          <w:u w:val="single" w:color="auto"/>
          <w:color w:val="0000FF"/>
        </w:rPr>
        <w:t xml:space="preserve"> </w:t>
      </w:r>
      <w:hyperlink r:id="rId244">
        <w:r>
          <w:rPr>
            <w:rFonts w:ascii="Arial" w:cs="Arial" w:eastAsia="Arial" w:hAnsi="Arial"/>
            <w:sz w:val="15"/>
            <w:szCs w:val="15"/>
            <w:u w:val="single" w:color="auto"/>
            <w:color w:val="0000FF"/>
          </w:rPr>
          <w:t>Clearway Energy Operating LLC and Clearway Renew LLC.</w:t>
        </w:r>
      </w:hyperlink>
    </w:p>
    <w:p>
      <w:pPr>
        <w:spacing w:after="0" w:line="155" w:lineRule="exact"/>
        <w:rPr>
          <w:sz w:val="20"/>
          <w:szCs w:val="20"/>
          <w:color w:val="auto"/>
        </w:rPr>
      </w:pPr>
    </w:p>
    <w:p>
      <w:pPr>
        <w:jc w:val="both"/>
        <w:ind w:right="60"/>
        <w:spacing w:after="0" w:line="295" w:lineRule="auto"/>
        <w:rPr>
          <w:rFonts w:ascii="Arial" w:cs="Arial" w:eastAsia="Arial" w:hAnsi="Arial"/>
          <w:sz w:val="14"/>
          <w:szCs w:val="14"/>
          <w:u w:val="single" w:color="auto"/>
          <w:color w:val="0000FF"/>
        </w:rPr>
      </w:pPr>
      <w:hyperlink r:id="rId245">
        <w:r>
          <w:rPr>
            <w:rFonts w:ascii="Arial" w:cs="Arial" w:eastAsia="Arial" w:hAnsi="Arial"/>
            <w:sz w:val="14"/>
            <w:szCs w:val="14"/>
            <w:u w:val="single" w:color="auto"/>
            <w:color w:val="0000FF"/>
          </w:rPr>
          <w:t>Membership Interest Purchase Agreement, dated as of April 17, 2020, by and</w:t>
        </w:r>
      </w:hyperlink>
      <w:r>
        <w:rPr>
          <w:rFonts w:ascii="Arial" w:cs="Arial" w:eastAsia="Arial" w:hAnsi="Arial"/>
          <w:sz w:val="14"/>
          <w:szCs w:val="14"/>
          <w:u w:val="single" w:color="auto"/>
          <w:color w:val="0000FF"/>
        </w:rPr>
        <w:t xml:space="preserve"> </w:t>
      </w:r>
      <w:hyperlink r:id="rId245">
        <w:r>
          <w:rPr>
            <w:rFonts w:ascii="Arial" w:cs="Arial" w:eastAsia="Arial" w:hAnsi="Arial"/>
            <w:sz w:val="14"/>
            <w:szCs w:val="14"/>
            <w:u w:val="single" w:color="auto"/>
            <w:color w:val="0000FF"/>
          </w:rPr>
          <w:t>between Clearway Energy Operating LLC and SP Wind Holdings, LLC.</w:t>
        </w:r>
      </w:hyperlink>
    </w:p>
    <w:p>
      <w:pPr>
        <w:spacing w:after="0" w:line="132" w:lineRule="exact"/>
        <w:rPr>
          <w:sz w:val="20"/>
          <w:szCs w:val="20"/>
          <w:color w:val="auto"/>
        </w:rPr>
      </w:pPr>
    </w:p>
    <w:p>
      <w:pPr>
        <w:jc w:val="both"/>
        <w:ind w:right="60"/>
        <w:spacing w:after="0" w:line="295" w:lineRule="auto"/>
        <w:rPr>
          <w:rFonts w:ascii="Arial" w:cs="Arial" w:eastAsia="Arial" w:hAnsi="Arial"/>
          <w:sz w:val="14"/>
          <w:szCs w:val="14"/>
          <w:u w:val="single" w:color="auto"/>
          <w:color w:val="0000FF"/>
        </w:rPr>
      </w:pPr>
      <w:hyperlink r:id="rId246">
        <w:r>
          <w:rPr>
            <w:rFonts w:ascii="Arial" w:cs="Arial" w:eastAsia="Arial" w:hAnsi="Arial"/>
            <w:sz w:val="14"/>
            <w:szCs w:val="14"/>
            <w:u w:val="single" w:color="auto"/>
            <w:color w:val="0000FF"/>
          </w:rPr>
          <w:t>Membership Interest Purchase Agreement, dated as of April 17, 2020, by and</w:t>
        </w:r>
      </w:hyperlink>
      <w:r>
        <w:rPr>
          <w:rFonts w:ascii="Arial" w:cs="Arial" w:eastAsia="Arial" w:hAnsi="Arial"/>
          <w:sz w:val="14"/>
          <w:szCs w:val="14"/>
          <w:u w:val="single" w:color="auto"/>
          <w:color w:val="0000FF"/>
        </w:rPr>
        <w:t xml:space="preserve"> </w:t>
      </w:r>
      <w:hyperlink r:id="rId246">
        <w:r>
          <w:rPr>
            <w:rFonts w:ascii="Arial" w:cs="Arial" w:eastAsia="Arial" w:hAnsi="Arial"/>
            <w:sz w:val="14"/>
            <w:szCs w:val="14"/>
            <w:u w:val="single" w:color="auto"/>
            <w:color w:val="0000FF"/>
          </w:rPr>
          <w:t>between CWSP Wildorado Elbow Holding LLC and Wind TE Holdco LLC.</w:t>
        </w:r>
      </w:hyperlink>
    </w:p>
    <w:p>
      <w:pPr>
        <w:spacing w:after="0" w:line="132" w:lineRule="exact"/>
        <w:rPr>
          <w:sz w:val="20"/>
          <w:szCs w:val="20"/>
          <w:color w:val="auto"/>
        </w:rPr>
      </w:pPr>
    </w:p>
    <w:p>
      <w:pPr>
        <w:jc w:val="both"/>
        <w:ind w:right="60"/>
        <w:spacing w:after="0" w:line="225" w:lineRule="auto"/>
        <w:rPr>
          <w:rFonts w:ascii="Arial" w:cs="Arial" w:eastAsia="Arial" w:hAnsi="Arial"/>
          <w:sz w:val="16"/>
          <w:szCs w:val="16"/>
          <w:u w:val="single" w:color="auto"/>
          <w:color w:val="0000FF"/>
        </w:rPr>
      </w:pPr>
      <w:hyperlink r:id="rId247">
        <w:r>
          <w:rPr>
            <w:rFonts w:ascii="Arial" w:cs="Arial" w:eastAsia="Arial" w:hAnsi="Arial"/>
            <w:sz w:val="16"/>
            <w:szCs w:val="16"/>
            <w:u w:val="single" w:color="auto"/>
            <w:color w:val="0000FF"/>
          </w:rPr>
          <w:t>Fourth Amendment to Right of First Offer Agreement, dated as of November</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2, 2020, by and between Clearway Energy Group LLC and Clearway Energy,</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Inc.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2" w:lineRule="exact"/>
        <w:rPr>
          <w:rFonts w:ascii="Arial" w:cs="Arial" w:eastAsia="Arial" w:hAnsi="Arial"/>
          <w:sz w:val="16"/>
          <w:szCs w:val="16"/>
          <w:u w:val="single" w:color="auto"/>
          <w:color w:val="0000FF"/>
        </w:rPr>
      </w:pPr>
    </w:p>
    <w:p>
      <w:pPr>
        <w:ind w:right="559"/>
        <w:spacing w:after="0" w:line="225"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89" w:lineRule="exact"/>
        <w:rPr>
          <w:rFonts w:ascii="Arial" w:cs="Arial" w:eastAsia="Arial" w:hAnsi="Arial"/>
          <w:sz w:val="16"/>
          <w:szCs w:val="16"/>
          <w:u w:val="single" w:color="auto"/>
          <w:color w:val="0000FF"/>
        </w:rPr>
      </w:pPr>
    </w:p>
    <w:p>
      <w:pPr>
        <w:ind w:right="399"/>
        <w:spacing w:after="0" w:line="225"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May 15, 2015.</w:t>
      </w:r>
    </w:p>
    <w:p>
      <w:pPr>
        <w:spacing w:after="0" w:line="168" w:lineRule="exact"/>
        <w:rPr>
          <w:rFonts w:ascii="Arial" w:cs="Arial" w:eastAsia="Arial" w:hAnsi="Arial"/>
          <w:sz w:val="16"/>
          <w:szCs w:val="16"/>
          <w:u w:val="single" w:color="auto"/>
          <w:color w:val="0000FF"/>
        </w:rPr>
      </w:pPr>
    </w:p>
    <w:p>
      <w:pPr>
        <w:ind w:right="419"/>
        <w:spacing w:after="0" w:line="225" w:lineRule="auto"/>
        <w:rPr>
          <w:sz w:val="20"/>
          <w:szCs w:val="20"/>
          <w:color w:val="auto"/>
        </w:rPr>
      </w:pPr>
      <w:r>
        <w:rPr>
          <w:rFonts w:ascii="Arial" w:cs="Arial" w:eastAsia="Arial" w:hAnsi="Arial"/>
          <w:sz w:val="16"/>
          <w:szCs w:val="16"/>
          <w:color w:val="auto"/>
        </w:rPr>
        <w:t>Incorporated herein by reference to Exhibit 10.26 to the Clearway Energy, Inc. Annual Report on Form 10-K filed on March 2, 2020.</w:t>
      </w:r>
    </w:p>
    <w:p>
      <w:pPr>
        <w:spacing w:after="0" w:line="10" w:lineRule="exact"/>
        <w:rPr>
          <w:rFonts w:ascii="Arial" w:cs="Arial" w:eastAsia="Arial" w:hAnsi="Arial"/>
          <w:sz w:val="16"/>
          <w:szCs w:val="16"/>
          <w:u w:val="single" w:color="auto"/>
          <w:color w:val="0000FF"/>
        </w:rPr>
      </w:pPr>
    </w:p>
    <w:p>
      <w:pPr>
        <w:ind w:right="439"/>
        <w:spacing w:after="0" w:line="236" w:lineRule="auto"/>
        <w:rPr>
          <w:sz w:val="20"/>
          <w:szCs w:val="20"/>
          <w:color w:val="auto"/>
        </w:rPr>
      </w:pPr>
      <w:r>
        <w:rPr>
          <w:rFonts w:ascii="Arial" w:cs="Arial" w:eastAsia="Arial" w:hAnsi="Arial"/>
          <w:sz w:val="16"/>
          <w:szCs w:val="16"/>
          <w:color w:val="auto"/>
        </w:rPr>
        <w:t>Incorporated by reference to Exhibit 10.19 to the Company's Annual Report on Form 10-K, filed on March 1, 2021.</w:t>
      </w:r>
    </w:p>
    <w:p>
      <w:pPr>
        <w:spacing w:after="0" w:line="24" w:lineRule="exact"/>
        <w:rPr>
          <w:rFonts w:ascii="Arial" w:cs="Arial" w:eastAsia="Arial" w:hAnsi="Arial"/>
          <w:sz w:val="16"/>
          <w:szCs w:val="16"/>
          <w:u w:val="single" w:color="auto"/>
          <w:color w:val="0000FF"/>
        </w:rPr>
      </w:pPr>
    </w:p>
    <w:p>
      <w:pPr>
        <w:ind w:right="439"/>
        <w:spacing w:after="0" w:line="236" w:lineRule="auto"/>
        <w:rPr>
          <w:sz w:val="20"/>
          <w:szCs w:val="20"/>
          <w:color w:val="auto"/>
        </w:rPr>
      </w:pPr>
      <w:r>
        <w:rPr>
          <w:rFonts w:ascii="Arial" w:cs="Arial" w:eastAsia="Arial" w:hAnsi="Arial"/>
          <w:sz w:val="16"/>
          <w:szCs w:val="16"/>
          <w:color w:val="auto"/>
        </w:rPr>
        <w:t>Incorporated by reference to Exhibit 10.20 to the Company's Annual Report on Form 10-K, filed on March 1, 2021.</w:t>
      </w:r>
    </w:p>
    <w:p>
      <w:pPr>
        <w:spacing w:after="0" w:line="24" w:lineRule="exact"/>
        <w:rPr>
          <w:rFonts w:ascii="Arial" w:cs="Arial" w:eastAsia="Arial" w:hAnsi="Arial"/>
          <w:sz w:val="16"/>
          <w:szCs w:val="16"/>
          <w:u w:val="single" w:color="auto"/>
          <w:color w:val="0000FF"/>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April 20, 2020.</w:t>
      </w:r>
    </w:p>
    <w:p>
      <w:pPr>
        <w:spacing w:after="0" w:line="10" w:lineRule="exact"/>
        <w:rPr>
          <w:rFonts w:ascii="Arial" w:cs="Arial" w:eastAsia="Arial" w:hAnsi="Arial"/>
          <w:sz w:val="16"/>
          <w:szCs w:val="16"/>
          <w:u w:val="single" w:color="auto"/>
          <w:color w:val="0000FF"/>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April 20, 2020.</w:t>
      </w:r>
    </w:p>
    <w:p>
      <w:pPr>
        <w:spacing w:after="0" w:line="10" w:lineRule="exact"/>
        <w:rPr>
          <w:rFonts w:ascii="Arial" w:cs="Arial" w:eastAsia="Arial" w:hAnsi="Arial"/>
          <w:sz w:val="16"/>
          <w:szCs w:val="16"/>
          <w:u w:val="single" w:color="auto"/>
          <w:color w:val="0000FF"/>
        </w:rPr>
      </w:pPr>
    </w:p>
    <w:p>
      <w:pPr>
        <w:ind w:right="379"/>
        <w:spacing w:after="0" w:line="225"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April 20, 2020.</w:t>
      </w:r>
    </w:p>
    <w:p>
      <w:pPr>
        <w:spacing w:after="0" w:line="10" w:lineRule="exact"/>
        <w:rPr>
          <w:rFonts w:ascii="Arial" w:cs="Arial" w:eastAsia="Arial" w:hAnsi="Arial"/>
          <w:sz w:val="16"/>
          <w:szCs w:val="16"/>
          <w:u w:val="single" w:color="auto"/>
          <w:color w:val="0000FF"/>
        </w:rPr>
      </w:pPr>
    </w:p>
    <w:p>
      <w:pPr>
        <w:ind w:right="639"/>
        <w:spacing w:after="0" w:line="225"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November 5, 2020.</w:t>
      </w:r>
    </w:p>
    <w:p>
      <w:pPr>
        <w:spacing w:after="0" w:line="200" w:lineRule="exact"/>
        <w:rPr>
          <w:rFonts w:ascii="Arial" w:cs="Arial" w:eastAsia="Arial" w:hAnsi="Arial"/>
          <w:sz w:val="16"/>
          <w:szCs w:val="16"/>
          <w:u w:val="single" w:color="auto"/>
          <w:color w:val="0000FF"/>
        </w:rPr>
      </w:pPr>
    </w:p>
    <w:p>
      <w:pPr>
        <w:sectPr>
          <w:pgSz w:w="11900" w:h="16838" w:orient="portrait"/>
          <w:cols w:equalWidth="0" w:num="3">
            <w:col w:w="520" w:space="360"/>
            <w:col w:w="4980" w:space="180"/>
            <w:col w:w="4079"/>
          </w:cols>
          <w:pgMar w:left="340" w:top="921" w:right="1440"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80" w:lineRule="exact"/>
        <w:rPr>
          <w:rFonts w:ascii="Arial" w:cs="Arial" w:eastAsia="Arial" w:hAnsi="Arial"/>
          <w:sz w:val="16"/>
          <w:szCs w:val="16"/>
          <w:u w:val="single" w:color="auto"/>
          <w:color w:val="0000FF"/>
        </w:rPr>
      </w:pPr>
    </w:p>
    <w:p>
      <w:pPr>
        <w:ind w:left="5480"/>
        <w:spacing w:after="0"/>
        <w:rPr>
          <w:sz w:val="20"/>
          <w:szCs w:val="20"/>
          <w:color w:val="auto"/>
        </w:rPr>
      </w:pPr>
      <w:r>
        <w:rPr>
          <w:rFonts w:ascii="Arial" w:cs="Arial" w:eastAsia="Arial" w:hAnsi="Arial"/>
          <w:sz w:val="15"/>
          <w:szCs w:val="15"/>
          <w:color w:val="auto"/>
        </w:rPr>
        <w:t>151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-20955</wp:posOffset>
            </wp:positionH>
            <wp:positionV relativeFrom="paragraph">
              <wp:posOffset>86360</wp:posOffset>
            </wp:positionV>
            <wp:extent cx="716089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19"/>
          </w:cols>
          <w:pgMar w:left="340" w:top="921" w:right="1440"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10.22†*</w:t>
            </w:r>
          </w:p>
        </w:tc>
        <w:tc>
          <w:tcPr>
            <w:tcW w:w="4980" w:type="dxa"/>
            <w:vAlign w:val="bottom"/>
            <w:gridSpan w:val="31"/>
          </w:tcPr>
          <w:p>
            <w:pPr>
              <w:spacing w:after="0"/>
              <w:rPr>
                <w:rFonts w:ascii="Arial" w:cs="Arial" w:eastAsia="Arial" w:hAnsi="Arial"/>
                <w:sz w:val="16"/>
                <w:szCs w:val="16"/>
                <w:color w:val="0000FF"/>
                <w:w w:val="88"/>
              </w:rPr>
            </w:pPr>
            <w:hyperlink r:id="rId249">
              <w:r>
                <w:rPr>
                  <w:rFonts w:ascii="Arial" w:cs="Arial" w:eastAsia="Arial" w:hAnsi="Arial"/>
                  <w:sz w:val="16"/>
                  <w:szCs w:val="16"/>
                  <w:color w:val="0000FF"/>
                  <w:w w:val="88"/>
                </w:rPr>
                <w:t>Membership Interest Purchase Agreement, dated as of December 21, 2020, by</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60" w:type="dxa"/>
            <w:vAlign w:val="bottom"/>
            <w:tcBorders>
              <w:top w:val="single" w:sz="8" w:color="0000FF"/>
            </w:tcBorders>
            <w:gridSpan w:val="30"/>
          </w:tcPr>
          <w:p>
            <w:pPr>
              <w:spacing w:after="0" w:line="138" w:lineRule="exact"/>
              <w:rPr>
                <w:rFonts w:ascii="Arial" w:cs="Arial" w:eastAsia="Arial" w:hAnsi="Arial"/>
                <w:sz w:val="16"/>
                <w:szCs w:val="16"/>
                <w:color w:val="0000FF"/>
              </w:rPr>
            </w:pPr>
            <w:hyperlink r:id="rId249">
              <w:r>
                <w:rPr>
                  <w:rFonts w:ascii="Arial" w:cs="Arial" w:eastAsia="Arial" w:hAnsi="Arial"/>
                  <w:sz w:val="16"/>
                  <w:szCs w:val="16"/>
                  <w:color w:val="0000FF"/>
                </w:rPr>
                <w:t>and between Renew Development HoldCo LLC and Rosamond Solar</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420" w:type="dxa"/>
            <w:vAlign w:val="bottom"/>
            <w:tcBorders>
              <w:top w:val="single" w:sz="8" w:color="0000FF"/>
            </w:tcBorders>
            <w:gridSpan w:val="14"/>
          </w:tcPr>
          <w:p>
            <w:pPr>
              <w:spacing w:after="0" w:line="138" w:lineRule="exact"/>
              <w:rPr>
                <w:rFonts w:ascii="Arial" w:cs="Arial" w:eastAsia="Arial" w:hAnsi="Arial"/>
                <w:sz w:val="16"/>
                <w:szCs w:val="16"/>
                <w:color w:val="0000FF"/>
              </w:rPr>
            </w:pPr>
            <w:hyperlink r:id="rId249">
              <w:r>
                <w:rPr>
                  <w:rFonts w:ascii="Arial" w:cs="Arial" w:eastAsia="Arial" w:hAnsi="Arial"/>
                  <w:sz w:val="16"/>
                  <w:szCs w:val="16"/>
                  <w:color w:val="0000FF"/>
                </w:rPr>
                <w:t>Investment LLC.</w:t>
              </w:r>
            </w:hyperlink>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6"/>
                <w:szCs w:val="16"/>
                <w:color w:val="auto"/>
              </w:rPr>
              <w:t>10.23†*</w:t>
            </w:r>
          </w:p>
        </w:tc>
        <w:tc>
          <w:tcPr>
            <w:tcW w:w="4980" w:type="dxa"/>
            <w:vAlign w:val="bottom"/>
            <w:gridSpan w:val="31"/>
          </w:tcPr>
          <w:p>
            <w:pPr>
              <w:spacing w:after="0"/>
              <w:rPr>
                <w:rFonts w:ascii="Arial" w:cs="Arial" w:eastAsia="Arial" w:hAnsi="Arial"/>
                <w:sz w:val="16"/>
                <w:szCs w:val="16"/>
                <w:color w:val="0000FF"/>
                <w:w w:val="88"/>
              </w:rPr>
            </w:pPr>
            <w:hyperlink r:id="rId250">
              <w:r>
                <w:rPr>
                  <w:rFonts w:ascii="Arial" w:cs="Arial" w:eastAsia="Arial" w:hAnsi="Arial"/>
                  <w:sz w:val="16"/>
                  <w:szCs w:val="16"/>
                  <w:color w:val="0000FF"/>
                  <w:w w:val="88"/>
                </w:rPr>
                <w:t>Membership Interest Purchase Agreement, dated as of December 21, 2020, by</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30"/>
          </w:tcPr>
          <w:p>
            <w:pPr>
              <w:spacing w:after="0" w:line="138" w:lineRule="exact"/>
              <w:rPr>
                <w:rFonts w:ascii="Arial" w:cs="Arial" w:eastAsia="Arial" w:hAnsi="Arial"/>
                <w:sz w:val="16"/>
                <w:szCs w:val="16"/>
                <w:color w:val="0000FF"/>
                <w:w w:val="90"/>
              </w:rPr>
            </w:pPr>
            <w:hyperlink r:id="rId250">
              <w:r>
                <w:rPr>
                  <w:rFonts w:ascii="Arial" w:cs="Arial" w:eastAsia="Arial" w:hAnsi="Arial"/>
                  <w:sz w:val="16"/>
                  <w:szCs w:val="16"/>
                  <w:color w:val="0000FF"/>
                  <w:w w:val="90"/>
                </w:rPr>
                <w:t>and between Clearway Renew LLC and Lighthouse Renewable Class A LLC.</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880" w:type="dxa"/>
            <w:vAlign w:val="bottom"/>
          </w:tcPr>
          <w:p>
            <w:pPr>
              <w:spacing w:after="0"/>
              <w:rPr>
                <w:sz w:val="20"/>
                <w:szCs w:val="20"/>
                <w:color w:val="auto"/>
              </w:rPr>
            </w:pPr>
            <w:r>
              <w:rPr>
                <w:rFonts w:ascii="Arial" w:cs="Arial" w:eastAsia="Arial" w:hAnsi="Arial"/>
                <w:sz w:val="16"/>
                <w:szCs w:val="16"/>
                <w:color w:val="auto"/>
              </w:rPr>
              <w:t>10.24†*</w:t>
            </w:r>
          </w:p>
        </w:tc>
        <w:tc>
          <w:tcPr>
            <w:tcW w:w="4980" w:type="dxa"/>
            <w:vAlign w:val="bottom"/>
            <w:gridSpan w:val="31"/>
          </w:tcPr>
          <w:p>
            <w:pPr>
              <w:spacing w:after="0"/>
              <w:rPr>
                <w:rFonts w:ascii="Arial" w:cs="Arial" w:eastAsia="Arial" w:hAnsi="Arial"/>
                <w:sz w:val="16"/>
                <w:szCs w:val="16"/>
                <w:color w:val="0000FF"/>
                <w:w w:val="88"/>
              </w:rPr>
            </w:pPr>
            <w:hyperlink r:id="rId251">
              <w:r>
                <w:rPr>
                  <w:rFonts w:ascii="Arial" w:cs="Arial" w:eastAsia="Arial" w:hAnsi="Arial"/>
                  <w:sz w:val="16"/>
                  <w:szCs w:val="16"/>
                  <w:color w:val="0000FF"/>
                  <w:w w:val="88"/>
                </w:rPr>
                <w:t>Membership Interest Purchase Agreement, dated as of December 21, 2020, by</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30"/>
          </w:tcPr>
          <w:p>
            <w:pPr>
              <w:spacing w:after="0" w:line="138" w:lineRule="exact"/>
              <w:rPr>
                <w:rFonts w:ascii="Arial" w:cs="Arial" w:eastAsia="Arial" w:hAnsi="Arial"/>
                <w:sz w:val="16"/>
                <w:szCs w:val="16"/>
                <w:color w:val="0000FF"/>
                <w:w w:val="90"/>
              </w:rPr>
            </w:pPr>
            <w:hyperlink r:id="rId251">
              <w:r>
                <w:rPr>
                  <w:rFonts w:ascii="Arial" w:cs="Arial" w:eastAsia="Arial" w:hAnsi="Arial"/>
                  <w:sz w:val="16"/>
                  <w:szCs w:val="16"/>
                  <w:color w:val="0000FF"/>
                  <w:w w:val="90"/>
                </w:rPr>
                <w:t>and between Clearway Renew LLC and Lighthouse Renewable Class A LLC.</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880" w:type="dxa"/>
            <w:vAlign w:val="bottom"/>
          </w:tcPr>
          <w:p>
            <w:pPr>
              <w:spacing w:after="0"/>
              <w:rPr>
                <w:sz w:val="20"/>
                <w:szCs w:val="20"/>
                <w:color w:val="auto"/>
              </w:rPr>
            </w:pPr>
            <w:r>
              <w:rPr>
                <w:rFonts w:ascii="Arial" w:cs="Arial" w:eastAsia="Arial" w:hAnsi="Arial"/>
                <w:sz w:val="16"/>
                <w:szCs w:val="16"/>
                <w:color w:val="auto"/>
              </w:rPr>
              <w:t>10.25*^</w:t>
            </w:r>
          </w:p>
        </w:tc>
        <w:tc>
          <w:tcPr>
            <w:tcW w:w="4980" w:type="dxa"/>
            <w:vAlign w:val="bottom"/>
            <w:gridSpan w:val="31"/>
          </w:tcPr>
          <w:p>
            <w:pPr>
              <w:spacing w:after="0"/>
              <w:rPr>
                <w:rFonts w:ascii="Arial" w:cs="Arial" w:eastAsia="Arial" w:hAnsi="Arial"/>
                <w:sz w:val="16"/>
                <w:szCs w:val="16"/>
                <w:color w:val="0000FF"/>
                <w:w w:val="96"/>
              </w:rPr>
            </w:pPr>
            <w:hyperlink r:id="rId252">
              <w:r>
                <w:rPr>
                  <w:rFonts w:ascii="Arial" w:cs="Arial" w:eastAsia="Arial" w:hAnsi="Arial"/>
                  <w:sz w:val="16"/>
                  <w:szCs w:val="16"/>
                  <w:color w:val="0000FF"/>
                  <w:w w:val="96"/>
                </w:rPr>
                <w:t>Second Amended and Restated Limited Liability Company Agreement of</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5"/>
          </w:tcPr>
          <w:p>
            <w:pPr>
              <w:spacing w:after="0" w:line="138" w:lineRule="exact"/>
              <w:rPr>
                <w:rFonts w:ascii="Arial" w:cs="Arial" w:eastAsia="Arial" w:hAnsi="Arial"/>
                <w:sz w:val="16"/>
                <w:szCs w:val="16"/>
                <w:color w:val="0000FF"/>
                <w:w w:val="89"/>
              </w:rPr>
            </w:pPr>
            <w:hyperlink r:id="rId252">
              <w:r>
                <w:rPr>
                  <w:rFonts w:ascii="Arial" w:cs="Arial" w:eastAsia="Arial" w:hAnsi="Arial"/>
                  <w:sz w:val="16"/>
                  <w:szCs w:val="16"/>
                  <w:color w:val="0000FF"/>
                  <w:w w:val="89"/>
                </w:rPr>
                <w:t>Pinnacle Repowering Partnership LLC, dated as of February 26, 2021.</w:t>
              </w:r>
            </w:hyperlink>
          </w:p>
        </w:tc>
        <w:tc>
          <w:tcPr>
            <w:tcW w:w="200" w:type="dxa"/>
            <w:vAlign w:val="bottom"/>
            <w:tcBorders>
              <w:top w:val="single" w:sz="8" w:color="0000FF"/>
            </w:tcBorders>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89"/>
        </w:trPr>
        <w:tc>
          <w:tcPr>
            <w:tcW w:w="880" w:type="dxa"/>
            <w:vAlign w:val="bottom"/>
          </w:tcPr>
          <w:p>
            <w:pPr>
              <w:spacing w:after="0"/>
              <w:rPr>
                <w:sz w:val="24"/>
                <w:szCs w:val="24"/>
                <w:color w:val="auto"/>
              </w:rPr>
            </w:pPr>
          </w:p>
        </w:tc>
        <w:tc>
          <w:tcPr>
            <w:tcW w:w="4980" w:type="dxa"/>
            <w:vAlign w:val="bottom"/>
            <w:gridSpan w:val="31"/>
          </w:tcPr>
          <w:p>
            <w:pPr>
              <w:spacing w:after="0"/>
              <w:rPr>
                <w:rFonts w:ascii="Arial" w:cs="Arial" w:eastAsia="Arial" w:hAnsi="Arial"/>
                <w:sz w:val="16"/>
                <w:szCs w:val="16"/>
                <w:color w:val="0000FF"/>
                <w:w w:val="95"/>
              </w:rPr>
            </w:pPr>
            <w:hyperlink r:id="rId253">
              <w:r>
                <w:rPr>
                  <w:rFonts w:ascii="Arial" w:cs="Arial" w:eastAsia="Arial" w:hAnsi="Arial"/>
                  <w:sz w:val="16"/>
                  <w:szCs w:val="16"/>
                  <w:color w:val="0000FF"/>
                  <w:w w:val="95"/>
                </w:rPr>
                <w:t>Fifth Amendment to Right of First Offer Agreement, dated as of August 2,</w:t>
              </w:r>
            </w:hyperlink>
          </w:p>
        </w:tc>
        <w:tc>
          <w:tcPr>
            <w:tcW w:w="0" w:type="dxa"/>
            <w:vAlign w:val="bottom"/>
          </w:tcPr>
          <w:p>
            <w:pPr>
              <w:spacing w:after="0"/>
              <w:rPr>
                <w:sz w:val="1"/>
                <w:szCs w:val="1"/>
                <w:color w:val="auto"/>
              </w:rPr>
            </w:pPr>
          </w:p>
        </w:tc>
      </w:tr>
      <w:tr>
        <w:trPr>
          <w:trHeight w:val="138"/>
        </w:trPr>
        <w:tc>
          <w:tcPr>
            <w:tcW w:w="880" w:type="dxa"/>
            <w:vAlign w:val="bottom"/>
            <w:vMerge w:val="restart"/>
          </w:tcPr>
          <w:p>
            <w:pPr>
              <w:spacing w:after="0"/>
              <w:rPr>
                <w:sz w:val="20"/>
                <w:szCs w:val="20"/>
                <w:color w:val="auto"/>
              </w:rPr>
            </w:pPr>
            <w:r>
              <w:rPr>
                <w:rFonts w:ascii="Arial" w:cs="Arial" w:eastAsia="Arial" w:hAnsi="Arial"/>
                <w:sz w:val="16"/>
                <w:szCs w:val="16"/>
                <w:color w:val="auto"/>
              </w:rPr>
              <w:t>10.26</w:t>
            </w:r>
          </w:p>
        </w:tc>
        <w:tc>
          <w:tcPr>
            <w:tcW w:w="4740" w:type="dxa"/>
            <w:vAlign w:val="bottom"/>
            <w:tcBorders>
              <w:top w:val="single" w:sz="8" w:color="0000FF"/>
              <w:bottom w:val="single" w:sz="8" w:color="0000FF"/>
            </w:tcBorders>
            <w:gridSpan w:val="19"/>
          </w:tcPr>
          <w:p>
            <w:pPr>
              <w:spacing w:after="0" w:line="138" w:lineRule="exact"/>
              <w:rPr>
                <w:rFonts w:ascii="Arial" w:cs="Arial" w:eastAsia="Arial" w:hAnsi="Arial"/>
                <w:sz w:val="16"/>
                <w:szCs w:val="16"/>
                <w:color w:val="0000FF"/>
                <w:w w:val="89"/>
              </w:rPr>
            </w:pPr>
            <w:hyperlink r:id="rId253">
              <w:r>
                <w:rPr>
                  <w:rFonts w:ascii="Arial" w:cs="Arial" w:eastAsia="Arial" w:hAnsi="Arial"/>
                  <w:sz w:val="16"/>
                  <w:szCs w:val="16"/>
                  <w:color w:val="0000FF"/>
                  <w:w w:val="89"/>
                </w:rPr>
                <w:t>2021, by and between Clearway Energy Group LLC and Clearway Energy,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4800" w:type="dxa"/>
            <w:vAlign w:val="bottom"/>
            <w:gridSpan w:val="22"/>
          </w:tcPr>
          <w:p>
            <w:pPr>
              <w:spacing w:after="0" w:line="138" w:lineRule="exact"/>
              <w:rPr>
                <w:rFonts w:ascii="Arial" w:cs="Arial" w:eastAsia="Arial" w:hAnsi="Arial"/>
                <w:sz w:val="16"/>
                <w:szCs w:val="16"/>
                <w:color w:val="0000FF"/>
              </w:rPr>
            </w:pPr>
            <w:hyperlink r:id="rId253">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80" w:type="dxa"/>
            <w:vAlign w:val="bottom"/>
            <w:vMerge w:val="restart"/>
          </w:tcPr>
          <w:p>
            <w:pPr>
              <w:spacing w:after="0"/>
              <w:rPr>
                <w:sz w:val="20"/>
                <w:szCs w:val="20"/>
                <w:color w:val="auto"/>
              </w:rPr>
            </w:pPr>
            <w:r>
              <w:rPr>
                <w:rFonts w:ascii="Arial" w:cs="Arial" w:eastAsia="Arial" w:hAnsi="Arial"/>
                <w:sz w:val="16"/>
                <w:szCs w:val="16"/>
                <w:color w:val="auto"/>
              </w:rPr>
              <w:t>10.27</w:t>
            </w:r>
          </w:p>
        </w:tc>
        <w:tc>
          <w:tcPr>
            <w:tcW w:w="4980" w:type="dxa"/>
            <w:vAlign w:val="bottom"/>
            <w:gridSpan w:val="31"/>
          </w:tcPr>
          <w:p>
            <w:pPr>
              <w:spacing w:after="0"/>
              <w:rPr>
                <w:rFonts w:ascii="Arial" w:cs="Arial" w:eastAsia="Arial" w:hAnsi="Arial"/>
                <w:sz w:val="16"/>
                <w:szCs w:val="16"/>
                <w:color w:val="0000FF"/>
                <w:w w:val="90"/>
              </w:rPr>
            </w:pPr>
            <w:hyperlink r:id="rId254">
              <w:r>
                <w:rPr>
                  <w:rFonts w:ascii="Arial" w:cs="Arial" w:eastAsia="Arial" w:hAnsi="Arial"/>
                  <w:sz w:val="16"/>
                  <w:szCs w:val="16"/>
                  <w:color w:val="0000FF"/>
                  <w:w w:val="90"/>
                </w:rPr>
                <w:t>Purchase and Sale Agreement, dated as of August 20, 2021, by and between</w:t>
              </w:r>
            </w:hyperlink>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4860" w:type="dxa"/>
            <w:vAlign w:val="bottom"/>
            <w:tcBorders>
              <w:top w:val="single" w:sz="8" w:color="0000FF"/>
            </w:tcBorders>
            <w:gridSpan w:val="25"/>
          </w:tcPr>
          <w:p>
            <w:pPr>
              <w:spacing w:after="0" w:line="138" w:lineRule="exact"/>
              <w:rPr>
                <w:rFonts w:ascii="Arial" w:cs="Arial" w:eastAsia="Arial" w:hAnsi="Arial"/>
                <w:sz w:val="16"/>
                <w:szCs w:val="16"/>
                <w:color w:val="0000FF"/>
              </w:rPr>
            </w:pPr>
            <w:hyperlink r:id="rId254">
              <w:r>
                <w:rPr>
                  <w:rFonts w:ascii="Arial" w:cs="Arial" w:eastAsia="Arial" w:hAnsi="Arial"/>
                  <w:sz w:val="16"/>
                  <w:szCs w:val="16"/>
                  <w:color w:val="0000FF"/>
                </w:rPr>
                <w:t>Dominion Solar Projects III, Inc. and Utah Solar Holdings II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80" w:type="dxa"/>
            <w:vAlign w:val="bottom"/>
            <w:vMerge w:val="restart"/>
          </w:tcPr>
          <w:p>
            <w:pPr>
              <w:spacing w:after="0"/>
              <w:rPr>
                <w:sz w:val="20"/>
                <w:szCs w:val="20"/>
                <w:color w:val="auto"/>
              </w:rPr>
            </w:pPr>
            <w:r>
              <w:rPr>
                <w:rFonts w:ascii="Arial" w:cs="Arial" w:eastAsia="Arial" w:hAnsi="Arial"/>
                <w:sz w:val="16"/>
                <w:szCs w:val="16"/>
                <w:color w:val="auto"/>
              </w:rPr>
              <w:t>10.28</w:t>
            </w:r>
          </w:p>
        </w:tc>
        <w:tc>
          <w:tcPr>
            <w:tcW w:w="4980" w:type="dxa"/>
            <w:vAlign w:val="bottom"/>
            <w:gridSpan w:val="31"/>
          </w:tcPr>
          <w:p>
            <w:pPr>
              <w:spacing w:after="0"/>
              <w:rPr>
                <w:rFonts w:ascii="Arial" w:cs="Arial" w:eastAsia="Arial" w:hAnsi="Arial"/>
                <w:sz w:val="16"/>
                <w:szCs w:val="16"/>
                <w:color w:val="0000FF"/>
                <w:w w:val="90"/>
              </w:rPr>
            </w:pPr>
            <w:hyperlink r:id="rId255">
              <w:r>
                <w:rPr>
                  <w:rFonts w:ascii="Arial" w:cs="Arial" w:eastAsia="Arial" w:hAnsi="Arial"/>
                  <w:sz w:val="16"/>
                  <w:szCs w:val="16"/>
                  <w:color w:val="0000FF"/>
                  <w:w w:val="90"/>
                </w:rPr>
                <w:t>Amended and Restated Employment Agreement, dated September 23, 2021,</w:t>
              </w:r>
            </w:hyperlink>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3940" w:type="dxa"/>
            <w:vAlign w:val="bottom"/>
            <w:tcBorders>
              <w:top w:val="single" w:sz="8" w:color="0000FF"/>
              <w:bottom w:val="single" w:sz="8" w:color="0000FF"/>
            </w:tcBorders>
            <w:gridSpan w:val="11"/>
          </w:tcPr>
          <w:p>
            <w:pPr>
              <w:spacing w:after="0" w:line="138" w:lineRule="exact"/>
              <w:rPr>
                <w:rFonts w:ascii="Arial" w:cs="Arial" w:eastAsia="Arial" w:hAnsi="Arial"/>
                <w:sz w:val="16"/>
                <w:szCs w:val="16"/>
                <w:color w:val="0000FF"/>
                <w:w w:val="88"/>
              </w:rPr>
            </w:pPr>
            <w:hyperlink r:id="rId255">
              <w:r>
                <w:rPr>
                  <w:rFonts w:ascii="Arial" w:cs="Arial" w:eastAsia="Arial" w:hAnsi="Arial"/>
                  <w:sz w:val="16"/>
                  <w:szCs w:val="16"/>
                  <w:color w:val="0000FF"/>
                  <w:w w:val="88"/>
                </w:rPr>
                <w:t>by and between Clearway Energy, Inc. and Christopher Sotos.</w:t>
              </w:r>
            </w:hyperlink>
          </w:p>
        </w:tc>
        <w:tc>
          <w:tcPr>
            <w:tcW w:w="9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880" w:type="dxa"/>
            <w:vAlign w:val="bottom"/>
            <w:vMerge w:val="restart"/>
          </w:tcPr>
          <w:p>
            <w:pPr>
              <w:spacing w:after="0"/>
              <w:rPr>
                <w:sz w:val="20"/>
                <w:szCs w:val="20"/>
                <w:color w:val="auto"/>
              </w:rPr>
            </w:pPr>
            <w:r>
              <w:rPr>
                <w:rFonts w:ascii="Arial" w:cs="Arial" w:eastAsia="Arial" w:hAnsi="Arial"/>
                <w:sz w:val="16"/>
                <w:szCs w:val="16"/>
                <w:color w:val="auto"/>
              </w:rPr>
              <w:t>10.29</w:t>
            </w:r>
          </w:p>
        </w:tc>
        <w:tc>
          <w:tcPr>
            <w:tcW w:w="4980" w:type="dxa"/>
            <w:vAlign w:val="bottom"/>
            <w:gridSpan w:val="31"/>
          </w:tcPr>
          <w:p>
            <w:pPr>
              <w:spacing w:after="0"/>
              <w:rPr>
                <w:rFonts w:ascii="Arial" w:cs="Arial" w:eastAsia="Arial" w:hAnsi="Arial"/>
                <w:sz w:val="16"/>
                <w:szCs w:val="16"/>
                <w:color w:val="0000FF"/>
                <w:w w:val="91"/>
              </w:rPr>
            </w:pPr>
            <w:hyperlink r:id="rId256">
              <w:r>
                <w:rPr>
                  <w:rFonts w:ascii="Arial" w:cs="Arial" w:eastAsia="Arial" w:hAnsi="Arial"/>
                  <w:sz w:val="16"/>
                  <w:szCs w:val="16"/>
                  <w:color w:val="0000FF"/>
                  <w:w w:val="91"/>
                </w:rPr>
                <w:t>Membership Interest Purchase Agreement, dated as of October 22, 2021, by</w:t>
              </w:r>
            </w:hyperlink>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4820" w:type="dxa"/>
            <w:vAlign w:val="bottom"/>
            <w:tcBorders>
              <w:top w:val="single" w:sz="8" w:color="0000FF"/>
              <w:bottom w:val="single" w:sz="8" w:color="0000FF"/>
            </w:tcBorders>
            <w:gridSpan w:val="23"/>
          </w:tcPr>
          <w:p>
            <w:pPr>
              <w:spacing w:after="0" w:line="138" w:lineRule="exact"/>
              <w:rPr>
                <w:rFonts w:ascii="Arial" w:cs="Arial" w:eastAsia="Arial" w:hAnsi="Arial"/>
                <w:sz w:val="16"/>
                <w:szCs w:val="16"/>
                <w:color w:val="0000FF"/>
                <w:w w:val="92"/>
              </w:rPr>
            </w:pPr>
            <w:hyperlink r:id="rId256">
              <w:r>
                <w:rPr>
                  <w:rFonts w:ascii="Arial" w:cs="Arial" w:eastAsia="Arial" w:hAnsi="Arial"/>
                  <w:sz w:val="16"/>
                  <w:szCs w:val="16"/>
                  <w:color w:val="0000FF"/>
                  <w:w w:val="92"/>
                </w:rPr>
                <w:t>and between Clearway Energy Operating LLC and KKR Thor Bidco, LLC.</w:t>
              </w:r>
            </w:hyperlink>
          </w:p>
        </w:tc>
        <w:tc>
          <w:tcPr>
            <w:tcW w:w="20" w:type="dxa"/>
            <w:vAlign w:val="bottom"/>
            <w:tcBorders>
              <w:top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4980" w:type="dxa"/>
            <w:vAlign w:val="bottom"/>
            <w:gridSpan w:val="31"/>
          </w:tcPr>
          <w:p>
            <w:pPr>
              <w:spacing w:after="0"/>
              <w:rPr>
                <w:rFonts w:ascii="Arial" w:cs="Arial" w:eastAsia="Arial" w:hAnsi="Arial"/>
                <w:sz w:val="16"/>
                <w:szCs w:val="16"/>
                <w:color w:val="0000FF"/>
                <w:w w:val="90"/>
              </w:rPr>
            </w:pPr>
            <w:hyperlink r:id="rId257">
              <w:r>
                <w:rPr>
                  <w:rFonts w:ascii="Arial" w:cs="Arial" w:eastAsia="Arial" w:hAnsi="Arial"/>
                  <w:sz w:val="16"/>
                  <w:szCs w:val="16"/>
                  <w:color w:val="0000FF"/>
                  <w:w w:val="90"/>
                </w:rPr>
                <w:t>Senior Secured Bridge Credit Agreement, dated as of November 30, 2021, by</w:t>
              </w:r>
            </w:hyperlink>
          </w:p>
        </w:tc>
        <w:tc>
          <w:tcPr>
            <w:tcW w:w="0" w:type="dxa"/>
            <w:vAlign w:val="bottom"/>
          </w:tcPr>
          <w:p>
            <w:pPr>
              <w:spacing w:after="0"/>
              <w:rPr>
                <w:sz w:val="1"/>
                <w:szCs w:val="1"/>
                <w:color w:val="auto"/>
              </w:rPr>
            </w:pPr>
          </w:p>
        </w:tc>
      </w:tr>
      <w:tr>
        <w:trPr>
          <w:trHeight w:val="138"/>
        </w:trPr>
        <w:tc>
          <w:tcPr>
            <w:tcW w:w="880" w:type="dxa"/>
            <w:vAlign w:val="bottom"/>
          </w:tcPr>
          <w:p>
            <w:pPr>
              <w:spacing w:after="0"/>
              <w:rPr>
                <w:sz w:val="12"/>
                <w:szCs w:val="12"/>
                <w:color w:val="auto"/>
              </w:rPr>
            </w:pPr>
          </w:p>
        </w:tc>
        <w:tc>
          <w:tcPr>
            <w:tcW w:w="4940" w:type="dxa"/>
            <w:vAlign w:val="bottom"/>
            <w:tcBorders>
              <w:top w:val="single" w:sz="8" w:color="0000FF"/>
            </w:tcBorders>
            <w:gridSpan w:val="29"/>
          </w:tcPr>
          <w:p>
            <w:pPr>
              <w:spacing w:after="0" w:line="138" w:lineRule="exact"/>
              <w:rPr>
                <w:rFonts w:ascii="Arial" w:cs="Arial" w:eastAsia="Arial" w:hAnsi="Arial"/>
                <w:sz w:val="16"/>
                <w:szCs w:val="16"/>
                <w:color w:val="0000FF"/>
                <w:w w:val="96"/>
              </w:rPr>
            </w:pPr>
            <w:hyperlink r:id="rId257">
              <w:r>
                <w:rPr>
                  <w:rFonts w:ascii="Arial" w:cs="Arial" w:eastAsia="Arial" w:hAnsi="Arial"/>
                  <w:sz w:val="16"/>
                  <w:szCs w:val="16"/>
                  <w:color w:val="0000FF"/>
                  <w:w w:val="96"/>
                </w:rPr>
                <w:t>and among Clearway Energy Operating LLC, Clearway Energy LLC,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vMerge w:val="restart"/>
          </w:tcPr>
          <w:p>
            <w:pPr>
              <w:spacing w:after="0"/>
              <w:rPr>
                <w:sz w:val="20"/>
                <w:szCs w:val="20"/>
                <w:color w:val="auto"/>
              </w:rPr>
            </w:pPr>
            <w:r>
              <w:rPr>
                <w:rFonts w:ascii="Arial" w:cs="Arial" w:eastAsia="Arial" w:hAnsi="Arial"/>
                <w:sz w:val="16"/>
                <w:szCs w:val="16"/>
                <w:color w:val="auto"/>
              </w:rPr>
              <w:t>10.30</w:t>
            </w:r>
          </w:p>
        </w:tc>
        <w:tc>
          <w:tcPr>
            <w:tcW w:w="4660" w:type="dxa"/>
            <w:vAlign w:val="bottom"/>
            <w:tcBorders>
              <w:top w:val="single" w:sz="8" w:color="0000FF"/>
            </w:tcBorders>
            <w:gridSpan w:val="17"/>
          </w:tcPr>
          <w:p>
            <w:pPr>
              <w:spacing w:after="0" w:line="138" w:lineRule="exact"/>
              <w:rPr>
                <w:rFonts w:ascii="Arial" w:cs="Arial" w:eastAsia="Arial" w:hAnsi="Arial"/>
                <w:sz w:val="16"/>
                <w:szCs w:val="16"/>
                <w:color w:val="0000FF"/>
                <w:w w:val="90"/>
              </w:rPr>
            </w:pPr>
            <w:hyperlink r:id="rId257">
              <w:r>
                <w:rPr>
                  <w:rFonts w:ascii="Arial" w:cs="Arial" w:eastAsia="Arial" w:hAnsi="Arial"/>
                  <w:sz w:val="16"/>
                  <w:szCs w:val="16"/>
                  <w:color w:val="0000FF"/>
                  <w:w w:val="90"/>
                </w:rPr>
                <w:t>guarantors party thereto, Bank of America, N.A., as administrative agent,</w:t>
              </w:r>
            </w:hyperlink>
          </w:p>
        </w:tc>
        <w:tc>
          <w:tcPr>
            <w:tcW w:w="320" w:type="dxa"/>
            <w:vAlign w:val="bottom"/>
            <w:gridSpan w:val="14"/>
          </w:tcPr>
          <w:p>
            <w:pPr>
              <w:ind w:left="40"/>
              <w:spacing w:after="0" w:line="138" w:lineRule="exact"/>
              <w:rPr>
                <w:rFonts w:ascii="Arial" w:cs="Arial" w:eastAsia="Arial" w:hAnsi="Arial"/>
                <w:sz w:val="16"/>
                <w:szCs w:val="16"/>
                <w:color w:val="0000FF"/>
                <w:w w:val="97"/>
              </w:rPr>
            </w:pPr>
            <w:hyperlink r:id="rId257">
              <w:r>
                <w:rPr>
                  <w:rFonts w:ascii="Arial" w:cs="Arial" w:eastAsia="Arial" w:hAnsi="Arial"/>
                  <w:sz w:val="16"/>
                  <w:szCs w:val="16"/>
                  <w:color w:val="0000FF"/>
                  <w:w w:val="97"/>
                </w:rPr>
                <w:t>and</w:t>
              </w:r>
            </w:hyperlink>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4920" w:type="dxa"/>
            <w:vAlign w:val="bottom"/>
            <w:tcBorders>
              <w:top w:val="single" w:sz="8" w:color="0000FF"/>
            </w:tcBorders>
            <w:gridSpan w:val="28"/>
          </w:tcPr>
          <w:p>
            <w:pPr>
              <w:spacing w:after="0" w:line="138" w:lineRule="exact"/>
              <w:rPr>
                <w:rFonts w:ascii="Arial" w:cs="Arial" w:eastAsia="Arial" w:hAnsi="Arial"/>
                <w:sz w:val="16"/>
                <w:szCs w:val="16"/>
                <w:color w:val="0000FF"/>
              </w:rPr>
            </w:pPr>
            <w:hyperlink r:id="rId257">
              <w:r>
                <w:rPr>
                  <w:rFonts w:ascii="Arial" w:cs="Arial" w:eastAsia="Arial" w:hAnsi="Arial"/>
                  <w:sz w:val="16"/>
                  <w:szCs w:val="16"/>
                  <w:color w:val="0000FF"/>
                </w:rPr>
                <w:t>the lenders party thereto.</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0" w:type="dxa"/>
            <w:vAlign w:val="bottom"/>
          </w:tcPr>
          <w:p>
            <w:pPr>
              <w:spacing w:after="0"/>
              <w:rPr>
                <w:sz w:val="16"/>
                <w:szCs w:val="16"/>
                <w:color w:val="auto"/>
              </w:rPr>
            </w:pPr>
          </w:p>
        </w:tc>
        <w:tc>
          <w:tcPr>
            <w:tcW w:w="4980" w:type="dxa"/>
            <w:vAlign w:val="bottom"/>
            <w:gridSpan w:val="31"/>
          </w:tcPr>
          <w:p>
            <w:pPr>
              <w:spacing w:after="0"/>
              <w:rPr>
                <w:rFonts w:ascii="Arial" w:cs="Arial" w:eastAsia="Arial" w:hAnsi="Arial"/>
                <w:sz w:val="16"/>
                <w:szCs w:val="16"/>
                <w:color w:val="0000FF"/>
                <w:w w:val="93"/>
              </w:rPr>
            </w:pPr>
            <w:hyperlink r:id="rId258">
              <w:r>
                <w:rPr>
                  <w:rFonts w:ascii="Arial" w:cs="Arial" w:eastAsia="Arial" w:hAnsi="Arial"/>
                  <w:sz w:val="16"/>
                  <w:szCs w:val="16"/>
                  <w:color w:val="0000FF"/>
                  <w:w w:val="93"/>
                </w:rPr>
                <w:t>First Amendment to Membership Interest Purchase Agreement, dated as of</w:t>
              </w:r>
            </w:hyperlink>
          </w:p>
        </w:tc>
        <w:tc>
          <w:tcPr>
            <w:tcW w:w="0" w:type="dxa"/>
            <w:vAlign w:val="bottom"/>
          </w:tcPr>
          <w:p>
            <w:pPr>
              <w:spacing w:after="0"/>
              <w:rPr>
                <w:sz w:val="1"/>
                <w:szCs w:val="1"/>
                <w:color w:val="auto"/>
              </w:rPr>
            </w:pPr>
          </w:p>
        </w:tc>
      </w:tr>
      <w:tr>
        <w:trPr>
          <w:trHeight w:val="138"/>
        </w:trPr>
        <w:tc>
          <w:tcPr>
            <w:tcW w:w="880" w:type="dxa"/>
            <w:vAlign w:val="bottom"/>
            <w:vMerge w:val="restart"/>
          </w:tcPr>
          <w:p>
            <w:pPr>
              <w:spacing w:after="0"/>
              <w:rPr>
                <w:sz w:val="20"/>
                <w:szCs w:val="20"/>
                <w:color w:val="auto"/>
              </w:rPr>
            </w:pPr>
            <w:r>
              <w:rPr>
                <w:rFonts w:ascii="Arial" w:cs="Arial" w:eastAsia="Arial" w:hAnsi="Arial"/>
                <w:sz w:val="16"/>
                <w:szCs w:val="16"/>
                <w:color w:val="auto"/>
              </w:rPr>
              <w:t>10.31*^</w:t>
            </w:r>
          </w:p>
        </w:tc>
        <w:tc>
          <w:tcPr>
            <w:tcW w:w="4760" w:type="dxa"/>
            <w:vAlign w:val="bottom"/>
            <w:tcBorders>
              <w:top w:val="single" w:sz="8" w:color="0000FF"/>
            </w:tcBorders>
            <w:gridSpan w:val="20"/>
          </w:tcPr>
          <w:p>
            <w:pPr>
              <w:spacing w:after="0" w:line="138" w:lineRule="exact"/>
              <w:rPr>
                <w:rFonts w:ascii="Arial" w:cs="Arial" w:eastAsia="Arial" w:hAnsi="Arial"/>
                <w:sz w:val="16"/>
                <w:szCs w:val="16"/>
                <w:color w:val="0000FF"/>
                <w:w w:val="91"/>
              </w:rPr>
            </w:pPr>
            <w:hyperlink r:id="rId258">
              <w:r>
                <w:rPr>
                  <w:rFonts w:ascii="Arial" w:cs="Arial" w:eastAsia="Arial" w:hAnsi="Arial"/>
                  <w:sz w:val="16"/>
                  <w:szCs w:val="16"/>
                  <w:color w:val="0000FF"/>
                  <w:w w:val="91"/>
                </w:rPr>
                <w:t>December 17, 2021, by and among Lighthouse Renewable Class A LLC,</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4640" w:type="dxa"/>
            <w:vAlign w:val="bottom"/>
            <w:tcBorders>
              <w:top w:val="single" w:sz="8" w:color="0000FF"/>
            </w:tcBorders>
            <w:gridSpan w:val="16"/>
          </w:tcPr>
          <w:p>
            <w:pPr>
              <w:spacing w:after="0" w:line="138" w:lineRule="exact"/>
              <w:rPr>
                <w:rFonts w:ascii="Arial" w:cs="Arial" w:eastAsia="Arial" w:hAnsi="Arial"/>
                <w:sz w:val="16"/>
                <w:szCs w:val="16"/>
                <w:color w:val="0000FF"/>
              </w:rPr>
            </w:pPr>
            <w:hyperlink r:id="rId258">
              <w:r>
                <w:rPr>
                  <w:rFonts w:ascii="Arial" w:cs="Arial" w:eastAsia="Arial" w:hAnsi="Arial"/>
                  <w:sz w:val="16"/>
                  <w:szCs w:val="16"/>
                  <w:color w:val="0000FF"/>
                </w:rPr>
                <w:t>Clearway Renew LLC and Clearway Energy Operating LLC.</w:t>
              </w:r>
            </w:hyperlink>
          </w:p>
        </w:tc>
        <w:tc>
          <w:tcPr>
            <w:tcW w:w="14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0" w:type="dxa"/>
            <w:vAlign w:val="bottom"/>
          </w:tcPr>
          <w:p>
            <w:pPr>
              <w:spacing w:after="0"/>
              <w:rPr>
                <w:sz w:val="16"/>
                <w:szCs w:val="16"/>
                <w:color w:val="auto"/>
              </w:rPr>
            </w:pPr>
          </w:p>
        </w:tc>
        <w:tc>
          <w:tcPr>
            <w:tcW w:w="4780" w:type="dxa"/>
            <w:vAlign w:val="bottom"/>
            <w:tcBorders>
              <w:bottom w:val="single" w:sz="8" w:color="0000FF"/>
            </w:tcBorders>
            <w:gridSpan w:val="21"/>
          </w:tcPr>
          <w:p>
            <w:pPr>
              <w:spacing w:after="0"/>
              <w:rPr>
                <w:rFonts w:ascii="Arial" w:cs="Arial" w:eastAsia="Arial" w:hAnsi="Arial"/>
                <w:sz w:val="16"/>
                <w:szCs w:val="16"/>
                <w:color w:val="0000FF"/>
                <w:w w:val="89"/>
              </w:rPr>
            </w:pPr>
            <w:hyperlink r:id="rId259">
              <w:r>
                <w:rPr>
                  <w:rFonts w:ascii="Arial" w:cs="Arial" w:eastAsia="Arial" w:hAnsi="Arial"/>
                  <w:sz w:val="16"/>
                  <w:szCs w:val="16"/>
                  <w:color w:val="0000FF"/>
                  <w:w w:val="89"/>
                </w:rPr>
                <w:t>First Amendment to Membership Interest Purchase Agreement, dated as of</w:t>
              </w:r>
            </w:hyperlink>
          </w:p>
        </w:tc>
        <w:tc>
          <w:tcPr>
            <w:tcW w:w="2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vMerge w:val="restart"/>
          </w:tcPr>
          <w:p>
            <w:pPr>
              <w:spacing w:after="0"/>
              <w:rPr>
                <w:sz w:val="20"/>
                <w:szCs w:val="20"/>
                <w:color w:val="auto"/>
              </w:rPr>
            </w:pPr>
            <w:r>
              <w:rPr>
                <w:rFonts w:ascii="Arial" w:cs="Arial" w:eastAsia="Arial" w:hAnsi="Arial"/>
                <w:sz w:val="16"/>
                <w:szCs w:val="16"/>
                <w:color w:val="auto"/>
              </w:rPr>
              <w:t>10.32*^</w:t>
            </w:r>
          </w:p>
        </w:tc>
        <w:tc>
          <w:tcPr>
            <w:tcW w:w="4980" w:type="dxa"/>
            <w:vAlign w:val="bottom"/>
            <w:gridSpan w:val="31"/>
          </w:tcPr>
          <w:p>
            <w:pPr>
              <w:spacing w:after="0" w:line="138" w:lineRule="exact"/>
              <w:rPr>
                <w:rFonts w:ascii="Arial" w:cs="Arial" w:eastAsia="Arial" w:hAnsi="Arial"/>
                <w:sz w:val="16"/>
                <w:szCs w:val="16"/>
                <w:color w:val="0000FF"/>
                <w:w w:val="91"/>
              </w:rPr>
            </w:pPr>
            <w:hyperlink r:id="rId259">
              <w:r>
                <w:rPr>
                  <w:rFonts w:ascii="Arial" w:cs="Arial" w:eastAsia="Arial" w:hAnsi="Arial"/>
                  <w:sz w:val="16"/>
                  <w:szCs w:val="16"/>
                  <w:color w:val="0000FF"/>
                  <w:w w:val="91"/>
                </w:rPr>
                <w:t>December 29, 2021, by and among Lighthouse Renewable Class A LLC and</w:t>
              </w:r>
            </w:hyperlink>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1480" w:type="dxa"/>
            <w:vAlign w:val="bottom"/>
            <w:tcBorders>
              <w:top w:val="single" w:sz="8" w:color="0000FF"/>
              <w:bottom w:val="single" w:sz="8" w:color="0000FF"/>
            </w:tcBorders>
            <w:gridSpan w:val="4"/>
          </w:tcPr>
          <w:p>
            <w:pPr>
              <w:spacing w:after="0" w:line="138" w:lineRule="exact"/>
              <w:rPr>
                <w:rFonts w:ascii="Arial" w:cs="Arial" w:eastAsia="Arial" w:hAnsi="Arial"/>
                <w:sz w:val="16"/>
                <w:szCs w:val="16"/>
                <w:color w:val="0000FF"/>
                <w:w w:val="91"/>
              </w:rPr>
            </w:pPr>
            <w:hyperlink r:id="rId259">
              <w:r>
                <w:rPr>
                  <w:rFonts w:ascii="Arial" w:cs="Arial" w:eastAsia="Arial" w:hAnsi="Arial"/>
                  <w:sz w:val="16"/>
                  <w:szCs w:val="16"/>
                  <w:color w:val="0000FF"/>
                  <w:w w:val="91"/>
                </w:rPr>
                <w:t>Clearway Renew LLC.</w:t>
              </w:r>
            </w:hyperlink>
          </w:p>
        </w:tc>
        <w:tc>
          <w:tcPr>
            <w:tcW w:w="3420" w:type="dxa"/>
            <w:vAlign w:val="bottom"/>
            <w:tcBorders>
              <w:top w:val="single" w:sz="8" w:color="0000FF"/>
            </w:tcBorders>
            <w:gridSpan w:val="23"/>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508"/>
        </w:trPr>
        <w:tc>
          <w:tcPr>
            <w:tcW w:w="880" w:type="dxa"/>
            <w:vAlign w:val="bottom"/>
          </w:tcPr>
          <w:p>
            <w:pPr>
              <w:spacing w:after="0"/>
              <w:rPr>
                <w:sz w:val="20"/>
                <w:szCs w:val="20"/>
                <w:color w:val="auto"/>
              </w:rPr>
            </w:pPr>
            <w:r>
              <w:rPr>
                <w:rFonts w:ascii="Arial" w:cs="Arial" w:eastAsia="Arial" w:hAnsi="Arial"/>
                <w:sz w:val="16"/>
                <w:szCs w:val="16"/>
                <w:color w:val="auto"/>
              </w:rPr>
              <w:t>16.1</w:t>
            </w:r>
          </w:p>
        </w:tc>
        <w:tc>
          <w:tcPr>
            <w:tcW w:w="3040" w:type="dxa"/>
            <w:vAlign w:val="bottom"/>
            <w:tcBorders>
              <w:bottom w:val="single" w:sz="8" w:color="0000FF"/>
            </w:tcBorders>
            <w:gridSpan w:val="7"/>
          </w:tcPr>
          <w:p>
            <w:pPr>
              <w:spacing w:after="0"/>
              <w:rPr>
                <w:rFonts w:ascii="Arial" w:cs="Arial" w:eastAsia="Arial" w:hAnsi="Arial"/>
                <w:sz w:val="16"/>
                <w:szCs w:val="16"/>
                <w:color w:val="0000FF"/>
                <w:w w:val="91"/>
              </w:rPr>
            </w:pPr>
            <w:hyperlink r:id="rId260">
              <w:r>
                <w:rPr>
                  <w:rFonts w:ascii="Arial" w:cs="Arial" w:eastAsia="Arial" w:hAnsi="Arial"/>
                  <w:sz w:val="16"/>
                  <w:szCs w:val="16"/>
                  <w:color w:val="0000FF"/>
                  <w:w w:val="91"/>
                </w:rPr>
                <w:t>Letter from KPMG LLP, dated March 15, 2021.</w:t>
              </w:r>
            </w:hyperlink>
          </w:p>
        </w:tc>
        <w:tc>
          <w:tcPr>
            <w:tcW w:w="19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6"/>
                <w:szCs w:val="16"/>
                <w:color w:val="auto"/>
              </w:rPr>
              <w:t>21.1</w:t>
            </w:r>
          </w:p>
        </w:tc>
        <w:tc>
          <w:tcPr>
            <w:tcW w:w="4980" w:type="dxa"/>
            <w:vAlign w:val="bottom"/>
            <w:gridSpan w:val="31"/>
          </w:tcPr>
          <w:p>
            <w:pPr>
              <w:spacing w:after="0"/>
              <w:rPr>
                <w:rFonts w:ascii="Arial" w:cs="Arial" w:eastAsia="Arial" w:hAnsi="Arial"/>
                <w:sz w:val="16"/>
                <w:szCs w:val="16"/>
                <w:color w:val="0000FF"/>
              </w:rPr>
            </w:pPr>
            <w:hyperlink w:anchor="page157">
              <w:r>
                <w:rPr>
                  <w:rFonts w:ascii="Arial" w:cs="Arial" w:eastAsia="Arial" w:hAnsi="Arial"/>
                  <w:sz w:val="16"/>
                  <w:szCs w:val="16"/>
                  <w:color w:val="0000FF"/>
                </w:rPr>
                <w:t>Subsidiaries of Clearway Energy LLC.</w:t>
              </w:r>
            </w:hyperlink>
          </w:p>
        </w:tc>
        <w:tc>
          <w:tcPr>
            <w:tcW w:w="0" w:type="dxa"/>
            <w:vAlign w:val="bottom"/>
          </w:tcPr>
          <w:p>
            <w:pPr>
              <w:spacing w:after="0"/>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6"/>
                <w:szCs w:val="16"/>
                <w:color w:val="auto"/>
              </w:rPr>
              <w:t>24.1</w:t>
            </w:r>
          </w:p>
        </w:tc>
        <w:tc>
          <w:tcPr>
            <w:tcW w:w="122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1"/>
              </w:rPr>
            </w:pPr>
            <w:hyperlink w:anchor="page154">
              <w:r>
                <w:rPr>
                  <w:rFonts w:ascii="Arial" w:cs="Arial" w:eastAsia="Arial" w:hAnsi="Arial"/>
                  <w:sz w:val="16"/>
                  <w:szCs w:val="16"/>
                  <w:color w:val="0000FF"/>
                  <w:w w:val="91"/>
                </w:rPr>
                <w:t>Power of Attorney.</w:t>
              </w:r>
            </w:hyperlink>
          </w:p>
        </w:tc>
        <w:tc>
          <w:tcPr>
            <w:tcW w:w="1240" w:type="dxa"/>
            <w:vAlign w:val="bottom"/>
            <w:tcBorders>
              <w:top w:val="single" w:sz="8" w:color="0000FF"/>
            </w:tcBorders>
            <w:gridSpan w:val="3"/>
          </w:tcPr>
          <w:p>
            <w:pPr>
              <w:spacing w:after="0"/>
              <w:rPr>
                <w:sz w:val="16"/>
                <w:szCs w:val="16"/>
                <w:color w:val="auto"/>
              </w:rPr>
            </w:pPr>
          </w:p>
        </w:tc>
        <w:tc>
          <w:tcPr>
            <w:tcW w:w="252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880" w:type="dxa"/>
            <w:vAlign w:val="bottom"/>
          </w:tcPr>
          <w:p>
            <w:pPr>
              <w:spacing w:after="0"/>
              <w:rPr>
                <w:sz w:val="20"/>
                <w:szCs w:val="20"/>
                <w:color w:val="auto"/>
              </w:rPr>
            </w:pPr>
            <w:r>
              <w:rPr>
                <w:rFonts w:ascii="Arial" w:cs="Arial" w:eastAsia="Arial" w:hAnsi="Arial"/>
                <w:sz w:val="16"/>
                <w:szCs w:val="16"/>
                <w:color w:val="auto"/>
              </w:rPr>
              <w:t>31.1</w:t>
            </w:r>
          </w:p>
        </w:tc>
        <w:tc>
          <w:tcPr>
            <w:tcW w:w="4980" w:type="dxa"/>
            <w:vAlign w:val="bottom"/>
            <w:gridSpan w:val="31"/>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Rule 13a-14(a)/15d-14(a) certification of Christopher S. Sotos.</w:t>
              </w:r>
            </w:hyperlink>
          </w:p>
        </w:tc>
        <w:tc>
          <w:tcPr>
            <w:tcW w:w="0" w:type="dxa"/>
            <w:vAlign w:val="bottom"/>
          </w:tcPr>
          <w:p>
            <w:pPr>
              <w:spacing w:after="0"/>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6"/>
                <w:szCs w:val="16"/>
                <w:color w:val="auto"/>
              </w:rPr>
              <w:t>31.2</w:t>
            </w:r>
          </w:p>
        </w:tc>
        <w:tc>
          <w:tcPr>
            <w:tcW w:w="352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1"/>
              </w:rPr>
            </w:pPr>
            <w:hyperlink w:anchor="page169">
              <w:r>
                <w:rPr>
                  <w:rFonts w:ascii="Arial" w:cs="Arial" w:eastAsia="Arial" w:hAnsi="Arial"/>
                  <w:sz w:val="16"/>
                  <w:szCs w:val="16"/>
                  <w:color w:val="0000FF"/>
                  <w:w w:val="91"/>
                </w:rPr>
                <w:t>Rule 13a-14(a)/15d-14(a) certification of Chad Plotkin.</w:t>
              </w:r>
            </w:hyperlink>
          </w:p>
        </w:tc>
        <w:tc>
          <w:tcPr>
            <w:tcW w:w="460" w:type="dxa"/>
            <w:vAlign w:val="bottom"/>
            <w:tcBorders>
              <w:top w:val="single" w:sz="8" w:color="0000FF"/>
            </w:tcBorders>
            <w:gridSpan w:val="4"/>
          </w:tcPr>
          <w:p>
            <w:pPr>
              <w:spacing w:after="0"/>
              <w:rPr>
                <w:sz w:val="16"/>
                <w:szCs w:val="16"/>
                <w:color w:val="auto"/>
              </w:rPr>
            </w:pPr>
          </w:p>
        </w:tc>
        <w:tc>
          <w:tcPr>
            <w:tcW w:w="100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6"/>
                <w:szCs w:val="16"/>
                <w:color w:val="auto"/>
              </w:rPr>
              <w:t>31.3</w:t>
            </w:r>
          </w:p>
        </w:tc>
        <w:tc>
          <w:tcPr>
            <w:tcW w:w="3800" w:type="dxa"/>
            <w:vAlign w:val="bottom"/>
            <w:tcBorders>
              <w:bottom w:val="single" w:sz="8" w:color="0000FF"/>
            </w:tcBorders>
            <w:gridSpan w:val="9"/>
          </w:tcPr>
          <w:p>
            <w:pPr>
              <w:spacing w:after="0"/>
              <w:rPr>
                <w:rFonts w:ascii="Arial" w:cs="Arial" w:eastAsia="Arial" w:hAnsi="Arial"/>
                <w:sz w:val="16"/>
                <w:szCs w:val="16"/>
                <w:color w:val="0000FF"/>
                <w:w w:val="89"/>
              </w:rPr>
            </w:pPr>
            <w:hyperlink w:anchor="page170">
              <w:r>
                <w:rPr>
                  <w:rFonts w:ascii="Arial" w:cs="Arial" w:eastAsia="Arial" w:hAnsi="Arial"/>
                  <w:sz w:val="16"/>
                  <w:szCs w:val="16"/>
                  <w:color w:val="0000FF"/>
                  <w:w w:val="89"/>
                </w:rPr>
                <w:t>Rule 13a-14(a)/15d-14(a) certification of Sarah Rubenstein.</w:t>
              </w:r>
            </w:hyperlink>
          </w:p>
        </w:tc>
        <w:tc>
          <w:tcPr>
            <w:tcW w:w="11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80" w:hanging="877"/>
        <w:spacing w:after="0"/>
        <w:tabs>
          <w:tab w:leader="none" w:pos="880" w:val="left"/>
        </w:tabs>
        <w:numPr>
          <w:ilvl w:val="0"/>
          <w:numId w:val="80"/>
        </w:numPr>
        <w:rPr>
          <w:rFonts w:ascii="Arial" w:cs="Arial" w:eastAsia="Arial" w:hAnsi="Arial"/>
          <w:sz w:val="16"/>
          <w:szCs w:val="16"/>
          <w:u w:val="single" w:color="auto"/>
          <w:color w:val="0000FF"/>
        </w:rPr>
      </w:pPr>
      <w:hyperlink w:anchor="page171">
        <w:r>
          <w:rPr>
            <w:rFonts w:ascii="Arial" w:cs="Arial" w:eastAsia="Arial" w:hAnsi="Arial"/>
            <w:sz w:val="16"/>
            <w:szCs w:val="16"/>
            <w:u w:val="single" w:color="auto"/>
            <w:color w:val="0000FF"/>
          </w:rPr>
          <w:t>Section 1350 Certification.</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480" w:type="dxa"/>
            <w:vAlign w:val="bottom"/>
          </w:tcPr>
          <w:p>
            <w:pPr>
              <w:ind w:left="20"/>
              <w:spacing w:after="0"/>
              <w:rPr>
                <w:sz w:val="20"/>
                <w:szCs w:val="20"/>
                <w:color w:val="auto"/>
              </w:rPr>
            </w:pPr>
            <w:r>
              <w:rPr>
                <w:rFonts w:ascii="Arial" w:cs="Arial" w:eastAsia="Arial" w:hAnsi="Arial"/>
                <w:sz w:val="16"/>
                <w:szCs w:val="16"/>
                <w:color w:val="auto"/>
              </w:rPr>
              <w:t>INS</w:t>
            </w:r>
          </w:p>
        </w:tc>
        <w:tc>
          <w:tcPr>
            <w:tcW w:w="3840" w:type="dxa"/>
            <w:vAlign w:val="bottom"/>
          </w:tcPr>
          <w:p>
            <w:pPr>
              <w:ind w:left="140"/>
              <w:spacing w:after="0"/>
              <w:rPr>
                <w:sz w:val="20"/>
                <w:szCs w:val="20"/>
                <w:color w:val="auto"/>
              </w:rPr>
            </w:pPr>
            <w:r>
              <w:rPr>
                <w:rFonts w:ascii="Arial" w:cs="Arial" w:eastAsia="Arial" w:hAnsi="Arial"/>
                <w:sz w:val="16"/>
                <w:szCs w:val="16"/>
                <w:color w:val="auto"/>
              </w:rPr>
              <w:t>Inline XBRL Instance Document.</w:t>
            </w:r>
          </w:p>
        </w:tc>
      </w:tr>
      <w:tr>
        <w:trPr>
          <w:trHeight w:val="211"/>
        </w:trPr>
        <w:tc>
          <w:tcPr>
            <w:tcW w:w="74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840" w:type="dxa"/>
            <w:vAlign w:val="bottom"/>
          </w:tcPr>
          <w:p>
            <w:pPr>
              <w:ind w:left="140"/>
              <w:spacing w:after="0"/>
              <w:rPr>
                <w:sz w:val="20"/>
                <w:szCs w:val="20"/>
                <w:color w:val="auto"/>
              </w:rPr>
            </w:pPr>
            <w:r>
              <w:rPr>
                <w:rFonts w:ascii="Arial" w:cs="Arial" w:eastAsia="Arial" w:hAnsi="Arial"/>
                <w:sz w:val="16"/>
                <w:szCs w:val="16"/>
                <w:color w:val="auto"/>
              </w:rPr>
              <w:t>Inline XBRL Taxonomy Extension Schema.</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480" w:type="dxa"/>
            <w:vAlign w:val="bottom"/>
          </w:tcPr>
          <w:p>
            <w:pPr>
              <w:ind w:left="20"/>
              <w:spacing w:after="0"/>
              <w:rPr>
                <w:sz w:val="20"/>
                <w:szCs w:val="20"/>
                <w:color w:val="auto"/>
              </w:rPr>
            </w:pPr>
            <w:r>
              <w:rPr>
                <w:rFonts w:ascii="Arial" w:cs="Arial" w:eastAsia="Arial" w:hAnsi="Arial"/>
                <w:sz w:val="16"/>
                <w:szCs w:val="16"/>
                <w:color w:val="auto"/>
              </w:rPr>
              <w:t>CAL</w:t>
            </w:r>
          </w:p>
        </w:tc>
        <w:tc>
          <w:tcPr>
            <w:tcW w:w="3840" w:type="dxa"/>
            <w:vAlign w:val="bottom"/>
          </w:tcPr>
          <w:p>
            <w:pPr>
              <w:ind w:left="140"/>
              <w:spacing w:after="0"/>
              <w:rPr>
                <w:sz w:val="20"/>
                <w:szCs w:val="20"/>
                <w:color w:val="auto"/>
              </w:rPr>
            </w:pPr>
            <w:r>
              <w:rPr>
                <w:rFonts w:ascii="Arial" w:cs="Arial" w:eastAsia="Arial" w:hAnsi="Arial"/>
                <w:sz w:val="16"/>
                <w:szCs w:val="16"/>
                <w:color w:val="auto"/>
                <w:w w:val="93"/>
              </w:rPr>
              <w:t>Inline XBRL Taxonomy Extension Calculation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480" w:type="dxa"/>
            <w:vAlign w:val="bottom"/>
          </w:tcPr>
          <w:p>
            <w:pPr>
              <w:ind w:left="20"/>
              <w:spacing w:after="0"/>
              <w:rPr>
                <w:sz w:val="20"/>
                <w:szCs w:val="20"/>
                <w:color w:val="auto"/>
              </w:rPr>
            </w:pPr>
            <w:r>
              <w:rPr>
                <w:rFonts w:ascii="Arial" w:cs="Arial" w:eastAsia="Arial" w:hAnsi="Arial"/>
                <w:sz w:val="16"/>
                <w:szCs w:val="16"/>
                <w:color w:val="auto"/>
              </w:rPr>
              <w:t>DEF</w:t>
            </w:r>
          </w:p>
        </w:tc>
        <w:tc>
          <w:tcPr>
            <w:tcW w:w="3840" w:type="dxa"/>
            <w:vAlign w:val="bottom"/>
          </w:tcPr>
          <w:p>
            <w:pPr>
              <w:ind w:left="140"/>
              <w:spacing w:after="0"/>
              <w:rPr>
                <w:sz w:val="20"/>
                <w:szCs w:val="20"/>
                <w:color w:val="auto"/>
              </w:rPr>
            </w:pPr>
            <w:r>
              <w:rPr>
                <w:rFonts w:ascii="Arial" w:cs="Arial" w:eastAsia="Arial" w:hAnsi="Arial"/>
                <w:sz w:val="16"/>
                <w:szCs w:val="16"/>
                <w:color w:val="auto"/>
                <w:w w:val="96"/>
              </w:rPr>
              <w:t>Inline XBRL Taxonomy Extension Definition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480" w:type="dxa"/>
            <w:vAlign w:val="bottom"/>
          </w:tcPr>
          <w:p>
            <w:pPr>
              <w:ind w:left="20"/>
              <w:spacing w:after="0"/>
              <w:rPr>
                <w:sz w:val="20"/>
                <w:szCs w:val="20"/>
                <w:color w:val="auto"/>
              </w:rPr>
            </w:pPr>
            <w:r>
              <w:rPr>
                <w:rFonts w:ascii="Arial" w:cs="Arial" w:eastAsia="Arial" w:hAnsi="Arial"/>
                <w:sz w:val="16"/>
                <w:szCs w:val="16"/>
                <w:color w:val="auto"/>
              </w:rPr>
              <w:t>LAB</w:t>
            </w:r>
          </w:p>
        </w:tc>
        <w:tc>
          <w:tcPr>
            <w:tcW w:w="3840" w:type="dxa"/>
            <w:vAlign w:val="bottom"/>
          </w:tcPr>
          <w:p>
            <w:pPr>
              <w:ind w:left="140"/>
              <w:spacing w:after="0"/>
              <w:rPr>
                <w:sz w:val="20"/>
                <w:szCs w:val="20"/>
                <w:color w:val="auto"/>
              </w:rPr>
            </w:pPr>
            <w:r>
              <w:rPr>
                <w:rFonts w:ascii="Arial" w:cs="Arial" w:eastAsia="Arial" w:hAnsi="Arial"/>
                <w:sz w:val="16"/>
                <w:szCs w:val="16"/>
                <w:color w:val="auto"/>
              </w:rPr>
              <w:t>Inline XBRL Taxonomy Extension Label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480" w:type="dxa"/>
            <w:vAlign w:val="bottom"/>
          </w:tcPr>
          <w:p>
            <w:pPr>
              <w:ind w:left="20"/>
              <w:spacing w:after="0"/>
              <w:rPr>
                <w:sz w:val="20"/>
                <w:szCs w:val="20"/>
                <w:color w:val="auto"/>
              </w:rPr>
            </w:pPr>
            <w:r>
              <w:rPr>
                <w:rFonts w:ascii="Arial" w:cs="Arial" w:eastAsia="Arial" w:hAnsi="Arial"/>
                <w:sz w:val="16"/>
                <w:szCs w:val="16"/>
                <w:color w:val="auto"/>
              </w:rPr>
              <w:t>PRE</w:t>
            </w:r>
          </w:p>
        </w:tc>
        <w:tc>
          <w:tcPr>
            <w:tcW w:w="3840" w:type="dxa"/>
            <w:vAlign w:val="bottom"/>
          </w:tcPr>
          <w:p>
            <w:pPr>
              <w:ind w:left="140"/>
              <w:spacing w:after="0"/>
              <w:rPr>
                <w:sz w:val="20"/>
                <w:szCs w:val="20"/>
                <w:color w:val="auto"/>
              </w:rPr>
            </w:pPr>
            <w:r>
              <w:rPr>
                <w:rFonts w:ascii="Arial" w:cs="Arial" w:eastAsia="Arial" w:hAnsi="Arial"/>
                <w:sz w:val="16"/>
                <w:szCs w:val="16"/>
                <w:color w:val="auto"/>
                <w:w w:val="90"/>
              </w:rPr>
              <w:t>Inline XBRL Taxonomy Extension Presentation Linkbase.</w:t>
            </w:r>
          </w:p>
        </w:tc>
      </w:tr>
    </w:tbl>
    <w:p>
      <w:pPr>
        <w:spacing w:after="0" w:line="10" w:lineRule="exact"/>
        <w:rPr>
          <w:sz w:val="20"/>
          <w:szCs w:val="20"/>
          <w:color w:val="auto"/>
        </w:rPr>
      </w:pPr>
    </w:p>
    <w:p>
      <w:pPr>
        <w:ind w:left="880" w:right="40" w:hanging="877"/>
        <w:spacing w:after="0" w:line="225"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Cover Page Interactive Data File (</w:t>
      </w:r>
      <w:r>
        <w:rPr>
          <w:rFonts w:ascii="Arial" w:cs="Arial" w:eastAsia="Arial" w:hAnsi="Arial"/>
          <w:sz w:val="16"/>
          <w:szCs w:val="16"/>
          <w:color w:val="212529"/>
        </w:rPr>
        <w:t>the cover page interactive data file does not</w:t>
      </w:r>
      <w:r>
        <w:rPr>
          <w:rFonts w:ascii="Arial" w:cs="Arial" w:eastAsia="Arial" w:hAnsi="Arial"/>
          <w:sz w:val="16"/>
          <w:szCs w:val="16"/>
          <w:color w:val="auto"/>
        </w:rPr>
        <w:t xml:space="preserve"> </w:t>
      </w:r>
      <w:r>
        <w:rPr>
          <w:rFonts w:ascii="Arial" w:cs="Arial" w:eastAsia="Arial" w:hAnsi="Arial"/>
          <w:sz w:val="16"/>
          <w:szCs w:val="16"/>
          <w:color w:val="212529"/>
        </w:rPr>
        <w:t>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ind w:right="1460"/>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22, 2020.</w:t>
      </w:r>
    </w:p>
    <w:p>
      <w:pPr>
        <w:spacing w:after="0" w:line="10" w:lineRule="exact"/>
        <w:rPr>
          <w:sz w:val="20"/>
          <w:szCs w:val="20"/>
          <w:color w:val="auto"/>
        </w:rPr>
      </w:pPr>
    </w:p>
    <w:p>
      <w:pPr>
        <w:ind w:right="1460"/>
        <w:spacing w:after="0" w:line="225"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December 22, 2020.</w:t>
      </w:r>
    </w:p>
    <w:p>
      <w:pPr>
        <w:spacing w:after="0" w:line="10" w:lineRule="exact"/>
        <w:rPr>
          <w:sz w:val="20"/>
          <w:szCs w:val="20"/>
          <w:color w:val="auto"/>
        </w:rPr>
      </w:pPr>
    </w:p>
    <w:p>
      <w:pPr>
        <w:ind w:right="1460"/>
        <w:spacing w:after="0" w:line="225"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December 22, 2020.</w:t>
      </w:r>
    </w:p>
    <w:p>
      <w:pPr>
        <w:spacing w:after="0" w:line="10" w:lineRule="exact"/>
        <w:rPr>
          <w:sz w:val="20"/>
          <w:szCs w:val="20"/>
          <w:color w:val="auto"/>
        </w:rPr>
      </w:pPr>
    </w:p>
    <w:p>
      <w:pPr>
        <w:ind w:right="1260"/>
        <w:spacing w:after="0" w:line="236" w:lineRule="auto"/>
        <w:rPr>
          <w:sz w:val="20"/>
          <w:szCs w:val="20"/>
          <w:color w:val="auto"/>
        </w:rPr>
      </w:pPr>
      <w:r>
        <w:rPr>
          <w:rFonts w:ascii="Arial" w:cs="Arial" w:eastAsia="Arial" w:hAnsi="Arial"/>
          <w:sz w:val="16"/>
          <w:szCs w:val="16"/>
          <w:color w:val="auto"/>
        </w:rPr>
        <w:t>Incorporated by reference to Exhibit 10.31 to the Company's Annual Report on Form 10-K, filed on March 1, 2021.</w:t>
      </w:r>
    </w:p>
    <w:p>
      <w:pPr>
        <w:spacing w:after="0" w:line="24" w:lineRule="exact"/>
        <w:rPr>
          <w:sz w:val="20"/>
          <w:szCs w:val="20"/>
          <w:color w:val="auto"/>
        </w:rPr>
      </w:pPr>
    </w:p>
    <w:p>
      <w:pPr>
        <w:ind w:right="1580"/>
        <w:spacing w:after="0" w:line="225" w:lineRule="auto"/>
        <w:rPr>
          <w:sz w:val="20"/>
          <w:szCs w:val="20"/>
          <w:color w:val="auto"/>
        </w:rPr>
      </w:pPr>
      <w:r>
        <w:rPr>
          <w:rFonts w:ascii="Arial" w:cs="Arial" w:eastAsia="Arial" w:hAnsi="Arial"/>
          <w:sz w:val="16"/>
          <w:szCs w:val="16"/>
          <w:color w:val="auto"/>
        </w:rPr>
        <w:t>Incorporated by reference to Exhibit 10.2 to the Company's Quarterly Report on Form 10-Q, filed on August 3, 2021.</w:t>
      </w:r>
    </w:p>
    <w:p>
      <w:pPr>
        <w:spacing w:after="0" w:line="10" w:lineRule="exact"/>
        <w:rPr>
          <w:sz w:val="20"/>
          <w:szCs w:val="20"/>
          <w:color w:val="auto"/>
        </w:rPr>
      </w:pPr>
    </w:p>
    <w:p>
      <w:pPr>
        <w:ind w:right="1280"/>
        <w:spacing w:after="0" w:line="225" w:lineRule="auto"/>
        <w:rPr>
          <w:sz w:val="20"/>
          <w:szCs w:val="20"/>
          <w:color w:val="auto"/>
        </w:rPr>
      </w:pPr>
      <w:r>
        <w:rPr>
          <w:rFonts w:ascii="Arial" w:cs="Arial" w:eastAsia="Arial" w:hAnsi="Arial"/>
          <w:sz w:val="16"/>
          <w:szCs w:val="16"/>
          <w:color w:val="auto"/>
        </w:rPr>
        <w:t>Incorporated by reference to Exhibit 10.1 to the Company's Current Report on Form 8-K, filed on August 23, 2021.</w:t>
      </w:r>
    </w:p>
    <w:p>
      <w:pPr>
        <w:spacing w:after="0" w:line="10" w:lineRule="exact"/>
        <w:rPr>
          <w:sz w:val="20"/>
          <w:szCs w:val="20"/>
          <w:color w:val="auto"/>
        </w:rPr>
      </w:pPr>
    </w:p>
    <w:p>
      <w:pPr>
        <w:ind w:right="1780"/>
        <w:spacing w:after="0" w:line="225" w:lineRule="auto"/>
        <w:rPr>
          <w:sz w:val="20"/>
          <w:szCs w:val="20"/>
          <w:color w:val="auto"/>
        </w:rPr>
      </w:pPr>
      <w:r>
        <w:rPr>
          <w:rFonts w:ascii="Arial" w:cs="Arial" w:eastAsia="Arial" w:hAnsi="Arial"/>
          <w:sz w:val="16"/>
          <w:szCs w:val="16"/>
          <w:color w:val="auto"/>
        </w:rPr>
        <w:t>Incorporated by reference to Exhibit 10.1 to the Company's Current Report on Form 8-K, filed on September 23, 2021.</w:t>
      </w:r>
    </w:p>
    <w:p>
      <w:pPr>
        <w:spacing w:after="0" w:line="10" w:lineRule="exact"/>
        <w:rPr>
          <w:sz w:val="20"/>
          <w:szCs w:val="20"/>
          <w:color w:val="auto"/>
        </w:rPr>
      </w:pPr>
    </w:p>
    <w:p>
      <w:pPr>
        <w:ind w:right="1220"/>
        <w:spacing w:after="0" w:line="225" w:lineRule="auto"/>
        <w:rPr>
          <w:sz w:val="20"/>
          <w:szCs w:val="20"/>
          <w:color w:val="auto"/>
        </w:rPr>
      </w:pPr>
      <w:r>
        <w:rPr>
          <w:rFonts w:ascii="Arial" w:cs="Arial" w:eastAsia="Arial" w:hAnsi="Arial"/>
          <w:sz w:val="16"/>
          <w:szCs w:val="16"/>
          <w:color w:val="auto"/>
        </w:rPr>
        <w:t>Incorporated by reference to Exhibit 10.1 to the Company's Current Report on Form 8-K, filed on October 26, 2021.</w:t>
      </w:r>
    </w:p>
    <w:p>
      <w:pPr>
        <w:spacing w:after="0" w:line="168" w:lineRule="exact"/>
        <w:rPr>
          <w:sz w:val="20"/>
          <w:szCs w:val="20"/>
          <w:color w:val="auto"/>
        </w:rPr>
      </w:pPr>
    </w:p>
    <w:p>
      <w:pPr>
        <w:ind w:right="1780"/>
        <w:spacing w:after="0" w:line="225" w:lineRule="auto"/>
        <w:rPr>
          <w:sz w:val="20"/>
          <w:szCs w:val="20"/>
          <w:color w:val="auto"/>
        </w:rPr>
      </w:pPr>
      <w:r>
        <w:rPr>
          <w:rFonts w:ascii="Arial" w:cs="Arial" w:eastAsia="Arial" w:hAnsi="Arial"/>
          <w:sz w:val="16"/>
          <w:szCs w:val="16"/>
          <w:color w:val="auto"/>
        </w:rPr>
        <w:t>Incorporated by reference to Exhibit 10.2 to the Company's Current Report on Form 8-K, filed on December 1, 2021.</w:t>
      </w:r>
    </w:p>
    <w:p>
      <w:pPr>
        <w:spacing w:after="0" w:line="10" w:lineRule="exact"/>
        <w:rPr>
          <w:sz w:val="20"/>
          <w:szCs w:val="20"/>
          <w:color w:val="auto"/>
        </w:rPr>
      </w:pPr>
    </w:p>
    <w:p>
      <w:pPr>
        <w:ind w:right="1280"/>
        <w:spacing w:after="0" w:line="225"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January 18, 2022.</w:t>
      </w:r>
    </w:p>
    <w:p>
      <w:pPr>
        <w:spacing w:after="0" w:line="10" w:lineRule="exact"/>
        <w:rPr>
          <w:sz w:val="20"/>
          <w:szCs w:val="20"/>
          <w:color w:val="auto"/>
        </w:rPr>
      </w:pPr>
    </w:p>
    <w:p>
      <w:pPr>
        <w:ind w:right="1280"/>
        <w:spacing w:after="0" w:line="225"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January 18, 2022.</w:t>
      </w:r>
    </w:p>
    <w:p>
      <w:pPr>
        <w:spacing w:after="0" w:line="10" w:lineRule="exact"/>
        <w:rPr>
          <w:sz w:val="20"/>
          <w:szCs w:val="20"/>
          <w:color w:val="auto"/>
        </w:rPr>
      </w:pPr>
    </w:p>
    <w:p>
      <w:pPr>
        <w:ind w:right="1340"/>
        <w:spacing w:after="0" w:line="225" w:lineRule="auto"/>
        <w:rPr>
          <w:sz w:val="20"/>
          <w:szCs w:val="20"/>
          <w:color w:val="auto"/>
        </w:rPr>
      </w:pPr>
      <w:r>
        <w:rPr>
          <w:rFonts w:ascii="Arial" w:cs="Arial" w:eastAsia="Arial" w:hAnsi="Arial"/>
          <w:sz w:val="16"/>
          <w:szCs w:val="16"/>
          <w:color w:val="auto"/>
        </w:rPr>
        <w:t>Incorporated herein by reference to Exhibit 16.1 to the Company’s Current Report on Form 8-K filed on March 15, 2021.</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ind w:right="1360"/>
        <w:spacing w:after="0" w:line="234" w:lineRule="auto"/>
        <w:rPr>
          <w:sz w:val="20"/>
          <w:szCs w:val="20"/>
          <w:color w:val="auto"/>
        </w:rPr>
      </w:pPr>
      <w:r>
        <w:rPr>
          <w:rFonts w:ascii="Arial" w:cs="Arial" w:eastAsia="Arial" w:hAnsi="Arial"/>
          <w:sz w:val="16"/>
          <w:szCs w:val="16"/>
          <w:color w:val="auto"/>
        </w:rPr>
        <w:t>Included on the signature page of this Annual Report on Form 10-K.</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26" w:lineRule="exact"/>
        <w:rPr>
          <w:sz w:val="20"/>
          <w:szCs w:val="20"/>
          <w:color w:val="auto"/>
        </w:rPr>
      </w:pPr>
    </w:p>
    <w:p>
      <w:pPr>
        <w:sectPr>
          <w:pgSz w:w="11900" w:h="16838" w:orient="portrait"/>
          <w:cols w:equalWidth="0" w:num="2">
            <w:col w:w="5840" w:space="200"/>
            <w:col w:w="4900"/>
          </w:cols>
          <w:pgMar w:left="340" w:top="905" w:right="619" w:bottom="1440" w:gutter="0" w:footer="0" w:header="0"/>
        </w:sectPr>
      </w:pPr>
    </w:p>
    <w:p>
      <w:pPr>
        <w:ind w:left="680" w:hanging="677"/>
        <w:spacing w:after="0"/>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27" w:lineRule="exact"/>
        <w:rPr>
          <w:sz w:val="20"/>
          <w:szCs w:val="20"/>
          <w:color w:val="auto"/>
        </w:rPr>
      </w:pPr>
    </w:p>
    <w:p>
      <w:pPr>
        <w:ind w:left="680" w:right="40" w:hanging="677"/>
        <w:spacing w:after="0" w:line="234" w:lineRule="auto"/>
        <w:tabs>
          <w:tab w:leader="none" w:pos="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601(a)(5) of Regulation S-K, which the registrant agrees to furnish supplementary to the Securities and Exchange Commission upon request by the Commission.</w:t>
      </w:r>
    </w:p>
    <w:p>
      <w:pPr>
        <w:spacing w:after="0" w:line="11" w:lineRule="exact"/>
        <w:rPr>
          <w:sz w:val="20"/>
          <w:szCs w:val="20"/>
          <w:color w:val="auto"/>
        </w:rPr>
      </w:pPr>
    </w:p>
    <w:p>
      <w:pPr>
        <w:ind w:left="680" w:hanging="677"/>
        <w:spacing w:after="0" w:line="234" w:lineRule="auto"/>
        <w:tabs>
          <w:tab w:leader="none" w:pos="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64770</wp:posOffset>
            </wp:positionV>
            <wp:extent cx="716089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40" w:top="905" w:right="61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Item 16 — Form 10-K Summary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ind w:firstLine="219"/>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CLEARWAY ENERGY LLC</w:t>
      </w:r>
    </w:p>
    <w:p>
      <w:pPr>
        <w:ind w:left="6720"/>
        <w:spacing w:after="0"/>
        <w:rPr>
          <w:sz w:val="20"/>
          <w:szCs w:val="20"/>
          <w:color w:val="auto"/>
        </w:rPr>
      </w:pPr>
      <w:r>
        <w:rPr>
          <w:rFonts w:ascii="Arial" w:cs="Arial" w:eastAsia="Arial" w:hAnsi="Arial"/>
          <w:sz w:val="18"/>
          <w:szCs w:val="18"/>
          <w:color w:val="auto"/>
        </w:rPr>
        <w:t>(Registrant)</w:t>
      </w:r>
    </w:p>
    <w:p>
      <w:pPr>
        <w:spacing w:after="0" w:line="25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10160</wp:posOffset>
            </wp:positionV>
            <wp:extent cx="21189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3">
                      <a:extLst>
                        <a:ext uri="{28A0092B-C50C-407E-A947-70E740481C1C}"/>
                      </a:extLst>
                    </a:blip>
                    <a:srcRect/>
                    <a:stretch>
                      <a:fillRect/>
                    </a:stretch>
                  </pic:blipFill>
                  <pic:spPr bwMode="auto">
                    <a:xfrm>
                      <a:off x="0" y="0"/>
                      <a:ext cx="2118995" cy="8255"/>
                    </a:xfrm>
                    <a:prstGeom prst="rect">
                      <a:avLst/>
                    </a:prstGeom>
                    <a:noFill/>
                  </pic:spPr>
                </pic:pic>
              </a:graphicData>
            </a:graphic>
          </wp:anchor>
        </w:drawing>
      </w:r>
    </w:p>
    <w:p>
      <w:pPr>
        <w:spacing w:after="0" w:line="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Christopher S. Sotos</w:t>
      </w:r>
    </w:p>
    <w:p>
      <w:pPr>
        <w:ind w:left="6720"/>
        <w:spacing w:after="0" w:line="235" w:lineRule="auto"/>
        <w:rPr>
          <w:sz w:val="20"/>
          <w:szCs w:val="20"/>
          <w:color w:val="auto"/>
        </w:rPr>
      </w:pPr>
      <w:r>
        <w:rPr>
          <w:rFonts w:ascii="Arial" w:cs="Arial" w:eastAsia="Arial" w:hAnsi="Arial"/>
          <w:sz w:val="18"/>
          <w:szCs w:val="18"/>
          <w:i w:val="1"/>
          <w:iCs w:val="1"/>
          <w:color w:val="auto"/>
        </w:rPr>
        <w:t>Chief Executive Officer</w:t>
      </w:r>
    </w:p>
    <w:p>
      <w:pPr>
        <w:ind w:left="6720"/>
        <w:spacing w:after="0"/>
        <w:rPr>
          <w:sz w:val="20"/>
          <w:szCs w:val="20"/>
          <w:color w:val="auto"/>
        </w:rPr>
      </w:pPr>
      <w:r>
        <w:rPr>
          <w:rFonts w:ascii="Arial" w:cs="Arial" w:eastAsia="Arial" w:hAnsi="Arial"/>
          <w:sz w:val="18"/>
          <w:szCs w:val="18"/>
          <w:i w:val="1"/>
          <w:iCs w:val="1"/>
          <w:color w:val="auto"/>
        </w:rPr>
        <w:t>(Principal Executive Officer)</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2022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00" w:lineRule="exact"/>
        <w:rPr>
          <w:sz w:val="20"/>
          <w:szCs w:val="20"/>
          <w:color w:val="auto"/>
        </w:rPr>
      </w:pPr>
    </w:p>
    <w:p>
      <w:pPr>
        <w:ind w:right="40" w:firstLine="176"/>
        <w:spacing w:after="0" w:line="283" w:lineRule="auto"/>
        <w:rPr>
          <w:sz w:val="20"/>
          <w:szCs w:val="20"/>
          <w:color w:val="auto"/>
        </w:rPr>
      </w:pPr>
      <w:r>
        <w:rPr>
          <w:rFonts w:ascii="Arial" w:cs="Arial" w:eastAsia="Arial" w:hAnsi="Arial"/>
          <w:sz w:val="16"/>
          <w:szCs w:val="16"/>
          <w:color w:val="auto"/>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17" w:lineRule="exact"/>
        <w:rPr>
          <w:sz w:val="20"/>
          <w:szCs w:val="20"/>
          <w:color w:val="auto"/>
        </w:rPr>
      </w:pPr>
    </w:p>
    <w:p>
      <w:pPr>
        <w:ind w:firstLine="213"/>
        <w:spacing w:after="0" w:line="262"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8"/>
              </w:rPr>
              <w:t>Signatures</w:t>
            </w:r>
          </w:p>
        </w:tc>
        <w:tc>
          <w:tcPr>
            <w:tcW w:w="4900" w:type="dxa"/>
            <w:vAlign w:val="bottom"/>
            <w:gridSpan w:val="3"/>
          </w:tcPr>
          <w:p>
            <w:pPr>
              <w:ind w:left="9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color w:val="auto"/>
                <w:w w:val="88"/>
              </w:rPr>
              <w:t>/s/ CHRISTOPHER S. SOTOS</w:t>
            </w:r>
          </w:p>
        </w:tc>
        <w:tc>
          <w:tcPr>
            <w:tcW w:w="4900" w:type="dxa"/>
            <w:vAlign w:val="bottom"/>
            <w:gridSpan w:val="3"/>
          </w:tcPr>
          <w:p>
            <w:pPr>
              <w:ind w:left="9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414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Christopher S. Sotos</w:t>
            </w:r>
          </w:p>
        </w:tc>
        <w:tc>
          <w:tcPr>
            <w:tcW w:w="4900" w:type="dxa"/>
            <w:vAlign w:val="bottom"/>
            <w:gridSpan w:val="3"/>
          </w:tcPr>
          <w:p>
            <w:pPr>
              <w:ind w:left="920"/>
              <w:spacing w:after="0" w:line="204" w:lineRule="exact"/>
              <w:rPr>
                <w:sz w:val="20"/>
                <w:szCs w:val="20"/>
                <w:color w:val="auto"/>
              </w:rPr>
            </w:pPr>
            <w:r>
              <w:rPr>
                <w:rFonts w:ascii="Arial" w:cs="Arial" w:eastAsia="Arial" w:hAnsi="Arial"/>
                <w:sz w:val="18"/>
                <w:szCs w:val="18"/>
                <w:i w:val="1"/>
                <w:iCs w:val="1"/>
                <w:color w:val="auto"/>
                <w:w w:val="93"/>
              </w:rPr>
              <w:t>of Clearway Energy LLC (Principal Executive Officer)</w:t>
            </w:r>
          </w:p>
        </w:tc>
        <w:tc>
          <w:tcPr>
            <w:tcW w:w="0" w:type="dxa"/>
            <w:vAlign w:val="bottom"/>
          </w:tcPr>
          <w:p>
            <w:pPr>
              <w:spacing w:after="0"/>
              <w:rPr>
                <w:sz w:val="1"/>
                <w:szCs w:val="1"/>
                <w:color w:val="auto"/>
              </w:rPr>
            </w:pPr>
          </w:p>
        </w:tc>
      </w:tr>
      <w:tr>
        <w:trPr>
          <w:trHeight w:val="224"/>
        </w:trPr>
        <w:tc>
          <w:tcPr>
            <w:tcW w:w="1020" w:type="dxa"/>
            <w:vAlign w:val="bottom"/>
          </w:tcPr>
          <w:p>
            <w:pPr>
              <w:ind w:left="420"/>
              <w:spacing w:after="0"/>
              <w:rPr>
                <w:sz w:val="20"/>
                <w:szCs w:val="20"/>
                <w:color w:val="auto"/>
              </w:rPr>
            </w:pPr>
            <w:r>
              <w:rPr>
                <w:rFonts w:ascii="Arial" w:cs="Arial" w:eastAsia="Arial" w:hAnsi="Arial"/>
                <w:sz w:val="18"/>
                <w:szCs w:val="18"/>
                <w:color w:val="auto"/>
              </w:rPr>
              <w:t>Date:</w:t>
            </w:r>
          </w:p>
        </w:tc>
        <w:tc>
          <w:tcPr>
            <w:tcW w:w="4140" w:type="dxa"/>
            <w:vAlign w:val="bottom"/>
            <w:gridSpan w:val="3"/>
          </w:tcPr>
          <w:p>
            <w:pPr>
              <w:ind w:left="220"/>
              <w:spacing w:after="0"/>
              <w:rPr>
                <w:sz w:val="20"/>
                <w:szCs w:val="20"/>
                <w:color w:val="auto"/>
              </w:rPr>
            </w:pPr>
            <w:r>
              <w:rPr>
                <w:rFonts w:ascii="Arial" w:cs="Arial" w:eastAsia="Arial" w:hAnsi="Arial"/>
                <w:sz w:val="18"/>
                <w:szCs w:val="18"/>
                <w:color w:val="auto"/>
              </w:rPr>
              <w:t>February 25, 2022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900" w:type="dxa"/>
            <w:vAlign w:val="bottom"/>
            <w:gridSpan w:val="3"/>
          </w:tcPr>
          <w:p>
            <w:pPr>
              <w:ind w:left="920"/>
              <w:spacing w:after="0"/>
              <w:rPr>
                <w:sz w:val="20"/>
                <w:szCs w:val="20"/>
                <w:color w:val="auto"/>
              </w:rPr>
            </w:pPr>
            <w:r>
              <w:rPr>
                <w:rFonts w:ascii="Arial" w:cs="Arial" w:eastAsia="Arial" w:hAnsi="Arial"/>
                <w:sz w:val="18"/>
                <w:szCs w:val="18"/>
                <w:i w:val="1"/>
                <w:iCs w:val="1"/>
                <w:color w:val="auto"/>
                <w:w w:val="95"/>
              </w:rPr>
              <w:t>Executive Vice President and Chief Financial Officer</w:t>
            </w:r>
          </w:p>
        </w:tc>
        <w:tc>
          <w:tcPr>
            <w:tcW w:w="0" w:type="dxa"/>
            <w:vAlign w:val="bottom"/>
          </w:tcPr>
          <w:p>
            <w:pPr>
              <w:spacing w:after="0"/>
              <w:rPr>
                <w:sz w:val="1"/>
                <w:szCs w:val="1"/>
                <w:color w:val="auto"/>
              </w:rPr>
            </w:pPr>
          </w:p>
        </w:tc>
      </w:tr>
      <w:tr>
        <w:trPr>
          <w:trHeight w:val="435"/>
        </w:trPr>
        <w:tc>
          <w:tcPr>
            <w:tcW w:w="1020" w:type="dxa"/>
            <w:vAlign w:val="bottom"/>
          </w:tcPr>
          <w:p>
            <w:pPr>
              <w:spacing w:after="0"/>
              <w:rPr>
                <w:sz w:val="24"/>
                <w:szCs w:val="24"/>
                <w:color w:val="auto"/>
              </w:rPr>
            </w:pPr>
          </w:p>
        </w:tc>
        <w:tc>
          <w:tcPr>
            <w:tcW w:w="4140" w:type="dxa"/>
            <w:vAlign w:val="bottom"/>
            <w:gridSpan w:val="3"/>
          </w:tcPr>
          <w:p>
            <w:pPr>
              <w:jc w:val="center"/>
              <w:ind w:left="112"/>
              <w:spacing w:after="0"/>
              <w:rPr>
                <w:sz w:val="20"/>
                <w:szCs w:val="20"/>
                <w:color w:val="auto"/>
              </w:rPr>
            </w:pPr>
            <w:r>
              <w:rPr>
                <w:rFonts w:ascii="Arial" w:cs="Arial" w:eastAsia="Arial" w:hAnsi="Arial"/>
                <w:sz w:val="18"/>
                <w:szCs w:val="18"/>
                <w:color w:val="auto"/>
                <w:w w:val="95"/>
              </w:rPr>
              <w:t>/s/ CHAD PLOTKIN</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900" w:type="dxa"/>
            <w:vAlign w:val="bottom"/>
            <w:gridSpan w:val="3"/>
            <w:vMerge w:val="restart"/>
          </w:tcPr>
          <w:p>
            <w:pPr>
              <w:ind w:left="920"/>
              <w:spacing w:after="0"/>
              <w:rPr>
                <w:sz w:val="20"/>
                <w:szCs w:val="20"/>
                <w:color w:val="auto"/>
              </w:rPr>
            </w:pPr>
            <w:r>
              <w:rPr>
                <w:rFonts w:ascii="Arial" w:cs="Arial" w:eastAsia="Arial" w:hAnsi="Arial"/>
                <w:sz w:val="18"/>
                <w:szCs w:val="18"/>
                <w:i w:val="1"/>
                <w:iCs w:val="1"/>
                <w:color w:val="auto"/>
                <w:w w:val="95"/>
              </w:rPr>
              <w:t>of Clearway Energy LLC (Principal Financial Officer)</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414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Chad Plotkin</w:t>
            </w:r>
          </w:p>
        </w:tc>
        <w:tc>
          <w:tcPr>
            <w:tcW w:w="4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tcPr>
          <w:p>
            <w:pPr>
              <w:ind w:left="420"/>
              <w:spacing w:after="0"/>
              <w:rPr>
                <w:sz w:val="20"/>
                <w:szCs w:val="20"/>
                <w:color w:val="auto"/>
              </w:rPr>
            </w:pPr>
            <w:r>
              <w:rPr>
                <w:rFonts w:ascii="Arial" w:cs="Arial" w:eastAsia="Arial" w:hAnsi="Arial"/>
                <w:sz w:val="18"/>
                <w:szCs w:val="18"/>
                <w:color w:val="auto"/>
              </w:rPr>
              <w:t>Date:</w:t>
            </w:r>
          </w:p>
        </w:tc>
        <w:tc>
          <w:tcPr>
            <w:tcW w:w="4140" w:type="dxa"/>
            <w:vAlign w:val="bottom"/>
            <w:gridSpan w:val="3"/>
          </w:tcPr>
          <w:p>
            <w:pPr>
              <w:ind w:left="220"/>
              <w:spacing w:after="0"/>
              <w:rPr>
                <w:sz w:val="20"/>
                <w:szCs w:val="20"/>
                <w:color w:val="auto"/>
              </w:rPr>
            </w:pPr>
            <w:r>
              <w:rPr>
                <w:rFonts w:ascii="Arial" w:cs="Arial" w:eastAsia="Arial" w:hAnsi="Arial"/>
                <w:sz w:val="18"/>
                <w:szCs w:val="18"/>
                <w:color w:val="auto"/>
              </w:rPr>
              <w:t>February 25, 2022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0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color w:val="auto"/>
                <w:w w:val="93"/>
              </w:rPr>
              <w:t>/s/ SARAH RUBENSTEIN</w:t>
            </w:r>
          </w:p>
        </w:tc>
        <w:tc>
          <w:tcPr>
            <w:tcW w:w="4900" w:type="dxa"/>
            <w:vAlign w:val="bottom"/>
            <w:gridSpan w:val="3"/>
          </w:tcPr>
          <w:p>
            <w:pPr>
              <w:ind w:left="920"/>
              <w:spacing w:after="0"/>
              <w:rPr>
                <w:sz w:val="20"/>
                <w:szCs w:val="20"/>
                <w:color w:val="auto"/>
              </w:rPr>
            </w:pPr>
            <w:r>
              <w:rPr>
                <w:rFonts w:ascii="Arial" w:cs="Arial" w:eastAsia="Arial" w:hAnsi="Arial"/>
                <w:sz w:val="18"/>
                <w:szCs w:val="18"/>
                <w:i w:val="1"/>
                <w:iCs w:val="1"/>
                <w:color w:val="auto"/>
                <w:w w:val="97"/>
              </w:rPr>
              <w:t>Senior Vice President and Chief Accounting Officer</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4140" w:type="dxa"/>
            <w:vAlign w:val="bottom"/>
            <w:gridSpan w:val="3"/>
          </w:tcPr>
          <w:p>
            <w:pPr>
              <w:jc w:val="center"/>
              <w:ind w:left="92"/>
              <w:spacing w:after="0"/>
              <w:rPr>
                <w:sz w:val="20"/>
                <w:szCs w:val="20"/>
                <w:color w:val="auto"/>
              </w:rPr>
            </w:pPr>
            <w:r>
              <w:rPr>
                <w:rFonts w:ascii="Arial" w:cs="Arial" w:eastAsia="Arial" w:hAnsi="Arial"/>
                <w:sz w:val="18"/>
                <w:szCs w:val="18"/>
                <w:color w:val="auto"/>
                <w:w w:val="86"/>
              </w:rPr>
              <w:t>Sarah Rubenstein</w:t>
            </w:r>
          </w:p>
        </w:tc>
        <w:tc>
          <w:tcPr>
            <w:tcW w:w="4900" w:type="dxa"/>
            <w:vAlign w:val="bottom"/>
            <w:gridSpan w:val="3"/>
          </w:tcPr>
          <w:p>
            <w:pPr>
              <w:ind w:left="920"/>
              <w:spacing w:after="0" w:line="204" w:lineRule="exact"/>
              <w:rPr>
                <w:sz w:val="20"/>
                <w:szCs w:val="20"/>
                <w:color w:val="auto"/>
              </w:rPr>
            </w:pPr>
            <w:r>
              <w:rPr>
                <w:rFonts w:ascii="Arial" w:cs="Arial" w:eastAsia="Arial" w:hAnsi="Arial"/>
                <w:sz w:val="18"/>
                <w:szCs w:val="18"/>
                <w:i w:val="1"/>
                <w:iCs w:val="1"/>
                <w:color w:val="auto"/>
                <w:w w:val="91"/>
              </w:rPr>
              <w:t>of Clearway Energy LLC (Principal Accounting Officer)</w:t>
            </w:r>
          </w:p>
        </w:tc>
        <w:tc>
          <w:tcPr>
            <w:tcW w:w="0" w:type="dxa"/>
            <w:vAlign w:val="bottom"/>
          </w:tcPr>
          <w:p>
            <w:pPr>
              <w:spacing w:after="0"/>
              <w:rPr>
                <w:sz w:val="1"/>
                <w:szCs w:val="1"/>
                <w:color w:val="auto"/>
              </w:rPr>
            </w:pPr>
          </w:p>
        </w:tc>
      </w:tr>
      <w:tr>
        <w:trPr>
          <w:trHeight w:val="224"/>
        </w:trPr>
        <w:tc>
          <w:tcPr>
            <w:tcW w:w="1020" w:type="dxa"/>
            <w:vAlign w:val="bottom"/>
          </w:tcPr>
          <w:p>
            <w:pPr>
              <w:ind w:left="420"/>
              <w:spacing w:after="0"/>
              <w:rPr>
                <w:sz w:val="20"/>
                <w:szCs w:val="20"/>
                <w:color w:val="auto"/>
              </w:rPr>
            </w:pPr>
            <w:r>
              <w:rPr>
                <w:rFonts w:ascii="Arial" w:cs="Arial" w:eastAsia="Arial" w:hAnsi="Arial"/>
                <w:sz w:val="18"/>
                <w:szCs w:val="18"/>
                <w:color w:val="auto"/>
              </w:rPr>
              <w:t>Date:</w:t>
            </w:r>
          </w:p>
        </w:tc>
        <w:tc>
          <w:tcPr>
            <w:tcW w:w="4140" w:type="dxa"/>
            <w:vAlign w:val="bottom"/>
            <w:gridSpan w:val="3"/>
          </w:tcPr>
          <w:p>
            <w:pPr>
              <w:ind w:left="220"/>
              <w:spacing w:after="0"/>
              <w:rPr>
                <w:sz w:val="20"/>
                <w:szCs w:val="20"/>
                <w:color w:val="auto"/>
              </w:rPr>
            </w:pPr>
            <w:r>
              <w:rPr>
                <w:rFonts w:ascii="Arial" w:cs="Arial" w:eastAsia="Arial" w:hAnsi="Arial"/>
                <w:sz w:val="18"/>
                <w:szCs w:val="18"/>
                <w:color w:val="auto"/>
              </w:rPr>
              <w:t>February 25, 2022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5160" w:type="dxa"/>
            <w:vAlign w:val="bottom"/>
            <w:gridSpan w:val="4"/>
          </w:tcPr>
          <w:p>
            <w:pPr>
              <w:ind w:left="420"/>
              <w:spacing w:after="0"/>
              <w:rPr>
                <w:sz w:val="20"/>
                <w:szCs w:val="20"/>
                <w:color w:val="auto"/>
              </w:rPr>
            </w:pPr>
            <w:r>
              <w:rPr>
                <w:rFonts w:ascii="Arial" w:cs="Arial" w:eastAsia="Arial" w:hAnsi="Arial"/>
                <w:sz w:val="18"/>
                <w:szCs w:val="18"/>
                <w:color w:val="auto"/>
              </w:rPr>
              <w:t>CLEARWAY ENERGY, INC.</w:t>
            </w:r>
          </w:p>
        </w:tc>
        <w:tc>
          <w:tcPr>
            <w:tcW w:w="4900" w:type="dxa"/>
            <w:vAlign w:val="bottom"/>
            <w:gridSpan w:val="3"/>
          </w:tcPr>
          <w:p>
            <w:pPr>
              <w:ind w:left="920"/>
              <w:spacing w:after="0"/>
              <w:rPr>
                <w:sz w:val="20"/>
                <w:szCs w:val="20"/>
                <w:color w:val="auto"/>
              </w:rPr>
            </w:pPr>
            <w:r>
              <w:rPr>
                <w:rFonts w:ascii="Arial" w:cs="Arial" w:eastAsia="Arial" w:hAnsi="Arial"/>
                <w:sz w:val="18"/>
                <w:szCs w:val="18"/>
                <w:color w:val="auto"/>
              </w:rPr>
              <w:t>Sole Managing Member</w:t>
            </w:r>
          </w:p>
        </w:tc>
        <w:tc>
          <w:tcPr>
            <w:tcW w:w="0" w:type="dxa"/>
            <w:vAlign w:val="bottom"/>
          </w:tcPr>
          <w:p>
            <w:pPr>
              <w:spacing w:after="0"/>
              <w:rPr>
                <w:sz w:val="1"/>
                <w:szCs w:val="1"/>
                <w:color w:val="auto"/>
              </w:rPr>
            </w:pPr>
          </w:p>
        </w:tc>
      </w:tr>
      <w:tr>
        <w:trPr>
          <w:trHeight w:val="475"/>
        </w:trPr>
        <w:tc>
          <w:tcPr>
            <w:tcW w:w="10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color w:val="auto"/>
                <w:w w:val="88"/>
              </w:rPr>
              <w:t>/s/ CHRISTOPHER S. SOTOS</w:t>
            </w:r>
          </w:p>
        </w:tc>
        <w:tc>
          <w:tcPr>
            <w:tcW w:w="4900" w:type="dxa"/>
            <w:vAlign w:val="bottom"/>
            <w:gridSpan w:val="3"/>
          </w:tcPr>
          <w:p>
            <w:pPr>
              <w:ind w:left="9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414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Christopher S. Sotos</w:t>
            </w:r>
          </w:p>
        </w:tc>
        <w:tc>
          <w:tcPr>
            <w:tcW w:w="4900" w:type="dxa"/>
            <w:vAlign w:val="bottom"/>
            <w:gridSpan w:val="3"/>
          </w:tcPr>
          <w:p>
            <w:pPr>
              <w:ind w:left="920"/>
              <w:spacing w:after="0" w:line="204" w:lineRule="exact"/>
              <w:rPr>
                <w:sz w:val="20"/>
                <w:szCs w:val="20"/>
                <w:color w:val="auto"/>
              </w:rPr>
            </w:pPr>
            <w:r>
              <w:rPr>
                <w:rFonts w:ascii="Arial" w:cs="Arial" w:eastAsia="Arial" w:hAnsi="Arial"/>
                <w:sz w:val="18"/>
                <w:szCs w:val="18"/>
                <w:i w:val="1"/>
                <w:iCs w:val="1"/>
                <w:color w:val="auto"/>
              </w:rPr>
              <w:t>of Clearway Energy, Inc.</w:t>
            </w:r>
          </w:p>
        </w:tc>
        <w:tc>
          <w:tcPr>
            <w:tcW w:w="0" w:type="dxa"/>
            <w:vAlign w:val="bottom"/>
          </w:tcPr>
          <w:p>
            <w:pPr>
              <w:spacing w:after="0"/>
              <w:rPr>
                <w:sz w:val="1"/>
                <w:szCs w:val="1"/>
                <w:color w:val="auto"/>
              </w:rPr>
            </w:pPr>
          </w:p>
        </w:tc>
      </w:tr>
      <w:tr>
        <w:trPr>
          <w:trHeight w:val="224"/>
        </w:trPr>
        <w:tc>
          <w:tcPr>
            <w:tcW w:w="1020" w:type="dxa"/>
            <w:vAlign w:val="bottom"/>
          </w:tcPr>
          <w:p>
            <w:pPr>
              <w:ind w:left="420"/>
              <w:spacing w:after="0"/>
              <w:rPr>
                <w:sz w:val="20"/>
                <w:szCs w:val="20"/>
                <w:color w:val="auto"/>
              </w:rPr>
            </w:pPr>
            <w:r>
              <w:rPr>
                <w:rFonts w:ascii="Arial" w:cs="Arial" w:eastAsia="Arial" w:hAnsi="Arial"/>
                <w:sz w:val="18"/>
                <w:szCs w:val="18"/>
                <w:color w:val="auto"/>
              </w:rPr>
              <w:t>Date:</w:t>
            </w:r>
          </w:p>
        </w:tc>
        <w:tc>
          <w:tcPr>
            <w:tcW w:w="4140" w:type="dxa"/>
            <w:vAlign w:val="bottom"/>
            <w:gridSpan w:val="3"/>
          </w:tcPr>
          <w:p>
            <w:pPr>
              <w:ind w:left="220"/>
              <w:spacing w:after="0"/>
              <w:rPr>
                <w:sz w:val="20"/>
                <w:szCs w:val="20"/>
                <w:color w:val="auto"/>
              </w:rPr>
            </w:pPr>
            <w:r>
              <w:rPr>
                <w:rFonts w:ascii="Arial" w:cs="Arial" w:eastAsia="Arial" w:hAnsi="Arial"/>
                <w:sz w:val="18"/>
                <w:szCs w:val="18"/>
                <w:color w:val="auto"/>
              </w:rPr>
              <w:t>February 25, 2022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100" w:type="dxa"/>
            <w:vAlign w:val="bottom"/>
          </w:tcPr>
          <w:p>
            <w:pPr>
              <w:spacing w:after="0"/>
              <w:rPr>
                <w:sz w:val="19"/>
                <w:szCs w:val="19"/>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44"/>
        </w:trPr>
        <w:tc>
          <w:tcPr>
            <w:tcW w:w="3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r>
      <w:tr>
        <w:trPr>
          <w:trHeight w:val="23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NATHANIEL ANSCHUETZ</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9"/>
              </w:rPr>
              <w:t>Nathaniel Anschuetz</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JONATHAN BRAM</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6"/>
              </w:rPr>
              <w:t>Jonathan Bram</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BRIAN FORD</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0"/>
              </w:rPr>
              <w:t>Brian Ford</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BRUCE MACLENNAN</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0"/>
              </w:rPr>
              <w:t>Bruce MacLennan</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/s/ FERRELL MCCLEAN</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1"/>
              </w:rPr>
              <w:t>Ferrell McClean</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DANIEL B. MORE</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0"/>
              </w:rPr>
              <w:t>Daniel B. More</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 STANLEY O'NEAL</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7"/>
              </w:rPr>
              <w:t>E. Stanley O'Neal</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r>
        <w:trPr>
          <w:trHeight w:val="50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S. SOTOS</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Director of Clearway Energy, Inc.</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6"/>
              </w:rPr>
              <w:t>Christopher S. Sotos</w:t>
            </w:r>
          </w:p>
        </w:tc>
        <w:tc>
          <w:tcPr>
            <w:tcW w:w="1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Sole Managing Member of Clearway Energy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64770</wp:posOffset>
            </wp:positionV>
            <wp:extent cx="716089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181610</wp:posOffset>
            </wp:positionV>
            <wp:extent cx="139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6">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13970</wp:posOffset>
            </wp:positionV>
            <wp:extent cx="139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7">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ectPr>
          <w:pgSz w:w="11900" w:h="16838" w:orient="portrait"/>
          <w:cols w:equalWidth="0" w:num="2">
            <w:col w:w="8900" w:space="540"/>
            <w:col w:w="1300"/>
          </w:cols>
          <w:pgMar w:left="360" w:top="1150" w:right="799" w:bottom="1440" w:gutter="0" w:footer="0" w:header="0"/>
        </w:sectPr>
      </w:pPr>
    </w:p>
    <w:bookmarkStart w:id="155" w:name="page156"/>
    <w:bookmarkEnd w:id="155"/>
    <w:p>
      <w:pPr>
        <w:jc w:val="center"/>
        <w:ind w:left="620"/>
        <w:spacing w:after="0" w:line="269"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43" w:lineRule="exact"/>
        <w:rPr>
          <w:sz w:val="20"/>
          <w:szCs w:val="20"/>
          <w:color w:val="auto"/>
        </w:rPr>
      </w:pPr>
    </w:p>
    <w:p>
      <w:pPr>
        <w:ind w:right="500" w:firstLine="176"/>
        <w:spacing w:after="0" w:line="262" w:lineRule="auto"/>
        <w:rPr>
          <w:sz w:val="20"/>
          <w:szCs w:val="20"/>
          <w:color w:val="auto"/>
        </w:rPr>
      </w:pPr>
      <w:r>
        <w:rPr>
          <w:rFonts w:ascii="Arial" w:cs="Arial" w:eastAsia="Arial" w:hAnsi="Arial"/>
          <w:sz w:val="18"/>
          <w:szCs w:val="18"/>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60"/>
          </w:cols>
          <w:pgMar w:left="320" w:top="965" w:right="619" w:bottom="1440" w:gutter="0" w:footer="0" w:header="0"/>
        </w:sectPr>
      </w:pPr>
    </w:p>
    <w:bookmarkStart w:id="156" w:name="page157"/>
    <w:bookmarkEnd w:id="156"/>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2011 Finance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Adams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Adams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Adams Community Solar Garden III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Adams Community Solar Gardens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Agua Caliente Borrower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Agua Caliente Borrower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Agua Caliente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Agua Caliente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Interconnection Management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Interconnection Management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Interconnection Management,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Realty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Realty Investments,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Vista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1-5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Asset Management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Asset Management,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II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III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III,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IV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IV,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V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V,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X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X,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XI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XI,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X-XI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Apple 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Arapahoe Community Solar Garden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Avenal Park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Avenal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Bashaw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Big Lake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57" w:name="page158"/>
    <w:bookmarkEnd w:id="157"/>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Black Cat Road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Black Rock Class B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Black Rock TE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Black Rock Wind Force,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Black Rock Wind Holding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Black Start Battery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Black Start Battery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Bluestone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BMP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Brook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Buckthorn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Buckthorn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Buckthorn Solar Portfolio,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Buckthorn Westex,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Buffalo Bear,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Oklahoma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Bullock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BWC Swan Pond River,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Carlsbad Energy Center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Carlsbad Energy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Carlsbad Holdco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Carlsbad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CBAD Holdings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CBAD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Center St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Central CA Fuel Cell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Chestnut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Chestnut Fund Sub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Chisago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Clara City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 View Acres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&amp; EFS Distributed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Clearway 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Chestnut Fund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Clearway Community Energy Development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DG Lakeland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Clearway Energy Operating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Solar Star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Clearway Thermal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Walnut Creek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Clearway West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CMR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Colorado Shared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58" w:name="page159"/>
    <w:bookmarkEnd w:id="158"/>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Colorado Springs Solar Garden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Continental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Crosswind Transmission,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CVSR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CVSR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CWEN Pinnacle Repowering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CWEN Pinnacle Repowering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CWSP Rattlesnake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Cy-Hawk Wind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Daggett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Daggett Solar Investment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Denver Community Solar Garden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Denver Community Solar Garden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Desert Sunlight 250,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Desert Sunlight 300,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Desert Sunlight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Desert Sunlight Investment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Berkeley Rec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Berkeley Village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Central East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Central West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Contra Costa Operations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Contra Costa Waste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Crystal Spring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Dighton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Foxborough Elm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Foxborough Landfill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Grantland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Haverhill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Imperial Admin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Imperial Building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Lathrop Louise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Lincoln Middle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Marathon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Rosedale Elementary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Rosedale Middle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San Joaquin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SREC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SREC Holdings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Tufts Knoll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Tufts Science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 Washington Middle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59" w:name="page160"/>
    <w:bookmarkEnd w:id="159"/>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Webster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DG-CS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DG-CS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DG-CS Master Borrower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DGPV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3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DGPV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Fund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DGPV Fund 2 HoldCo 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Fund 2 HoldCo B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DGPV Fund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Fund 4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DGPV Fund 4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Holding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Dodge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Eagle View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Eastman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ECP Uptown Campus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ECP Uptown Campus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El Mirage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El Segundo Energy Center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Elbow Creek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Elbow Creek Wind Project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Texas</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Electricity Sales Princeton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Elk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Elkhorn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Elkhorn Ridge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Baltimore Medical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Caguas East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Puerto Rico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Caguas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Caguas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Caguas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Puerto Rico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Cajuhu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Puerto Rico</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Fajardo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Fajardo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Fajardo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Puerto Rico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Harrisburg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HCEC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Honolulu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Honolulu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60" w:name="page161"/>
    <w:bookmarkEnd w:id="160"/>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Honolulu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Minneapolis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Omaha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Omaha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Paxton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Phoenix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Pittsburgh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Princeton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San Diego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San Francisco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Tucson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Enterprise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Escalante Solar 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Escalante Solar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Escalante Solar III,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ETCAP NES CS MN 02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ETCAP NES CS MN 06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Farmington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Federal Road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Forest Lake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Forward WindPower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Four Brothers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Four Brothers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Frontenac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Fuel Cell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FUSD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GCE Holding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Connecticut</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GenConn Devon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Connecticut</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GenConn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Connecticut</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GenConn Middletown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Connecticut</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Goat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Texas</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Golden Fields Solar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Golden Puma Fund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Grabinski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Granite Mountain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Granite Mountain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Granite Mountain Solar East,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Granite Mountain Solar West,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Green Prairie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Greene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Hardin Hilltop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Hardin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bl>
    <w:p>
      <w:pPr>
        <w:sectPr>
          <w:pgSz w:w="11900" w:h="16838" w:orient="portrait"/>
          <w:cols w:equalWidth="0" w:num="1">
            <w:col w:w="11180"/>
          </w:cols>
          <w:pgMar w:left="400" w:top="161" w:right="319" w:bottom="1440" w:gutter="0" w:footer="0" w:header="0"/>
        </w:sectPr>
      </w:pPr>
    </w:p>
    <w:bookmarkStart w:id="161" w:name="page162"/>
    <w:bookmarkEnd w:id="161"/>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Harrisburg Cooling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High Plains Ranch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Highland Township Wind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HLE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HSD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California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Huntington Beach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Hwy 14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Iron Springs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Iron Springs Renewables,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Iron Springs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Kawailoa Renewables,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Kawailoa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Kawailoa Solar Portfolio,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Kawailoa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Langford Class B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Langford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Langford Tax Equity Partnership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Langford Wind Power,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Texas</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Lanikuhana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Hawaii</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Laredo Ridge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Lenape II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Lighthouse Renewable Class 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Lighthouse Renewable Holdco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Lighthouse Renewable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Lighthouse Renewable Holding Sub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Lighthouse Renewable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Lindberg Field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Lindberg Field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Longhorn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Lookout WindPower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Mapleton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Marsh Landing Holdco</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Marsh Landing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Marsh Landing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MC1 Solar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North Carolina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Mesquite Sky Class B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Mesquite Sky Holding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Mesquite Sky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Mesquite Star Class B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Mesquite Star Special,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Mesquite Star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Minisink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62" w:name="page163"/>
    <w:bookmarkEnd w:id="162"/>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Minisink Solar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Mission Iowa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California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Mission Minnesota Wind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Mission Wind Laredo,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Mission Wind New Mexico,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Mission Wind Oklahoma,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Mission Wind PA One,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Mission Wind PA Three,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Mission Wind PA Two,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Mission Wind Pennsylvania,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Mission Wind Utah,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Monster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Montevideo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Mount Hope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Natural Gas Repowering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NedPower Mount Storm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New Munich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NIMH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NIMH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NIMH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Northfield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NS Smith,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Oahu Renewables,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Oahu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Oahu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OC Solar 2010,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California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Ocotillo Windpower Holdco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Ocotillo Windpower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Ocotillo Windpower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Ocotillo Windpower, LP</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Odin Wind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Old Westminster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Old Westminster Solar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Olinda Trail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Osakis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OWF Eight,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OWF Five,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OWF Four,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OWF One,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OWF Seven,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OWF Six,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OWF Three,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Minnesota</w:t>
            </w:r>
          </w:p>
        </w:tc>
      </w:tr>
    </w:tbl>
    <w:p>
      <w:pPr>
        <w:sectPr>
          <w:pgSz w:w="11900" w:h="16838" w:orient="portrait"/>
          <w:cols w:equalWidth="0" w:num="1">
            <w:col w:w="11180"/>
          </w:cols>
          <w:pgMar w:left="400" w:top="161" w:right="319" w:bottom="1440" w:gutter="0" w:footer="0" w:header="0"/>
        </w:sectPr>
      </w:pPr>
    </w:p>
    <w:bookmarkStart w:id="163" w:name="page164"/>
    <w:bookmarkEnd w:id="163"/>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OWF Two,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Minnesota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Palo Alto County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Partridgeville Road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PC Dinuba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PESD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Pikes Peak Solar Garden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Colorado</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Pine Island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Pinnacle Repowering Partnership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Pinnacle Repowering Partnership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Pinnacle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Pinnacle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PM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California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Pond Road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Portfolio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Poverty Ridge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Puma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Rattlesnake Class B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Rattlesnake Flat,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Rattlesnake TE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Redbrook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Renew Canal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Renew Solar CS4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Renew Solar CS4 Fund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Renew Spark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Repowering Partnership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Repowering Partnership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Rollingstone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Rosamond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Rosamond Solar Investment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Rosie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Rosie Project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Rosie TargetCo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Rosie TE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Rounseville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RPV Holding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San Juan Mesa Investments,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San Juan Mesa Wind Project,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Sand Drag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Sartell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SCDA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SCWFD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Silver Lake Acres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bl>
    <w:p>
      <w:pPr>
        <w:sectPr>
          <w:pgSz w:w="11900" w:h="16838" w:orient="portrait"/>
          <w:cols w:equalWidth="0" w:num="1">
            <w:col w:w="11180"/>
          </w:cols>
          <w:pgMar w:left="400" w:top="161" w:right="319" w:bottom="1440" w:gutter="0" w:footer="0" w:header="0"/>
        </w:sectPr>
      </w:pPr>
    </w:p>
    <w:bookmarkStart w:id="164" w:name="page165"/>
    <w:bookmarkEnd w:id="164"/>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SJA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Sleeping Bear,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Alpine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Apple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AV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Avra Valley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Blythe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Blythe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Borrego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Borrego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Community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Community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CVSR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Flagstaff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Iguana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Kansas South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Kansas South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Las Vegas MB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Las Vegas MB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Mayfair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Mule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Oasis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Roadrunner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Roadrunner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Tabernacle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Warren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Wauwinet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West Shaft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South Trent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South Trent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Spanish Fork Wind Park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Utah</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Asset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Fund II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Fund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Fund II-B,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Fund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Lease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P-IV Master Lessee,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Spring Canyon Energy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Spring Canyon Energy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Spring Canyon Expansion Class B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Spring Canyon Expansion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65" w:name="page166"/>
    <w:bookmarkEnd w:id="165"/>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Spring Canyon Expansion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Spring Canyon Interconnection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Spring Street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Stafford St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Stafford St Solar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Stafford St Solar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Statoil Energy Power/Pennsylvania, Inc.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Pennsylvania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Stearns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Steel Bridge Solar,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Sun City Project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Sunrise View Wind Farm,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Sunset View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Sutton Wind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TA - High Desert,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California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Taloga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Oklahoma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Tapestry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Thermal Canada Infrastructure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Thermal Canada Infrastructure 1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Thermal Hawaii Development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Thermal Hawaii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Thermal Hawaii Development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Topeka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TOS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TOS Solar 2,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TOS Solar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TOS Solar 5,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Tully Farms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UB Fuel Cell,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Connecticut</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Underhill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Utah Solar Holdings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Utah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Utah Solar Master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Utah Solar Master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Vail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Viento Funding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Viento Funding,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Virgin Lake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Wabasha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Wabasha Solar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Wabasha Solar III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Wabasha Solar LLC</w:t>
            </w:r>
          </w:p>
        </w:tc>
        <w:tc>
          <w:tcPr>
            <w:tcW w:w="380" w:type="dxa"/>
            <w:vAlign w:val="bottom"/>
            <w:tcBorders>
              <w:right w:val="single" w:sz="8" w:color="auto"/>
            </w:tcBorders>
            <w:shd w:val="clear" w:color="auto" w:fill="CCEEFF"/>
          </w:tcPr>
          <w:p>
            <w:pPr>
              <w:spacing w:after="0"/>
              <w:rPr>
                <w:sz w:val="20"/>
                <w:szCs w:val="20"/>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166" w:name="page167"/>
    <w:bookmarkEnd w:id="166"/>
    <w:p>
      <w:pPr>
        <w:ind w:left="10060"/>
        <w:spacing w:after="0"/>
        <w:rPr>
          <w:sz w:val="20"/>
          <w:szCs w:val="20"/>
          <w:color w:val="auto"/>
        </w:rPr>
      </w:pPr>
      <w:r>
        <w:rPr>
          <w:rFonts w:ascii="Arial" w:cs="Arial" w:eastAsia="Arial" w:hAnsi="Arial"/>
          <w:sz w:val="18"/>
          <w:szCs w:val="18"/>
          <w:b w:val="1"/>
          <w:bCs w:val="1"/>
          <w:color w:val="auto"/>
        </w:rPr>
        <w:t>EXHIBIT 21.1</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7180" w:type="dxa"/>
            <w:vAlign w:val="bottom"/>
            <w:tcBorders>
              <w:top w:val="single" w:sz="8" w:color="969696"/>
              <w:left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Entity Name</w:t>
            </w:r>
          </w:p>
        </w:tc>
        <w:tc>
          <w:tcPr>
            <w:tcW w:w="380" w:type="dxa"/>
            <w:vAlign w:val="bottom"/>
            <w:tcBorders>
              <w:top w:val="single" w:sz="8" w:color="969696"/>
              <w:right w:val="single" w:sz="8" w:color="auto"/>
            </w:tcBorders>
            <w:shd w:val="clear" w:color="auto" w:fill="ACACAC"/>
          </w:tcPr>
          <w:p>
            <w:pPr>
              <w:spacing w:after="0"/>
              <w:rPr>
                <w:sz w:val="21"/>
                <w:szCs w:val="21"/>
                <w:color w:val="auto"/>
              </w:rPr>
            </w:pPr>
          </w:p>
        </w:tc>
        <w:tc>
          <w:tcPr>
            <w:tcW w:w="3620" w:type="dxa"/>
            <w:vAlign w:val="bottom"/>
            <w:tcBorders>
              <w:top w:val="single" w:sz="8" w:color="969696"/>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7"/>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Waipio PV,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Walnut Creek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Walnut Creek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Waterford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WCEP Holdings,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Webster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Wildcat Energy,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Arizona</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Wildorado Interconnect,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Texas</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Wildorado Repowering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Wildorado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Texas</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Wilmarth Lane Solar 1,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Wind Family Turbine,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Iowa</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Wind TE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Winona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Winona Solar II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WSD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WV Wind Holdco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WV Wind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Zephyr Kawailoa Partnership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Zephyr Oahu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1"/>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Zontos Wind, LLC</w:t>
            </w:r>
          </w:p>
        </w:tc>
        <w:tc>
          <w:tcPr>
            <w:tcW w:w="3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Iowa</w:t>
            </w:r>
          </w:p>
        </w:tc>
      </w:tr>
    </w:tbl>
    <w:p>
      <w:pPr>
        <w:sectPr>
          <w:pgSz w:w="11900" w:h="16838" w:orient="portrait"/>
          <w:cols w:equalWidth="0" w:num="1">
            <w:col w:w="11180"/>
          </w:cols>
          <w:pgMar w:left="400" w:top="161" w:right="3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34" w:lineRule="exact"/>
        <w:rPr>
          <w:sz w:val="20"/>
          <w:szCs w:val="20"/>
          <w:color w:val="auto"/>
        </w:rPr>
      </w:pPr>
    </w:p>
    <w:p>
      <w:pPr>
        <w:ind w:left="640" w:hanging="634"/>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15"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4"/>
        <w:spacing w:after="0" w:line="253"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1280" w:hanging="641"/>
        <w:spacing w:after="0" w:line="325" w:lineRule="auto"/>
        <w:tabs>
          <w:tab w:leader="none" w:pos="127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80" w:hanging="641"/>
        <w:spacing w:after="0" w:line="253"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80" w:hanging="641"/>
        <w:spacing w:after="0" w:line="325" w:lineRule="auto"/>
        <w:tabs>
          <w:tab w:leader="none" w:pos="127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80" w:hanging="641"/>
        <w:spacing w:after="0" w:line="262" w:lineRule="auto"/>
        <w:tabs>
          <w:tab w:leader="none" w:pos="12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10160</wp:posOffset>
            </wp:positionV>
            <wp:extent cx="26130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8">
                      <a:extLst>
                        <a:ext uri="{28A0092B-C50C-407E-A947-70E740481C1C}"/>
                      </a:extLst>
                    </a:blip>
                    <a:srcRect/>
                    <a:stretch>
                      <a:fillRect/>
                    </a:stretch>
                  </pic:blipFill>
                  <pic:spPr bwMode="auto">
                    <a:xfrm>
                      <a:off x="0" y="0"/>
                      <a:ext cx="261302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Christopher S. Sotos</w:t>
      </w:r>
    </w:p>
    <w:p>
      <w:pPr>
        <w:ind w:left="5580"/>
        <w:spacing w:after="0" w:line="198"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(Principal Executive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966"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34" w:lineRule="exact"/>
        <w:rPr>
          <w:sz w:val="20"/>
          <w:szCs w:val="20"/>
          <w:color w:val="auto"/>
        </w:rPr>
      </w:pPr>
    </w:p>
    <w:p>
      <w:pPr>
        <w:ind w:left="640" w:hanging="634"/>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15"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4"/>
        <w:spacing w:after="0" w:line="253"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1280" w:hanging="641"/>
        <w:spacing w:after="0" w:line="325" w:lineRule="auto"/>
        <w:tabs>
          <w:tab w:leader="none" w:pos="127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80" w:hanging="641"/>
        <w:spacing w:after="0" w:line="253" w:lineRule="auto"/>
        <w:tabs>
          <w:tab w:leader="none" w:pos="12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80" w:hanging="641"/>
        <w:spacing w:after="0" w:line="325" w:lineRule="auto"/>
        <w:tabs>
          <w:tab w:leader="none" w:pos="1277"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80" w:hanging="641"/>
        <w:spacing w:after="0" w:line="262" w:lineRule="auto"/>
        <w:tabs>
          <w:tab w:leader="none" w:pos="12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10160</wp:posOffset>
            </wp:positionV>
            <wp:extent cx="28644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9">
                      <a:extLst>
                        <a:ext uri="{28A0092B-C50C-407E-A947-70E740481C1C}"/>
                      </a:extLst>
                    </a:blip>
                    <a:srcRect/>
                    <a:stretch>
                      <a:fillRect/>
                    </a:stretch>
                  </pic:blipFill>
                  <pic:spPr bwMode="auto">
                    <a:xfrm>
                      <a:off x="0" y="0"/>
                      <a:ext cx="2864485"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color w:val="auto"/>
        </w:rPr>
        <w:t>Chad Plotkin</w:t>
      </w:r>
    </w:p>
    <w:p>
      <w:pPr>
        <w:ind w:left="5200"/>
        <w:spacing w:after="0" w:line="198" w:lineRule="auto"/>
        <w:rPr>
          <w:sz w:val="20"/>
          <w:szCs w:val="20"/>
          <w:color w:val="auto"/>
        </w:rPr>
      </w:pPr>
      <w:r>
        <w:rPr>
          <w:rFonts w:ascii="Arial" w:cs="Arial" w:eastAsia="Arial" w:hAnsi="Arial"/>
          <w:sz w:val="18"/>
          <w:szCs w:val="18"/>
          <w:i w:val="1"/>
          <w:iCs w:val="1"/>
          <w:color w:val="auto"/>
        </w:rPr>
        <w:t>Executive Vice President and Chief Financial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(Principal Financial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965"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21" w:lineRule="exact"/>
        <w:rPr>
          <w:sz w:val="20"/>
          <w:szCs w:val="20"/>
          <w:color w:val="auto"/>
        </w:rPr>
      </w:pPr>
    </w:p>
    <w:p>
      <w:pPr>
        <w:ind w:left="640" w:hanging="634"/>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LLC;</w:t>
      </w:r>
    </w:p>
    <w:p>
      <w:pPr>
        <w:spacing w:after="0" w:line="215"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4"/>
        <w:spacing w:after="0" w:line="253"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280" w:hanging="641"/>
        <w:spacing w:after="0" w:line="253" w:lineRule="auto"/>
        <w:tabs>
          <w:tab w:leader="none" w:pos="12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1280" w:hanging="641"/>
        <w:spacing w:after="0" w:line="325" w:lineRule="auto"/>
        <w:tabs>
          <w:tab w:leader="none" w:pos="127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80" w:hanging="641"/>
        <w:spacing w:after="0" w:line="253" w:lineRule="auto"/>
        <w:tabs>
          <w:tab w:leader="none" w:pos="12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80" w:hanging="641"/>
        <w:spacing w:after="0" w:line="325" w:lineRule="auto"/>
        <w:tabs>
          <w:tab w:leader="none" w:pos="1277"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80" w:hanging="641"/>
        <w:spacing w:after="0" w:line="262" w:lineRule="auto"/>
        <w:tabs>
          <w:tab w:leader="none" w:pos="12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10160</wp:posOffset>
            </wp:positionV>
            <wp:extent cx="27889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0">
                      <a:extLst>
                        <a:ext uri="{28A0092B-C50C-407E-A947-70E740481C1C}"/>
                      </a:extLst>
                    </a:blip>
                    <a:srcRect/>
                    <a:stretch>
                      <a:fillRect/>
                    </a:stretch>
                  </pic:blipFill>
                  <pic:spPr bwMode="auto">
                    <a:xfrm>
                      <a:off x="0" y="0"/>
                      <a:ext cx="278892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8"/>
          <w:szCs w:val="18"/>
          <w:color w:val="auto"/>
        </w:rPr>
        <w:t>Sarah Rubenstein</w:t>
      </w:r>
    </w:p>
    <w:p>
      <w:pPr>
        <w:ind w:left="5800"/>
        <w:spacing w:after="0" w:line="198" w:lineRule="auto"/>
        <w:rPr>
          <w:sz w:val="20"/>
          <w:szCs w:val="20"/>
          <w:color w:val="auto"/>
        </w:rPr>
      </w:pPr>
      <w:r>
        <w:rPr>
          <w:rFonts w:ascii="Arial" w:cs="Arial" w:eastAsia="Arial" w:hAnsi="Arial"/>
          <w:sz w:val="18"/>
          <w:szCs w:val="18"/>
          <w:i w:val="1"/>
          <w:iCs w:val="1"/>
          <w:color w:val="auto"/>
        </w:rPr>
        <w:t>Senior Vice President and Chief Accounting Officer</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Accounting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873"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0" w:lineRule="exact"/>
        <w:rPr>
          <w:sz w:val="20"/>
          <w:szCs w:val="20"/>
          <w:color w:val="auto"/>
        </w:rPr>
      </w:pPr>
    </w:p>
    <w:p>
      <w:pPr>
        <w:jc w:val="both"/>
        <w:ind w:firstLine="316"/>
        <w:spacing w:after="0" w:line="298" w:lineRule="auto"/>
        <w:rPr>
          <w:sz w:val="20"/>
          <w:szCs w:val="20"/>
          <w:color w:val="auto"/>
        </w:rPr>
      </w:pPr>
      <w:r>
        <w:rPr>
          <w:rFonts w:ascii="Arial" w:cs="Arial" w:eastAsia="Arial" w:hAnsi="Arial"/>
          <w:sz w:val="16"/>
          <w:szCs w:val="16"/>
          <w:color w:val="auto"/>
        </w:rPr>
        <w:t>In connection with the Annual Report of Clearway Energy LLC on Form 10-K for the year ended December 31, 2021,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ind w:left="640" w:hanging="31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56" w:lineRule="exact"/>
        <w:rPr>
          <w:rFonts w:ascii="Arial" w:cs="Arial" w:eastAsia="Arial" w:hAnsi="Arial"/>
          <w:sz w:val="18"/>
          <w:szCs w:val="18"/>
          <w:color w:val="auto"/>
        </w:rPr>
      </w:pPr>
    </w:p>
    <w:p>
      <w:pPr>
        <w:ind w:left="640" w:hanging="318"/>
        <w:spacing w:after="0" w:line="262" w:lineRule="auto"/>
        <w:tabs>
          <w:tab w:leader="none" w:pos="6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10160</wp:posOffset>
            </wp:positionV>
            <wp:extent cx="30988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1">
                      <a:extLst>
                        <a:ext uri="{28A0092B-C50C-407E-A947-70E740481C1C}"/>
                      </a:extLst>
                    </a:blip>
                    <a:srcRect/>
                    <a:stretch>
                      <a:fillRect/>
                    </a:stretch>
                  </pic:blipFill>
                  <pic:spPr bwMode="auto">
                    <a:xfrm>
                      <a:off x="0" y="0"/>
                      <a:ext cx="3098800"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Christopher S. Sotos</w:t>
      </w:r>
    </w:p>
    <w:p>
      <w:pPr>
        <w:ind w:left="5600"/>
        <w:spacing w:after="0" w:line="235" w:lineRule="auto"/>
        <w:rPr>
          <w:sz w:val="20"/>
          <w:szCs w:val="20"/>
          <w:color w:val="auto"/>
        </w:rPr>
      </w:pPr>
      <w:r>
        <w:rPr>
          <w:rFonts w:ascii="Arial" w:cs="Arial" w:eastAsia="Arial" w:hAnsi="Arial"/>
          <w:sz w:val="18"/>
          <w:szCs w:val="18"/>
          <w:i w:val="1"/>
          <w:iCs w:val="1"/>
          <w:color w:val="auto"/>
        </w:rPr>
        <w:t>President and Chief Executive Officer</w:t>
      </w:r>
    </w:p>
    <w:p>
      <w:pPr>
        <w:ind w:left="56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10160</wp:posOffset>
            </wp:positionV>
            <wp:extent cx="30988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2">
                      <a:extLst>
                        <a:ext uri="{28A0092B-C50C-407E-A947-70E740481C1C}"/>
                      </a:extLst>
                    </a:blip>
                    <a:srcRect/>
                    <a:stretch>
                      <a:fillRect/>
                    </a:stretch>
                  </pic:blipFill>
                  <pic:spPr bwMode="auto">
                    <a:xfrm>
                      <a:off x="0" y="0"/>
                      <a:ext cx="3098800"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Chad Plotkin</w:t>
      </w:r>
    </w:p>
    <w:p>
      <w:pPr>
        <w:ind w:left="56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ind w:left="56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10160</wp:posOffset>
            </wp:positionV>
            <wp:extent cx="30988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3">
                      <a:extLst>
                        <a:ext uri="{28A0092B-C50C-407E-A947-70E740481C1C}"/>
                      </a:extLst>
                    </a:blip>
                    <a:srcRect/>
                    <a:stretch>
                      <a:fillRect/>
                    </a:stretch>
                  </pic:blipFill>
                  <pic:spPr bwMode="auto">
                    <a:xfrm>
                      <a:off x="0" y="0"/>
                      <a:ext cx="3098800"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Sarah Rubenstein</w:t>
      </w:r>
    </w:p>
    <w:p>
      <w:pPr>
        <w:ind w:left="5600"/>
        <w:spacing w:after="0" w:line="235" w:lineRule="auto"/>
        <w:rPr>
          <w:sz w:val="20"/>
          <w:szCs w:val="20"/>
          <w:color w:val="auto"/>
        </w:rPr>
      </w:pPr>
      <w:r>
        <w:rPr>
          <w:rFonts w:ascii="Arial" w:cs="Arial" w:eastAsia="Arial" w:hAnsi="Arial"/>
          <w:sz w:val="18"/>
          <w:szCs w:val="18"/>
          <w:i w:val="1"/>
          <w:iCs w:val="1"/>
          <w:color w:val="auto"/>
        </w:rPr>
        <w:t>Senior Vice President and Chief Accounting Officer</w:t>
      </w:r>
    </w:p>
    <w:p>
      <w:pPr>
        <w:ind w:left="560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1" w:lineRule="exact"/>
        <w:rPr>
          <w:sz w:val="20"/>
          <w:szCs w:val="20"/>
          <w:color w:val="auto"/>
        </w:rPr>
      </w:pPr>
    </w:p>
    <w:p>
      <w:pPr>
        <w:jc w:val="both"/>
        <w:ind w:firstLine="316"/>
        <w:spacing w:after="0" w:line="262"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23"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Letter"/>
      <w:start w:val="1"/>
    </w:lvl>
    <w:lvl w:ilvl="1">
      <w:lvlJc w:val="left"/>
      <w:lvlText w:val="(%2)"/>
      <w:numFmt w:val="lowerLetter"/>
      <w:start w:val="2"/>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lowerRoman"/>
      <w:start w:val="2"/>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lowerLetter"/>
      <w:start w:val="1"/>
    </w:lvl>
  </w:abstractNum>
  <w:abstractNum w:abstractNumId="13">
    <w:nsid w:val="1BA026FA"/>
    <w:multiLevelType w:val="hybridMultilevel"/>
    <w:lvl w:ilvl="0">
      <w:lvlJc w:val="left"/>
      <w:lvlText w:val="(%1)"/>
      <w:numFmt w:val="lowerLetter"/>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2"/>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1"/>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decimal"/>
      <w:start w:val="32"/>
    </w:lvl>
  </w:abstractNum>
  <w:abstractNum w:abstractNumId="80">
    <w:nsid w:val="7FB7E0AA"/>
    <w:multiLevelType w:val="hybridMultilevel"/>
    <w:lvl w:ilvl="0">
      <w:lvlJc w:val="left"/>
      <w:lvlText w:val="%1"/>
      <w:numFmt w:val="decimal"/>
      <w:start w:val="104"/>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10" Type="http://schemas.openxmlformats.org/officeDocument/2006/relationships/image" Target="media/image185.png"/><Relationship Id="rId229" Type="http://schemas.openxmlformats.org/officeDocument/2006/relationships/image" Target="media/image186.png"/><Relationship Id="rId248" Type="http://schemas.openxmlformats.org/officeDocument/2006/relationships/image" Target="media/image187.png"/><Relationship Id="rId261" Type="http://schemas.openxmlformats.org/officeDocument/2006/relationships/image" Target="media/image188.png"/><Relationship Id="rId262" Type="http://schemas.openxmlformats.org/officeDocument/2006/relationships/image" Target="media/image189.png"/><Relationship Id="rId263" Type="http://schemas.openxmlformats.org/officeDocument/2006/relationships/image" Target="media/image190.png"/><Relationship Id="rId264" Type="http://schemas.openxmlformats.org/officeDocument/2006/relationships/image" Target="media/image191.png"/><Relationship Id="rId265" Type="http://schemas.openxmlformats.org/officeDocument/2006/relationships/image" Target="media/image192.png"/><Relationship Id="rId266" Type="http://schemas.openxmlformats.org/officeDocument/2006/relationships/image" Target="media/image193.png"/><Relationship Id="rId267" Type="http://schemas.openxmlformats.org/officeDocument/2006/relationships/image" Target="media/image194.png"/><Relationship Id="rId268" Type="http://schemas.openxmlformats.org/officeDocument/2006/relationships/image" Target="media/image195.png"/><Relationship Id="rId269" Type="http://schemas.openxmlformats.org/officeDocument/2006/relationships/image" Target="media/image196.png"/><Relationship Id="rId270" Type="http://schemas.openxmlformats.org/officeDocument/2006/relationships/image" Target="media/image197.png"/><Relationship Id="rId271" Type="http://schemas.openxmlformats.org/officeDocument/2006/relationships/image" Target="media/image198.png"/><Relationship Id="rId272" Type="http://schemas.openxmlformats.org/officeDocument/2006/relationships/image" Target="media/image199.png"/><Relationship Id="rId273" Type="http://schemas.openxmlformats.org/officeDocument/2006/relationships/image" Target="media/image200.png"/><Relationship Id="rId192" Type="http://schemas.openxmlformats.org/officeDocument/2006/relationships/hyperlink" Target="http://www.sec.gov/Archives/edgar/data/1567683/000156768318000008/yieldincex210201710-k.htm" TargetMode="External"/><Relationship Id="rId193" Type="http://schemas.openxmlformats.org/officeDocument/2006/relationships/hyperlink" Target="http://www.sec.gov/Archives/edgar/data/1637757/000110465919071001/tm1924691d1_ex2-1.htm" TargetMode="External"/><Relationship Id="rId194" Type="http://schemas.openxmlformats.org/officeDocument/2006/relationships/hyperlink" Target="https://www.sec.gov/Archives/edgar/data/1637757/000110465920127624/tm2036456d2_ex2-1.htm" TargetMode="External"/><Relationship Id="rId195" Type="http://schemas.openxmlformats.org/officeDocument/2006/relationships/hyperlink" Target="http://www.sec.gov/Archives/edgar/data/1637708/000104746915003411/a2224163zex-3_01a.htm" TargetMode="External"/><Relationship Id="rId196" Type="http://schemas.openxmlformats.org/officeDocument/2006/relationships/hyperlink" Target="http://www.sec.gov/Archives/edgar/data/1637708/000104746915003411/a2224163zex-3_01b.htm" TargetMode="External"/><Relationship Id="rId197" Type="http://schemas.openxmlformats.org/officeDocument/2006/relationships/hyperlink" Target="http://www.sec.gov/Archives/edgar/data/1637757/000163775719000002/clearwayllcex33201810-k.htm" TargetMode="External"/><Relationship Id="rId198" Type="http://schemas.openxmlformats.org/officeDocument/2006/relationships/hyperlink" Target="http://www.sec.gov/Archives/edgar/data/1637708/000104746915003411/a2224163zex-3_03a.htm" TargetMode="External"/><Relationship Id="rId199" Type="http://schemas.openxmlformats.org/officeDocument/2006/relationships/hyperlink" Target="http://www.sec.gov/Archives/edgar/data/1567683/000110465918055334/a18-24111_1ex10d6.htm" TargetMode="External"/><Relationship Id="rId200" Type="http://schemas.openxmlformats.org/officeDocument/2006/relationships/hyperlink" Target="http://www.sec.gov/Archives/edgar/data/1637757/000110465919072222/tm1925067d1_ex4-1.htm" TargetMode="External"/><Relationship Id="rId201" Type="http://schemas.openxmlformats.org/officeDocument/2006/relationships/hyperlink" Target="http://www.sec.gov/Archives/edgar/data/1567683/000110465920002258/tm201233d1_ex4-3.htm" TargetMode="External"/><Relationship Id="rId202" Type="http://schemas.openxmlformats.org/officeDocument/2006/relationships/hyperlink" Target="http://www.sec.gov/Archives/edgar/data/1567683/000110465920028560/tm2011093d1_ex4-3.htm" TargetMode="External"/><Relationship Id="rId203" Type="http://schemas.openxmlformats.org/officeDocument/2006/relationships/hyperlink" Target="http://www.sec.gov/Archives/edgar/data/1637757/000110465920085307/tm2025128d1_ex4-3.htm" TargetMode="External"/><Relationship Id="rId204" Type="http://schemas.openxmlformats.org/officeDocument/2006/relationships/hyperlink" Target="http://www.sec.gov/Archives/edgar/data/1567683/000110465920097221/tm2025854d5_ex4-3.htm" TargetMode="External"/><Relationship Id="rId205" Type="http://schemas.openxmlformats.org/officeDocument/2006/relationships/hyperlink" Target="https://www.sec.gov/Archives/edgar/data/1637757/000110465920127378/tm2036456d1_ex4-3.htm" TargetMode="External"/><Relationship Id="rId206" Type="http://schemas.openxmlformats.org/officeDocument/2006/relationships/hyperlink" Target="https://www.sec.gov/Archives/edgar/data/1637757/000110465920132415/tm2037504d1_ex4-3.htm" TargetMode="External"/><Relationship Id="rId207" Type="http://schemas.openxmlformats.org/officeDocument/2006/relationships/hyperlink" Target="https://www.sec.gov/Archives/edgar/data/1637757/000110465920140150/tm2039386d1_ex4-3.htm" TargetMode="External"/><Relationship Id="rId208" Type="http://schemas.openxmlformats.org/officeDocument/2006/relationships/hyperlink" Target="https://www.sec.gov/Archives/edgar/data/1637757/000110465921012977/tm215222d2_ex4-3.htm" TargetMode="External"/><Relationship Id="rId209" Type="http://schemas.openxmlformats.org/officeDocument/2006/relationships/hyperlink" Target="https://www.sec.gov/Archives/edgar/data/1567683/000110465921033800/tm219068d1_ex4-1.htm" TargetMode="External"/><Relationship Id="rId211" Type="http://schemas.openxmlformats.org/officeDocument/2006/relationships/hyperlink" Target="https://www.sec.gov/Archives/edgar/data/1567683/000110465921069314/tm2116590d1_ex4-2.htm" TargetMode="External"/><Relationship Id="rId212" Type="http://schemas.openxmlformats.org/officeDocument/2006/relationships/hyperlink" Target="https://www.sec.gov/Archives/edgar/data/1567683/000110465921069314/tm2116590d1_ex4-3.htm" TargetMode="External"/><Relationship Id="rId213" Type="http://schemas.openxmlformats.org/officeDocument/2006/relationships/hyperlink" Target="https://www.sec.gov/Archives/edgar/data/1567683/000110465921122073/tm2128933d1_ex4-1.htm" TargetMode="External"/><Relationship Id="rId214" Type="http://schemas.openxmlformats.org/officeDocument/2006/relationships/hyperlink" Target="https://www.sec.gov/Archives/edgar/data/1567683/000110465921124595/tm2129471d1_ex4-2.htm" TargetMode="External"/><Relationship Id="rId215" Type="http://schemas.openxmlformats.org/officeDocument/2006/relationships/hyperlink" Target="https://www.sec.gov/Archives/edgar/data/1567683/000110465921124595/tm2129471d1_ex4-3.htm" TargetMode="External"/><Relationship Id="rId216" Type="http://schemas.openxmlformats.org/officeDocument/2006/relationships/hyperlink" Target="https://www.sec.gov/Archives/edgar/data/1567683/000110465921124595/tm2129471d1_ex4-4.htm" TargetMode="External"/><Relationship Id="rId217" Type="http://schemas.openxmlformats.org/officeDocument/2006/relationships/hyperlink" Target="http://www.sec.gov/Archives/edgar/data/1567683/000110465918055334/a18-24111_1ex10d5.htm#EXHIBIT10_5_051412" TargetMode="External"/><Relationship Id="rId218" Type="http://schemas.openxmlformats.org/officeDocument/2006/relationships/hyperlink" Target="http://www.sec.gov/Archives/edgar/data/1567683/000110465918055334/a18-24111_1ex10d3.htm#Exhibit10_3_095433" TargetMode="External"/><Relationship Id="rId219" Type="http://schemas.openxmlformats.org/officeDocument/2006/relationships/hyperlink" Target="http://www.sec.gov/Archives/edgar/data/1567683/000110465919008742/a19-4739_1ex10d1.htm#Exhibit99_1_092711" TargetMode="External"/><Relationship Id="rId220" Type="http://schemas.openxmlformats.org/officeDocument/2006/relationships/hyperlink" Target="http://www.sec.gov/Archives/edgar/data/1637757/000163775719000012/clearwayincex1012019q2.htm" TargetMode="External"/><Relationship Id="rId221" Type="http://schemas.openxmlformats.org/officeDocument/2006/relationships/hyperlink" Target="http://www.sec.gov/Archives/edgar/data/1637757/000110465919071001/tm1924691d1_ex10-1.htm" TargetMode="External"/><Relationship Id="rId222" Type="http://schemas.openxmlformats.org/officeDocument/2006/relationships/hyperlink" Target="http://www.sec.gov/Archives/edgar/data/1567683/000110465918055334/a18-24111_1ex10d1.htm#Exhibit10_1_072506" TargetMode="External"/><Relationship Id="rId223" Type="http://schemas.openxmlformats.org/officeDocument/2006/relationships/hyperlink" Target="http://www.sec.gov/Archives/edgar/data/1567683/000110465918055334/a18-24111_1ex10d2.htm" TargetMode="External"/><Relationship Id="rId224" Type="http://schemas.openxmlformats.org/officeDocument/2006/relationships/hyperlink" Target="http://www.sec.gov/Archives/edgar/data/1567683/000110465918055334/a18-24111_1ex10d9.htm#EXHIBIT10_9_053225" TargetMode="External"/><Relationship Id="rId225" Type="http://schemas.openxmlformats.org/officeDocument/2006/relationships/hyperlink" Target="http://www.sec.gov/Archives/edgar/data/1567683/000110465914031308/a14-11252_1ex10d1.htm" TargetMode="External"/><Relationship Id="rId226" Type="http://schemas.openxmlformats.org/officeDocument/2006/relationships/hyperlink" Target="http://www.sec.gov/Archives/edgar/data/1567683/000156768315000022/yieldincex1092015q2opllcam.htm" TargetMode="External"/><Relationship Id="rId227" Type="http://schemas.openxmlformats.org/officeDocument/2006/relationships/hyperlink" Target="http://www.sec.gov/Archives/edgar/data/1637757/000110465918008197/a18-5571_1ex10d1.htm#Exhibit10_1_093100" TargetMode="External"/><Relationship Id="rId228" Type="http://schemas.openxmlformats.org/officeDocument/2006/relationships/hyperlink" Target="http://www.sec.gov/Archives/edgar/data/1637757/000163775718000013/a101llc.htm" TargetMode="External"/><Relationship Id="rId230" Type="http://schemas.openxmlformats.org/officeDocument/2006/relationships/hyperlink" Target="http://www.sec.gov/Archives/edgar/data/1637757/000110465918071713/a18-41172_1ex10d1.htm" TargetMode="External"/><Relationship Id="rId231" Type="http://schemas.openxmlformats.org/officeDocument/2006/relationships/hyperlink" Target="http://www.sec.gov/Archives/edgar/data/1637757/000110465919075303/tm1926823d1_ex10-1.htm" TargetMode="External"/><Relationship Id="rId232" Type="http://schemas.openxmlformats.org/officeDocument/2006/relationships/hyperlink" Target="https://www.sec.gov/Archives/edgar/data/1567683/000110465921145441/tm2134349d1_ex10-1.htm" TargetMode="External"/><Relationship Id="rId233" Type="http://schemas.openxmlformats.org/officeDocument/2006/relationships/hyperlink" Target="http://www.sec.gov/Archives/edgar/data/1567683/000156768315000022/yieldincex1012015q2rpv.htm" TargetMode="External"/><Relationship Id="rId234" Type="http://schemas.openxmlformats.org/officeDocument/2006/relationships/hyperlink" Target="http://www.sec.gov/Archives/edgar/data/1567683/000156768315000022/yieldincex1022015q2dgpv.htm" TargetMode="External"/><Relationship Id="rId235" Type="http://schemas.openxmlformats.org/officeDocument/2006/relationships/hyperlink" Target="http://www.sec.gov/Archives/edgar/data/1567683/000156768316000043/yieldincex1012016q1.htm" TargetMode="External"/><Relationship Id="rId236" Type="http://schemas.openxmlformats.org/officeDocument/2006/relationships/hyperlink" Target="http://www.sec.gov/Archives/edgar/data/1567683/000156768316000043/yieldincex1022016q1.htm" TargetMode="External"/><Relationship Id="rId237" Type="http://schemas.openxmlformats.org/officeDocument/2006/relationships/hyperlink" Target="http://www.sec.gov/Archives/edgar/data/1567683/000156768316000043/yieldincex1032016q1.htm" TargetMode="External"/><Relationship Id="rId238" Type="http://schemas.openxmlformats.org/officeDocument/2006/relationships/hyperlink" Target="http://www.sec.gov/Archives/edgar/data/1567683/000156768316000055/yieldincex1012016q2-rpvame.htm" TargetMode="External"/><Relationship Id="rId239" Type="http://schemas.openxmlformats.org/officeDocument/2006/relationships/hyperlink" Target="http://www.sec.gov/Archives/edgar/data/1567683/000156768319000014/clearwayincex1030201810-k.htm" TargetMode="External"/><Relationship Id="rId240" Type="http://schemas.openxmlformats.org/officeDocument/2006/relationships/hyperlink" Target="http://www.sec.gov/Archives/edgar/data/1567683/000110465915038447/a15-11446_1ex10d1.htm" TargetMode="External"/><Relationship Id="rId241" Type="http://schemas.openxmlformats.org/officeDocument/2006/relationships/hyperlink" Target="http://www.sec.gov/Archives/edgar/data/1567683/000156768320000008/clearwayincex102620191.htm" TargetMode="External"/><Relationship Id="rId242" Type="http://schemas.openxmlformats.org/officeDocument/2006/relationships/hyperlink" Target="https://www.sec.gov/Archives/edgar/data/1567683/000156768321000009/clearwayincex1019-cwen2020.htm" TargetMode="External"/><Relationship Id="rId243" Type="http://schemas.openxmlformats.org/officeDocument/2006/relationships/hyperlink" Target="https://www.sec.gov/Archives/edgar/data/1567683/000156768321000009/clearwayincex1020-cwen2020.htm" TargetMode="External"/><Relationship Id="rId244" Type="http://schemas.openxmlformats.org/officeDocument/2006/relationships/hyperlink" Target="http://www.sec.gov/Archives/edgar/data/1637757/000110465920048786/tm2016404d1_ex10-1.htm" TargetMode="External"/><Relationship Id="rId245" Type="http://schemas.openxmlformats.org/officeDocument/2006/relationships/hyperlink" Target="http://www.sec.gov/Archives/edgar/data/1637757/000110465920048786/tm2016404d1_ex10-2.htm" TargetMode="External"/><Relationship Id="rId246" Type="http://schemas.openxmlformats.org/officeDocument/2006/relationships/hyperlink" Target="http://www.sec.gov/Archives/edgar/data/1637757/000110465920048786/tm2016404d1_ex10-3.htm" TargetMode="External"/><Relationship Id="rId247" Type="http://schemas.openxmlformats.org/officeDocument/2006/relationships/hyperlink" Target="https://www.sec.gov/Archives/edgar/data/1637757/000163775720000020/fourthamendmenttorofoa.htm" TargetMode="External"/><Relationship Id="rId249" Type="http://schemas.openxmlformats.org/officeDocument/2006/relationships/hyperlink" Target="https://www.sec.gov/Archives/edgar/data/1637757/000110465920138637/tm2039056d1_ex10-1.htm" TargetMode="External"/><Relationship Id="rId250" Type="http://schemas.openxmlformats.org/officeDocument/2006/relationships/hyperlink" Target="https://www.sec.gov/Archives/edgar/data/1637757/000110465920138637/tm2039056d1_ex10-2.htm" TargetMode="External"/><Relationship Id="rId251" Type="http://schemas.openxmlformats.org/officeDocument/2006/relationships/hyperlink" Target="https://www.sec.gov/Archives/edgar/data/1637757/000110465920138637/tm2039056d1_ex10-3.htm" TargetMode="External"/><Relationship Id="rId252" Type="http://schemas.openxmlformats.org/officeDocument/2006/relationships/hyperlink" Target="https://www.sec.gov/Archives/edgar/data/1567683/000156768321000009/clearwayincex1031pinnaclel.htm" TargetMode="External"/><Relationship Id="rId253" Type="http://schemas.openxmlformats.org/officeDocument/2006/relationships/hyperlink" Target="https://www.sec.gov/Archives/edgar/data/1567683/000156768321000025/fifthamendmenttorofoagreem.htm" TargetMode="External"/><Relationship Id="rId254" Type="http://schemas.openxmlformats.org/officeDocument/2006/relationships/hyperlink" Target="https://www.sec.gov/Archives/edgar/data/1567683/000110465921108614/tm2125658d1_ex10-1.htm" TargetMode="External"/><Relationship Id="rId255" Type="http://schemas.openxmlformats.org/officeDocument/2006/relationships/hyperlink" Target="https://www.sec.gov/Archives/edgar/data/1567683/000110465921118837/tm2128073d1_ex10-1.htm" TargetMode="External"/><Relationship Id="rId256" Type="http://schemas.openxmlformats.org/officeDocument/2006/relationships/hyperlink" Target="https://www.sec.gov/Archives/edgar/data/1567683/000110465921130024/tm2130927d1_ex10-1.htm" TargetMode="External"/><Relationship Id="rId257" Type="http://schemas.openxmlformats.org/officeDocument/2006/relationships/hyperlink" Target="https://www.sec.gov/Archives/edgar/data/1567683/000110465921145441/tm2134349d1_ex10-2.htm" TargetMode="External"/><Relationship Id="rId258" Type="http://schemas.openxmlformats.org/officeDocument/2006/relationships/hyperlink" Target="https://www.sec.gov/Archives/edgar/data/1567683/000110465922004681/tm222995d1_ex10-1.htm" TargetMode="External"/><Relationship Id="rId259" Type="http://schemas.openxmlformats.org/officeDocument/2006/relationships/hyperlink" Target="https://www.sec.gov/Archives/edgar/data/1567683/000110465922004681/tm222995d1_ex10-2.htm" TargetMode="External"/><Relationship Id="rId260" Type="http://schemas.openxmlformats.org/officeDocument/2006/relationships/hyperlink" Target="https://www.sec.gov/Archives/edgar/data/1567683/000110465921036280/tm21970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2022-02-28T05:29:34Z</dcterms:created>
  <dcterms:modified xsi:type="dcterms:W3CDTF">2022-02-28T05:29:34Z</dcterms:modified>
</cp:coreProperties>
</file>