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November 2, 2017</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72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2, 2017, NRG Yield, Inc. issued a press release announcing its financial results for the quarter ended September 30, 2017.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2, 2017</w:t>
              </w:r>
            </w:hyperlink>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93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line="259" w:lineRule="auto"/>
        <w:rPr>
          <w:sz w:val="20"/>
          <w:szCs w:val="20"/>
          <w:color w:val="auto"/>
        </w:rPr>
      </w:pPr>
      <w:r>
        <w:rPr>
          <w:rFonts w:ascii="Arial" w:cs="Arial" w:eastAsia="Arial" w:hAnsi="Arial"/>
          <w:sz w:val="25"/>
          <w:szCs w:val="25"/>
          <w:b w:val="1"/>
          <w:bCs w:val="1"/>
          <w:color w:val="auto"/>
        </w:rPr>
        <w:t>NRG Yield, Inc. Reports Third Quarter 2017 Financial Results, Completes Drop Down Acquisition from NRG, Increases 2017 and Initiates 2018 Financial Guidance, and Increases Fourth Quarter Dividend by 2.9%</w:t>
      </w:r>
    </w:p>
    <w:p>
      <w:pPr>
        <w:spacing w:after="0" w:line="3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Closed November Drop Down acquisition: a 38 MW portfolio of solar assets from NRG Energy</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2017 guidance following the close of the November Drop Down acquisition</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Initiating 2018 guidance incorporating the full year contribution of growth capital deployed year-to-date</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the Right of First Offer (ROFO) Agreement with NRG Energy, formed a new distributed solar partnership focused primarily on community solar projects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Received offer from NRG Energy to acquire the 154 MW Buckthorn Solar ROFO Asset</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Increasing quarterly dividend by 2.9%, achieving 15% year-over-year dividend per share growth</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2, 2017 </w:t>
      </w:r>
      <w:r>
        <w:rPr>
          <w:rFonts w:ascii="Arial" w:cs="Arial" w:eastAsia="Arial" w:hAnsi="Arial"/>
          <w:sz w:val="18"/>
          <w:szCs w:val="18"/>
          <w:color w:val="auto"/>
        </w:rPr>
        <w:t>— NRG Yield, Inc. (NYSE: NYLD, NYLD.A) today reported third quarter 2017 financial results including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$41 million, Adjusted EBITDA of $265 million, Cash from Operating Activities of $203 million, and Cash Available for Distribution (CAFD) of $134 million.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"NRG Yield continues to execute on its business while collaborating with NRG Energy on its Transformation Plan. During the third quarter, the Company's diversified portfolio performed exceptionally well with high availability at the conventional segment during the critical summer period and at the renewables segment where solid wind conditions at Alta more than offset poor wind resource across the balance of the portfolio", said Christopher Sotos, NRG Yield's President and Chief Executive Officer. "NRG Yield also continued to deliver on its growth objectives with now $295 million of capital deployed over the last 12 months. This included several new opportunities including the recently closed November Drop Down, a new distributed solar partnership with NRG enabling up to $50 million of investment, and an expansion of the existing distributed solar partnerships by $10 million. We now look to the next potential drop down with NRG's offer of the 154 MW Buckthorn Solar project."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31"/>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Income</w:t>
            </w:r>
            <w:r>
              <w:rPr>
                <w:rFonts w:ascii="Arial" w:cs="Arial" w:eastAsia="Arial" w:hAnsi="Arial"/>
                <w:sz w:val="25"/>
                <w:szCs w:val="25"/>
                <w:b w:val="1"/>
                <w:bCs w:val="1"/>
                <w:color w:val="auto"/>
                <w:vertAlign w:val="superscript"/>
              </w:rPr>
              <w:t>1</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0"/>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9/30/17</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9/30/16</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9/30/17</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9/30/16</w:t>
            </w:r>
          </w:p>
        </w:tc>
        <w:tc>
          <w:tcPr>
            <w:tcW w:w="400" w:type="dxa"/>
            <w:vAlign w:val="bottom"/>
          </w:tcPr>
          <w:p>
            <w:pPr>
              <w:spacing w:after="0"/>
              <w:rPr>
                <w:sz w:val="23"/>
                <w:szCs w:val="23"/>
                <w:color w:val="auto"/>
              </w:rPr>
            </w:pP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108</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w:t>
            </w:r>
          </w:p>
        </w:tc>
      </w:tr>
      <w:tr>
        <w:trPr>
          <w:trHeight w:val="20"/>
        </w:trPr>
        <w:tc>
          <w:tcPr>
            <w:tcW w:w="42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firstLine="8"/>
        <w:spacing w:after="0" w:line="273" w:lineRule="auto"/>
        <w:tabs>
          <w:tab w:leader="none" w:pos="81" w:val="left"/>
        </w:tabs>
        <w:numPr>
          <w:ilvl w:val="0"/>
          <w:numId w:val="3"/>
        </w:numPr>
        <w:rPr>
          <w:rFonts w:ascii="Arial" w:cs="Arial" w:eastAsia="Arial" w:hAnsi="Arial"/>
          <w:sz w:val="9"/>
          <w:szCs w:val="9"/>
          <w:color w:val="auto"/>
        </w:rPr>
      </w:pPr>
      <w:r>
        <w:rPr>
          <w:rFonts w:ascii="Arial" w:cs="Arial" w:eastAsia="Arial" w:hAnsi="Arial"/>
          <w:sz w:val="14"/>
          <w:szCs w:val="14"/>
          <w:color w:val="auto"/>
        </w:rPr>
        <w:t>In accordance with GAAP, 2016 results have been recast to include the March 2017 Drop Down Assets as if the combinations had been in effect from the beginning of the financial statement period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r>
              <w:rPr>
                <w:rFonts w:ascii="Arial" w:cs="Arial" w:eastAsia="Arial" w:hAnsi="Arial"/>
                <w:sz w:val="25"/>
                <w:szCs w:val="25"/>
                <w:b w:val="1"/>
                <w:bCs w:val="1"/>
                <w:color w:val="auto"/>
                <w:vertAlign w:val="superscript"/>
              </w:rPr>
              <w:t>2</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0"/>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9/30/17</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9/30/16</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9/30/17</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9/30/16</w:t>
            </w:r>
          </w:p>
        </w:tc>
        <w:tc>
          <w:tcPr>
            <w:tcW w:w="400" w:type="dxa"/>
            <w:vAlign w:val="bottom"/>
          </w:tcPr>
          <w:p>
            <w:pPr>
              <w:spacing w:after="0"/>
              <w:rPr>
                <w:sz w:val="23"/>
                <w:szCs w:val="23"/>
                <w:color w:val="auto"/>
              </w:rPr>
            </w:pP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225</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169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162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447</w:t>
            </w:r>
          </w:p>
        </w:tc>
      </w:tr>
      <w:tr>
        <w:trPr>
          <w:trHeight w:val="27"/>
        </w:trPr>
        <w:tc>
          <w:tcPr>
            <w:tcW w:w="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707</w:t>
            </w:r>
          </w:p>
        </w:tc>
      </w:tr>
      <w:tr>
        <w:trPr>
          <w:trHeight w:val="20"/>
        </w:trPr>
        <w:tc>
          <w:tcPr>
            <w:tcW w:w="42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0"/>
                <w:szCs w:val="20"/>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9/30/17</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9/30/16</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9/30/17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9/30/16</w:t>
            </w:r>
          </w:p>
        </w:tc>
        <w:tc>
          <w:tcPr>
            <w:tcW w:w="400" w:type="dxa"/>
            <w:vAlign w:val="bottom"/>
          </w:tcPr>
          <w:p>
            <w:pPr>
              <w:spacing w:after="0"/>
              <w:rPr>
                <w:sz w:val="23"/>
                <w:szCs w:val="23"/>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443</w:t>
            </w: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249</w:t>
            </w:r>
          </w:p>
        </w:tc>
      </w:tr>
      <w:tr>
        <w:trPr>
          <w:trHeight w:val="34"/>
        </w:trPr>
        <w:tc>
          <w:tcPr>
            <w:tcW w:w="4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third quarter of 2017, NRG Yield reported Net Income of $41 million, Adjusted EBITDA of $265 million, Cash from Operating Activities of $203 million, and CAFD of $134 million. Third quarter Adjusted EBITDA results in the Conventional segment were higher in 2017 due to more starts and higher availability than in 2016. Adjusted EBITDA results in the Renewables segment were higher due to the acquisition of the Utah Solar Portfolio, partially offset by lower renewable energy production in 2017 versus third quarter 2016. Including the impacts to Adjusted EBITDA, CAFD results were lower than 2016 primarily due to additional debt service from both non-recourse project and corporate level financings raised in 2016 and additional maintenance capital expenditures at the Walnut Creek facility. This decrease was partially offset by higher distributions received from the distributed generation partnerships.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286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9/30/17</w:t>
            </w:r>
          </w:p>
        </w:tc>
        <w:tc>
          <w:tcPr>
            <w:tcW w:w="100" w:type="dxa"/>
            <w:vAlign w:val="bottom"/>
          </w:tcPr>
          <w:p>
            <w:pPr>
              <w:spacing w:after="0"/>
              <w:rPr>
                <w:sz w:val="23"/>
                <w:szCs w:val="23"/>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9/30/16</w:t>
            </w:r>
          </w:p>
        </w:tc>
        <w:tc>
          <w:tcPr>
            <w:tcW w:w="12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9/30/17</w:t>
            </w:r>
          </w:p>
        </w:tc>
        <w:tc>
          <w:tcPr>
            <w:tcW w:w="10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9/30/16</w:t>
            </w:r>
          </w:p>
        </w:tc>
      </w:tr>
      <w:tr>
        <w:trPr>
          <w:trHeight w:val="27"/>
        </w:trPr>
        <w:tc>
          <w:tcPr>
            <w:tcW w:w="5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58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32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5,563</w:t>
            </w:r>
          </w:p>
        </w:tc>
      </w:tr>
      <w:tr>
        <w:trPr>
          <w:trHeight w:val="27"/>
        </w:trPr>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454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Thermal Generation Sold (MWht)</w:t>
            </w:r>
            <w:r>
              <w:rPr>
                <w:rFonts w:ascii="Arial" w:cs="Arial" w:eastAsia="Arial" w:hAnsi="Arial"/>
                <w:sz w:val="25"/>
                <w:szCs w:val="25"/>
                <w:color w:val="auto"/>
                <w:vertAlign w:val="superscript"/>
              </w:rPr>
              <w:t>3</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since then, the plant has performed reliably. The estimated financial impact from the Unit 1 outage was approximately $8 million before the recovery of insurance proceeds, a significant portion of which the Company believes will be recoverable by year-end 2017.</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third quarter of 2017, the Company, through the Walnut Creek project, executed an amendment to the contractual service agreement with the original equipment manufacturer to improve long-term reliability. The amendment provides for the original equipment manufacturer to perform all required, currently available and future turbine reliability upgrades in exchange for an investment of approximately $15 million that will be paid over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80" w:firstLine="8"/>
        <w:spacing w:after="0" w:line="256" w:lineRule="auto"/>
        <w:tabs>
          <w:tab w:leader="none" w:pos="81" w:val="left"/>
        </w:tabs>
        <w:numPr>
          <w:ilvl w:val="0"/>
          <w:numId w:val="4"/>
        </w:numPr>
        <w:rPr>
          <w:rFonts w:ascii="Arial" w:cs="Arial" w:eastAsia="Arial" w:hAnsi="Arial"/>
          <w:sz w:val="9"/>
          <w:szCs w:val="9"/>
          <w:color w:val="auto"/>
        </w:rPr>
      </w:pPr>
      <w:r>
        <w:rPr>
          <w:rFonts w:ascii="Arial" w:cs="Arial" w:eastAsia="Arial" w:hAnsi="Arial"/>
          <w:sz w:val="14"/>
          <w:szCs w:val="14"/>
          <w:color w:val="auto"/>
        </w:rPr>
        <w:t>In accordance with GAAP, 2016 results have been recast to include the March 2017 Drop Down Assets as if the combinations had been in effect from the beginning of the financial statement period</w:t>
      </w:r>
    </w:p>
    <w:p>
      <w:pPr>
        <w:spacing w:after="0"/>
        <w:rPr>
          <w:rFonts w:ascii="Arial" w:cs="Arial" w:eastAsia="Arial" w:hAnsi="Arial"/>
          <w:sz w:val="9"/>
          <w:szCs w:val="9"/>
          <w:color w:val="auto"/>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Also includes Thermal MWh sold</w:t>
      </w:r>
    </w:p>
    <w:p>
      <w:pPr>
        <w:spacing w:after="0" w:line="26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7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31"/>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r>
              <w:rPr>
                <w:rFonts w:ascii="Arial" w:cs="Arial" w:eastAsia="Arial" w:hAnsi="Arial"/>
                <w:sz w:val="25"/>
                <w:szCs w:val="25"/>
                <w:b w:val="1"/>
                <w:bCs w:val="1"/>
                <w:color w:val="auto"/>
                <w:vertAlign w:val="superscript"/>
              </w:rPr>
              <w:t>4</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0"/>
        </w:trPr>
        <w:tc>
          <w:tcPr>
            <w:tcW w:w="118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9/30/17</w:t>
            </w:r>
          </w:p>
        </w:tc>
        <w:tc>
          <w:tcPr>
            <w:tcW w:w="100" w:type="dxa"/>
            <w:vAlign w:val="bottom"/>
          </w:tcPr>
          <w:p>
            <w:pPr>
              <w:spacing w:after="0"/>
              <w:rPr>
                <w:sz w:val="24"/>
                <w:szCs w:val="24"/>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6/30/17</w:t>
            </w:r>
          </w:p>
        </w:tc>
        <w:tc>
          <w:tcPr>
            <w:tcW w:w="10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12/31/16</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1180" w:type="dxa"/>
            <w:vAlign w:val="bottom"/>
          </w:tcPr>
          <w:p>
            <w:pPr>
              <w:spacing w:after="0"/>
              <w:rPr>
                <w:sz w:val="21"/>
                <w:szCs w:val="21"/>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Cash</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r>
      <w:tr>
        <w:trPr>
          <w:trHeight w:val="243"/>
        </w:trPr>
        <w:tc>
          <w:tcPr>
            <w:tcW w:w="1180" w:type="dxa"/>
            <w:vAlign w:val="bottom"/>
          </w:tcPr>
          <w:p>
            <w:pPr>
              <w:spacing w:after="0"/>
              <w:rPr>
                <w:sz w:val="21"/>
                <w:szCs w:val="21"/>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Revolver Availability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11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118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Liquidity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r>
      <w:tr>
        <w:trPr>
          <w:trHeight w:val="20"/>
        </w:trPr>
        <w:tc>
          <w:tcPr>
            <w:tcW w:w="118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Total liquidity as of September 30, 2017 was $746 million, a decrease of $176 million from December 31, 2016. This reflects a decrease in total cash of $168 million</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which was primarily used for the drop down acquisitions completed in March and August 2017 and dividend payments made year-to-date.</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Potential future sources of liquidity include the $150 million at-the-market (ATM) program, of which $115 million remains available at the end of September 2017, excess operating cash flow in the business, and availability under the corporate revolver. During the third quarter of 2017, the Company issued 987,727 shares of Class C common stock under the ATM program, raising proceeds of approximately $18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the November 2017 Drop Down Transaction with NRG Energy</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November 1, 2017, the Company acquired a 38 MW solar portfolio from NRG primarily comprised of assets from NRG's Solar Power Partners (SPP) funds and other projects developed by NRG for cash consideration of $71 million, excluding working capital adjustments, plus assumed non-recourse project debt of approximately $26 million. The purchase price for the November 2017 Drop Down was funded with cash on hand and is expected to increase CAFD on an average annual basis by approximately $8.8 million</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beginning in 2018 with a weighted average contract life by CAFD of approximately 16 years as of September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Partnerships with NRG Energy</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the third quarter of 2017, NRG Yield invested approximately $11 million in the existing business-renewable focused distributed solar partnerships, and separately, through the ROFO Agreement, expanded the company's investment commitment from $210 million to $220 million. As of September 30, 2017, NRG Yield has invested $181 million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(of the existing $220 million commitment) in the investment partnerships (including $48 million since the third quarter of 2016). As of September 30, 2017, through these existing partnership agreements, NRG Yield co-owns approximately 179 MW</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of distributed solar capacity with a weighted average contract life by CAFD of approximately 20 years as of September 30, 2017.</w:t>
      </w:r>
    </w:p>
    <w:p>
      <w:pPr>
        <w:spacing w:after="0" w:line="206"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Pursuant to the ROFO Agreement, on September, 26, 2017, the Company formed a new investment partnership in which NRG Yield would invest up to $50 million in a portfolio of distributed solar assets, primarily comprised of community solar projects developed by NRG. NRG Yield invested $4 million during September 2017 and co-owns approximately 33 MW</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of distributed solar capacity via this partnership with a weighted average contract life by CAFD of approximately 20 years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60" w:firstLine="8"/>
        <w:spacing w:after="0" w:line="213"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2016 results have been recast to include the March 2017 Drop Down Assets as if the combinations had been in effect from the beginning of the financial statement period</w:t>
      </w:r>
    </w:p>
    <w:p>
      <w:pPr>
        <w:spacing w:after="0" w:line="11" w:lineRule="exact"/>
        <w:rPr>
          <w:rFonts w:ascii="Arial" w:cs="Arial" w:eastAsia="Arial" w:hAnsi="Arial"/>
          <w:sz w:val="25"/>
          <w:szCs w:val="25"/>
          <w:color w:val="auto"/>
          <w:vertAlign w:val="superscript"/>
        </w:rPr>
      </w:pPr>
    </w:p>
    <w:p>
      <w:pPr>
        <w:ind w:right="4820"/>
        <w:spacing w:after="0" w:line="21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4"/>
          <w:szCs w:val="14"/>
          <w:color w:val="auto"/>
        </w:rPr>
        <w:t xml:space="preserve"> See Appendix A-6 Sources and Uses of Cash and Cash Equivalents for Nine Months Ended September 30, 2017 </w:t>
      </w:r>
      <w:r>
        <w:rPr>
          <w:rFonts w:ascii="Arial" w:cs="Arial" w:eastAsia="Arial" w:hAnsi="Arial"/>
          <w:sz w:val="25"/>
          <w:szCs w:val="25"/>
          <w:color w:val="auto"/>
          <w:vertAlign w:val="superscript"/>
        </w:rPr>
        <w:t>6</w:t>
      </w:r>
      <w:r>
        <w:rPr>
          <w:rFonts w:ascii="Arial" w:cs="Arial" w:eastAsia="Arial" w:hAnsi="Arial"/>
          <w:sz w:val="14"/>
          <w:szCs w:val="14"/>
          <w:color w:val="auto"/>
        </w:rPr>
        <w:t xml:space="preserve"> CAFD average over the 5-year period from 2018-2022</w:t>
      </w:r>
    </w:p>
    <w:p>
      <w:pPr>
        <w:spacing w:after="0" w:line="1" w:lineRule="exact"/>
        <w:rPr>
          <w:rFonts w:ascii="Arial" w:cs="Arial" w:eastAsia="Arial" w:hAnsi="Arial"/>
          <w:sz w:val="25"/>
          <w:szCs w:val="25"/>
          <w:color w:val="auto"/>
          <w:vertAlign w:val="superscript"/>
        </w:rPr>
      </w:pPr>
    </w:p>
    <w:p>
      <w:pPr>
        <w:ind w:right="3940"/>
        <w:spacing w:after="0" w:line="19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7</w:t>
      </w:r>
      <w:r>
        <w:rPr>
          <w:rFonts w:ascii="Arial" w:cs="Arial" w:eastAsia="Arial" w:hAnsi="Arial"/>
          <w:sz w:val="14"/>
          <w:szCs w:val="14"/>
          <w:color w:val="auto"/>
        </w:rPr>
        <w:t xml:space="preserve"> Excludes $26 million for 14 MW of residential solar leases acquired outside of partnerships, not adjusted for dividends received </w:t>
      </w:r>
      <w:r>
        <w:rPr>
          <w:rFonts w:ascii="Arial" w:cs="Arial" w:eastAsia="Arial" w:hAnsi="Arial"/>
          <w:sz w:val="25"/>
          <w:szCs w:val="25"/>
          <w:color w:val="auto"/>
          <w:vertAlign w:val="superscript"/>
        </w:rPr>
        <w:t>8</w:t>
      </w:r>
      <w:r>
        <w:rPr>
          <w:rFonts w:ascii="Arial" w:cs="Arial" w:eastAsia="Arial" w:hAnsi="Arial"/>
          <w:sz w:val="14"/>
          <w:szCs w:val="14"/>
          <w:color w:val="auto"/>
        </w:rPr>
        <w:t xml:space="preserve"> Based on cash to be distributed; excludes 14 MW of residential solar leases acquired outside of partnership</w:t>
      </w:r>
    </w:p>
    <w:p>
      <w:pPr>
        <w:spacing w:after="0" w:line="1" w:lineRule="exact"/>
        <w:rPr>
          <w:rFonts w:ascii="Arial" w:cs="Arial" w:eastAsia="Arial" w:hAnsi="Arial"/>
          <w:sz w:val="25"/>
          <w:szCs w:val="25"/>
          <w:color w:val="auto"/>
          <w:vertAlign w:val="superscript"/>
        </w:rPr>
      </w:pP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9</w:t>
      </w:r>
      <w:r>
        <w:rPr>
          <w:rFonts w:ascii="Arial" w:cs="Arial" w:eastAsia="Arial" w:hAnsi="Arial"/>
          <w:sz w:val="14"/>
          <w:szCs w:val="14"/>
          <w:color w:val="auto"/>
        </w:rPr>
        <w:t xml:space="preserve"> Based on cash to be distributed</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Drop Down Offer from NRG Energy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Pursuant to the ROFO Agreement, NRG Yield received an offer from NRG to acquire Buckthorn Solar, a 154 MW solar facility located near Fort Stockton, Texas with a 25-year PPA with the City of Georgetown. The acquisition is subject to negotiation and approval by NRG Yield's Independent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2017, NRG Yield’s Board of Directors declared a quarterly dividend on Class A and Class C common stock of $0.288 per share (approximately $1.15 per share annualized) payable on December 15, 2017, to stockholders of record as of December 1, 2017. This equates to a 2.9% increase over the prior quarter, and a 15% year-over-year increase.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Yield’s quarterly operating results are impacted by seasonal factors, as well as variability in renewable energy resources. The majority of NRG Yield’s revenues are generated from the months of May through September, as contracted pricing and renewable resources are at their highest levels in the Company’s core markets. The factors driving the fluctuation in Net Income, Adjusted EBITDA, Cash from Operating Activities, and CAFD include the following:</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wind resources during the spring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2017 and Initiating 2018 Financial Guidance</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As a result of the November Drop Down acquisition</w:t>
      </w:r>
      <w:r>
        <w:rPr>
          <w:rFonts w:ascii="Arial" w:cs="Arial" w:eastAsia="Arial" w:hAnsi="Arial"/>
          <w:sz w:val="24"/>
          <w:szCs w:val="24"/>
          <w:color w:val="auto"/>
          <w:vertAlign w:val="superscript"/>
        </w:rPr>
        <w:t>10</w:t>
      </w:r>
      <w:r>
        <w:rPr>
          <w:rFonts w:ascii="Arial" w:cs="Arial" w:eastAsia="Arial" w:hAnsi="Arial"/>
          <w:sz w:val="17"/>
          <w:szCs w:val="17"/>
          <w:color w:val="auto"/>
        </w:rPr>
        <w:t>, NRG Yield is updating its full-year 2017 financial guidance for Adjusted EBITDA. However, given the time of year, the November Drop Down will contribute an immaterial amount of CAFD in 2017. The Company is also factoring in, for both Adjusted EBITDA and CAFD guidance, improved portfolio performance during the third quarter. The Company continues to expect the likely cash recovery of a substantial portion of the Walnut Creek Unit 1 outage costs from insurance proceeds through the end of 2017.</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NRG Yield is also initiating 2018 full year financial guidance. This financial guidance factors in the impact from growth capital deployed in 2017, but does not include growth investments under evaluation or not yet completed. Additionally, guidance includes the portion of the investment being made at Walnut Creek during 2018. Financial guidance continues to be based on median renewable energy production estimates.</w:t>
      </w:r>
    </w:p>
    <w:p>
      <w:pPr>
        <w:spacing w:after="0" w:line="339"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Updated 2017</w:t>
            </w:r>
          </w:p>
        </w:tc>
        <w:tc>
          <w:tcPr>
            <w:tcW w:w="13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Prior 2017 Full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Full 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2018 Full Year</w:t>
            </w:r>
          </w:p>
        </w:tc>
      </w:t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Year Guidance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Guidance</w:t>
            </w:r>
          </w:p>
        </w:tc>
      </w:tr>
      <w:tr>
        <w:trPr>
          <w:trHeight w:val="27"/>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920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935</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950</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557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568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Cash Available for Distribution (CAFD)</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255</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260</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280</w:t>
            </w:r>
          </w:p>
        </w:tc>
      </w:tr>
      <w:tr>
        <w:trPr>
          <w:trHeight w:val="27"/>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NRG Yield is targeting dividend per share growth of 15% annually on each of its Class A and Class C common stock through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80" w:firstLine="8"/>
        <w:spacing w:after="0" w:line="272" w:lineRule="auto"/>
        <w:tabs>
          <w:tab w:leader="none" w:pos="171" w:val="left"/>
        </w:tabs>
        <w:numPr>
          <w:ilvl w:val="0"/>
          <w:numId w:val="7"/>
        </w:numPr>
        <w:rPr>
          <w:rFonts w:ascii="Arial" w:cs="Arial" w:eastAsia="Arial" w:hAnsi="Arial"/>
          <w:sz w:val="21"/>
          <w:szCs w:val="21"/>
          <w:color w:val="auto"/>
          <w:vertAlign w:val="superscript"/>
        </w:rPr>
      </w:pPr>
      <w:r>
        <w:rPr>
          <w:rFonts w:ascii="Arial" w:cs="Arial" w:eastAsia="Arial" w:hAnsi="Arial"/>
          <w:sz w:val="12"/>
          <w:szCs w:val="12"/>
          <w:color w:val="auto"/>
        </w:rPr>
        <w:t>In accordance with GAAP, except for CAFD, all financial results include the full year impact of the drop down as if the combination has been in effect since the inception of common control. CAFD impact represents November through December estimates only.</w:t>
      </w: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 2017, NRG Yield will host a conference call at 9:15 a.m. Eastern to discuss these results. Investors, the news media and others may access the live webcast of the conference call and accompanying presentation materials by logging on to NRG Yield’s website at http://www.nrgyield.com and clicking on “Presentations &amp; Webcasts.”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provide the capacity to support more than two million American homes and businesses. Our thermal infrastructure assets provide steam, hot water and/or chilled water, and in some instances electricity, to commercial businesses, universities, hospitals and governmental units in multiple locations. NRG Yield’s Class C and Class A common stock are traded on the New York Stock Exchange under the symbols NYLD and NYLD.A, respectively. Visit www.nrgyield.com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include our Net Income, Adjusted EBITDA, Cash from Operating Activities, cash available for distribution, expected earnings, future growth and financial performance, and typically can be identified by the use of words such as “expect,” “estimate,” “anticipate,” “forecast,” “plan,” “believe” and similar terms.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 the condition of capital markets generally, our ability to access capital markets, potential risks to the Company as a result of NRG Energy, Inc.'s transformation plan, cyber terrorism and inadequate cyber security, the ability to engage in successful mergers and acquisitions activity, unanticipated outages at our generation facilities, adverse results in current and future litigation, failure to identify or successfully execute acquisitions, our ability to enter into new contracts as existing contracts expire, our ability to acquire assets from NRG Energy, Inc. or third parties, our ability to maintain or create successful partnering relationships with NRG Energy and other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NRG Yield, Inc. undertakes no obligation to update or revise any forward-looking statements, whether as a result of new information, future events or otherwise. The Adjusted EBITDA and Cash Available for Distribution are estimates as of today’s date, November 2, 2017, and are based on assumptions believed to be reasonable as of this date. NRG Yield expressly disclaims any current intention to update such guidance.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Media:</w:t>
      </w:r>
      <w:r>
        <w:rPr>
          <w:sz w:val="20"/>
          <w:szCs w:val="20"/>
          <w:color w:val="auto"/>
        </w:rPr>
        <w:tab/>
      </w:r>
      <w:r>
        <w:rPr>
          <w:rFonts w:ascii="Arial" w:cs="Arial" w:eastAsia="Arial" w:hAnsi="Arial"/>
          <w:sz w:val="18"/>
          <w:szCs w:val="18"/>
          <w:b w:val="1"/>
          <w:bCs w:val="1"/>
          <w:color w:val="auto"/>
        </w:rPr>
        <w:t>Investors:</w:t>
      </w:r>
    </w:p>
    <w:p>
      <w:pPr>
        <w:sectPr>
          <w:pgSz w:w="11900" w:h="16838" w:orient="portrait"/>
          <w:cols w:equalWidth="0" w:num="1">
            <w:col w:w="11420"/>
          </w:cols>
          <w:pgMar w:left="240" w:top="796" w:right="239" w:bottom="1440" w:gutter="0" w:footer="0" w:header="0"/>
        </w:sectPr>
      </w:pPr>
    </w:p>
    <w:p>
      <w:pPr>
        <w:spacing w:after="0" w:line="22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Sheri Woodruff 609.524.4608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Kevin L. Cole, CFA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609.524.4526</w:t>
      </w:r>
    </w:p>
    <w:p>
      <w:pPr>
        <w:spacing w:after="0" w:line="210" w:lineRule="exact"/>
        <w:rPr>
          <w:sz w:val="20"/>
          <w:szCs w:val="20"/>
          <w:color w:val="auto"/>
        </w:rPr>
      </w:pPr>
    </w:p>
    <w:p>
      <w:pPr>
        <w:sectPr>
          <w:pgSz w:w="11900" w:h="16838" w:orient="portrait"/>
          <w:cols w:equalWidth="0" w:num="2">
            <w:col w:w="1780" w:space="220"/>
            <w:col w:w="9420"/>
          </w:cols>
          <w:pgMar w:left="240" w:top="796" w:right="239" w:bottom="1440" w:gutter="0" w:footer="0" w:header="0"/>
          <w:type w:val="continuous"/>
        </w:sectPr>
      </w:pPr>
    </w:p>
    <w:p>
      <w:pPr>
        <w:ind w:left="660"/>
        <w:spacing w:after="0" w:line="342" w:lineRule="auto"/>
        <w:rPr>
          <w:sz w:val="20"/>
          <w:szCs w:val="20"/>
          <w:color w:val="auto"/>
        </w:rPr>
      </w:pPr>
      <w:r>
        <w:rPr>
          <w:rFonts w:ascii="Arial" w:cs="Arial" w:eastAsia="Arial" w:hAnsi="Arial"/>
          <w:sz w:val="16"/>
          <w:szCs w:val="16"/>
          <w:color w:val="auto"/>
        </w:rPr>
        <w:t>Marijke Shugrue 609.524.5262</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6"/>
          <w:szCs w:val="16"/>
          <w:color w:val="auto"/>
        </w:rPr>
        <w:t>Lindsey Puchyr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609.524.4527</w:t>
      </w:r>
    </w:p>
    <w:p>
      <w:pPr>
        <w:spacing w:after="0" w:line="241" w:lineRule="exact"/>
        <w:rPr>
          <w:sz w:val="20"/>
          <w:szCs w:val="20"/>
          <w:color w:val="auto"/>
        </w:rPr>
      </w:pPr>
    </w:p>
    <w:p>
      <w:pPr>
        <w:sectPr>
          <w:pgSz w:w="11900" w:h="16838" w:orient="portrait"/>
          <w:cols w:equalWidth="0" w:num="2">
            <w:col w:w="1880" w:space="120"/>
            <w:col w:w="9420"/>
          </w:cols>
          <w:pgMar w:left="240" w:top="796" w:right="239" w:bottom="1440" w:gutter="0" w:footer="0" w:header="0"/>
          <w:type w:val="continuous"/>
        </w:sectPr>
      </w:pPr>
    </w:p>
    <w:p>
      <w:pPr>
        <w:ind w:left="11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96"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0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29"/>
        </w:trPr>
        <w:tc>
          <w:tcPr>
            <w:tcW w:w="5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3"/>
        </w:trPr>
        <w:tc>
          <w:tcPr>
            <w:tcW w:w="588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tcPr>
          <w:p>
            <w:pPr>
              <w:ind w:left="240"/>
              <w:spacing w:after="0"/>
              <w:rPr>
                <w:sz w:val="20"/>
                <w:szCs w:val="20"/>
                <w:color w:val="auto"/>
              </w:rPr>
            </w:pPr>
            <w:r>
              <w:rPr>
                <w:rFonts w:ascii="Arial" w:cs="Arial" w:eastAsia="Arial" w:hAnsi="Arial"/>
                <w:sz w:val="17"/>
                <w:szCs w:val="17"/>
                <w:color w:val="auto"/>
              </w:rPr>
              <w:t>Total other expense, net</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Income tax expense</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NRG Yield,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Earnings Per Share Attributable to NRG Yield, Inc. Class A and Class C</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6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16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6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16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8"/>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4"/>
              </w:rPr>
              <w:t>Earnings per Weighted Average Class A and Class C Common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51"/>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Dividends Per Class A Common Share</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1"/>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Dividends Per Class C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8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364" w:right="3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Gain (Loss), net of tax</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Unrealized gain (loss) on derivatives, net of income tax benefit of $0, $1,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$0 and $13</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580"/>
              <w:spacing w:after="0"/>
              <w:rPr>
                <w:sz w:val="20"/>
                <w:szCs w:val="20"/>
                <w:color w:val="auto"/>
              </w:rPr>
            </w:pPr>
            <w:r>
              <w:rPr>
                <w:rFonts w:ascii="Arial" w:cs="Arial" w:eastAsia="Arial" w:hAnsi="Arial"/>
                <w:sz w:val="18"/>
                <w:szCs w:val="18"/>
                <w:color w:val="auto"/>
              </w:rPr>
              <w:t>Other comprehensive gain (loss)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364" w:right="3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0480"/>
          </w:cols>
          <w:pgMar w:left="720" w:top="364" w:right="699" w:bottom="570" w:gutter="0" w:footer="0" w:header="0"/>
        </w:sect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654800" cy="909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909320"/>
                    </a:xfrm>
                    <a:prstGeom prst="rect">
                      <a:avLst/>
                    </a:prstGeom>
                    <a:noFill/>
                  </pic:spPr>
                </pic:pic>
              </a:graphicData>
            </a:graphic>
          </wp:anchor>
        </w:drawing>
      </w:r>
    </w:p>
    <w:p>
      <w:pPr>
        <w:spacing w:after="0" w:line="215" w:lineRule="exact"/>
        <w:rPr>
          <w:sz w:val="20"/>
          <w:szCs w:val="20"/>
          <w:color w:val="auto"/>
        </w:rPr>
      </w:pPr>
    </w:p>
    <w:p>
      <w:pPr>
        <w:ind w:left="160" w:right="560"/>
        <w:spacing w:after="0" w:line="270"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184,780,837 shares issued and outstanding (Class A 34,586,250, Class B 42,738,750, Class C 64,717,087, Class D 42,738,750) at September 30, 2017 and 182,848,000 shares issued and outstanding (Class A 34,586,250, Class B 42,738,750, Class C 62,784,250, Class D 42,738,750) at December 31, 2016</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Retained Earnings (Accumulated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1,864</w:t>
            </w:r>
          </w:p>
        </w:tc>
        <w:tc>
          <w:tcPr>
            <w:tcW w:w="112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(27)</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437</w:t>
            </w:r>
          </w:p>
        </w:tc>
        <w:tc>
          <w:tcPr>
            <w:tcW w:w="1120" w:type="dxa"/>
            <w:vAlign w:val="bottom"/>
          </w:tcPr>
          <w:p>
            <w:pPr>
              <w:jc w:val="right"/>
              <w:spacing w:after="0"/>
              <w:rPr>
                <w:sz w:val="20"/>
                <w:szCs w:val="20"/>
                <w:color w:val="auto"/>
              </w:rPr>
            </w:pPr>
            <w:r>
              <w:rPr>
                <w:rFonts w:ascii="Arial" w:cs="Arial" w:eastAsia="Arial" w:hAnsi="Arial"/>
                <w:sz w:val="18"/>
                <w:szCs w:val="18"/>
                <w:color w:val="auto"/>
              </w:rPr>
              <w:t>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17145</wp:posOffset>
            </wp:positionV>
            <wp:extent cx="2195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480" w:space="720"/>
            <w:col w:w="2280"/>
          </w:cols>
          <w:pgMar w:left="720" w:top="364" w:right="699" w:bottom="57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7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8,836</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720" w:top="364" w:right="699" w:bottom="570" w:gutter="0" w:footer="0" w:header="0"/>
          <w:type w:val="continuous"/>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0"/>
          </w:cols>
          <w:pgMar w:left="720" w:top="364" w:right="699" w:bottom="57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the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60"/>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0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40" w:top="364" w:right="61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Appendix Table A-1: Three Months Ended September 30,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41</w:t>
            </w:r>
          </w:p>
        </w:tc>
      </w:tr>
      <w:tr>
        <w:trPr>
          <w:trHeight w:val="264"/>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265</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September 30,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50</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252</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576" w:right="39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Appendix Table A-3: Nine Months Ended September 30,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85</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719</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Nine Months Ended September 30,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Thermal</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116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ARO Expense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447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707</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2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60"/>
          </w:cols>
          <w:pgMar w:left="240" w:top="360" w:right="3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7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2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9/30/17</w:t>
            </w:r>
          </w:p>
        </w:tc>
        <w:tc>
          <w:tcPr>
            <w:tcW w:w="120" w:type="dxa"/>
            <w:vAlign w:val="bottom"/>
          </w:tcPr>
          <w:p>
            <w:pPr>
              <w:spacing w:after="0"/>
              <w:rPr>
                <w:sz w:val="23"/>
                <w:szCs w:val="23"/>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9/30/16</w:t>
            </w:r>
          </w:p>
        </w:tc>
        <w:tc>
          <w:tcPr>
            <w:tcW w:w="1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9/30/17</w:t>
            </w:r>
          </w:p>
        </w:tc>
        <w:tc>
          <w:tcPr>
            <w:tcW w:w="120" w:type="dxa"/>
            <w:vAlign w:val="bottom"/>
          </w:tcPr>
          <w:p>
            <w:pPr>
              <w:spacing w:after="0"/>
              <w:rPr>
                <w:sz w:val="23"/>
                <w:szCs w:val="23"/>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9/30/16</w:t>
            </w:r>
          </w:p>
        </w:tc>
      </w:tr>
      <w:tr>
        <w:trPr>
          <w:trHeight w:val="27"/>
        </w:trPr>
        <w:tc>
          <w:tcPr>
            <w:tcW w:w="5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r>
      <w:tr>
        <w:trPr>
          <w:trHeight w:val="237"/>
        </w:trPr>
        <w:tc>
          <w:tcPr>
            <w:tcW w:w="54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All other changes in working capital</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r>
      <w:tr>
        <w:trPr>
          <w:trHeight w:val="237"/>
        </w:trPr>
        <w:tc>
          <w:tcPr>
            <w:tcW w:w="54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All other changes in working capital</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Net contributions (to)/from non-controlling interest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Maintenance Capital expenditures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48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258</w:t>
            </w:r>
          </w:p>
        </w:tc>
      </w:tr>
      <w:tr>
        <w:trPr>
          <w:trHeight w:val="27"/>
        </w:trPr>
        <w:tc>
          <w:tcPr>
            <w:tcW w:w="5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80" w:type="dxa"/>
            <w:vAlign w:val="bottom"/>
            <w:shd w:val="clear" w:color="auto" w:fill="CCEEFF"/>
          </w:tcPr>
          <w:p>
            <w:pPr>
              <w:ind w:left="160"/>
              <w:spacing w:after="0" w:line="264" w:lineRule="exact"/>
              <w:rPr>
                <w:sz w:val="20"/>
                <w:szCs w:val="20"/>
                <w:color w:val="auto"/>
              </w:rPr>
            </w:pPr>
            <w:r>
              <w:rPr>
                <w:rFonts w:ascii="Arial" w:cs="Arial" w:eastAsia="Arial" w:hAnsi="Arial"/>
                <w:sz w:val="18"/>
                <w:szCs w:val="18"/>
                <w:color w:val="auto"/>
                <w:w w:val="97"/>
              </w:rPr>
              <w:t>Adjustment to reflect NYLD's CAFD pre Drop Down acquisition</w:t>
            </w:r>
            <w:r>
              <w:rPr>
                <w:rFonts w:ascii="Arial" w:cs="Arial" w:eastAsia="Arial" w:hAnsi="Arial"/>
                <w:sz w:val="25"/>
                <w:szCs w:val="25"/>
                <w:color w:val="auto"/>
                <w:w w:val="97"/>
                <w:vertAlign w:val="superscript"/>
              </w:rPr>
              <w:t>12,13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r>
      <w:tr>
        <w:trPr>
          <w:trHeight w:val="27"/>
        </w:trPr>
        <w:tc>
          <w:tcPr>
            <w:tcW w:w="5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3140"/>
        <w:spacing w:after="0" w:line="393" w:lineRule="auto"/>
        <w:rPr>
          <w:sz w:val="20"/>
          <w:szCs w:val="20"/>
          <w:color w:val="auto"/>
        </w:rPr>
      </w:pPr>
      <w:r>
        <w:rPr>
          <w:rFonts w:ascii="Arial" w:cs="Arial" w:eastAsia="Arial" w:hAnsi="Arial"/>
          <w:sz w:val="16"/>
          <w:szCs w:val="16"/>
          <w:b w:val="1"/>
          <w:bCs w:val="1"/>
          <w:color w:val="auto"/>
        </w:rPr>
        <w:t xml:space="preserve">Appendix Table A-6: Nine Months Ended September 30, 2017, Sources and Uses of Liquidity </w:t>
      </w:r>
      <w:r>
        <w:rPr>
          <w:rFonts w:ascii="Arial" w:cs="Arial" w:eastAsia="Arial" w:hAnsi="Arial"/>
          <w:sz w:val="16"/>
          <w:szCs w:val="16"/>
          <w:color w:val="auto"/>
        </w:rPr>
        <w:t xml:space="preserve">The following table summarizes the sources and uses of liquidity in the first </w:t>
      </w:r>
      <w:r>
        <w:rPr>
          <w:rFonts w:ascii="Arial" w:cs="Arial" w:eastAsia="Arial" w:hAnsi="Arial"/>
          <w:sz w:val="15"/>
          <w:szCs w:val="15"/>
          <w:color w:val="auto"/>
        </w:rPr>
        <w:t>nine</w:t>
      </w:r>
      <w:r>
        <w:rPr>
          <w:rFonts w:ascii="Arial" w:cs="Arial" w:eastAsia="Arial" w:hAnsi="Arial"/>
          <w:sz w:val="16"/>
          <w:szCs w:val="16"/>
          <w:color w:val="auto"/>
        </w:rPr>
        <w:t xml:space="preserve"> months of 2017:</w:t>
      </w:r>
    </w:p>
    <w:p>
      <w:pPr>
        <w:spacing w:after="0" w:line="2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Nine Months</w:t>
            </w:r>
          </w:p>
        </w:tc>
      </w:tr>
      <w:tr>
        <w:trPr>
          <w:trHeight w:val="234"/>
        </w:trPr>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648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9/30/17</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91"/>
        </w:trPr>
        <w:tc>
          <w:tcPr>
            <w:tcW w:w="6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Uses:</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6"/>
                <w:szCs w:val="16"/>
                <w:color w:val="auto"/>
              </w:rPr>
              <w:t>Payments for long-term debt</w:t>
            </w:r>
          </w:p>
        </w:tc>
        <w:tc>
          <w:tcPr>
            <w:tcW w:w="12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3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Payments for the Drop Down Assets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6"/>
                <w:szCs w:val="16"/>
                <w:color w:val="auto"/>
              </w:rPr>
              <w:t>Payment of dividends to shareholders and distributions to NRG</w:t>
            </w: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6"/>
                <w:szCs w:val="16"/>
                <w:color w:val="auto"/>
              </w:rPr>
              <w:t>Other net cash outflows</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304"/>
        </w:trPr>
        <w:tc>
          <w:tcPr>
            <w:tcW w:w="6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4"/>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 in total cash</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w:t>
            </w:r>
          </w:p>
        </w:tc>
      </w:tr>
      <w:tr>
        <w:trPr>
          <w:trHeight w:val="33"/>
        </w:trPr>
        <w:tc>
          <w:tcPr>
            <w:tcW w:w="6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Reimbursement of network upgrades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4"/>
          <w:szCs w:val="14"/>
          <w:color w:val="auto"/>
        </w:rPr>
        <w:t>Adjustment to YTD 2017 to reflect debt service paid by the Utah solar assets prior to ownership by NRG Yield</w:t>
      </w:r>
    </w:p>
    <w:p>
      <w:pPr>
        <w:ind w:left="180" w:hanging="172"/>
        <w:spacing w:after="0" w:line="192" w:lineRule="auto"/>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3"/>
          <w:szCs w:val="13"/>
          <w:color w:val="auto"/>
        </w:rPr>
        <w:t>Adjustment to Q3 2016 and YTD 2016 reflect the cash distribution from the CVSR project to NRG Yield while it was an unconsolidated equity investment in 2016</w:t>
      </w:r>
    </w:p>
    <w:p>
      <w:pPr>
        <w:sectPr>
          <w:pgSz w:w="11900" w:h="16838" w:orient="portrait"/>
          <w:cols w:equalWidth="0" w:num="1">
            <w:col w:w="10980"/>
          </w:cols>
          <w:pgMar w:left="240" w:top="616" w:right="679" w:bottom="1440" w:gutter="0" w:footer="0" w:header="0"/>
        </w:sect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80"/>
          </w:cols>
          <w:pgMar w:left="240" w:top="616" w:right="6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Appendix Table A-7: Adjusted EBITDA and Cash Available for Distribution Guidance</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50049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0495" cy="180340"/>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40989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5004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760" w:right="2220"/>
        <w:spacing w:after="0" w:line="313" w:lineRule="auto"/>
        <w:rPr>
          <w:sz w:val="20"/>
          <w:szCs w:val="20"/>
          <w:color w:val="auto"/>
        </w:rPr>
      </w:pPr>
      <w:r>
        <w:rPr>
          <w:rFonts w:ascii="Arial" w:cs="Arial" w:eastAsia="Arial" w:hAnsi="Arial"/>
          <w:sz w:val="18"/>
          <w:szCs w:val="18"/>
          <w:color w:val="auto"/>
        </w:rPr>
        <w:t>Depreciation, Amortization, and Accretion Expense Other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-178435</wp:posOffset>
            </wp:positionV>
            <wp:extent cx="65004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Adjustment to reflect NRG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46355</wp:posOffset>
            </wp:positionV>
            <wp:extent cx="650049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0495" cy="180340"/>
                    </a:xfrm>
                    <a:prstGeom prst="rect">
                      <a:avLst/>
                    </a:prstGeom>
                    <a:noFill/>
                  </pic:spPr>
                </pic:pic>
              </a:graphicData>
            </a:graphic>
          </wp:anchor>
        </w:drawing>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4098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5004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prepaid and accrued liabilities for tolling agreements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prepaid long term maintenance contract</w:t>
      </w:r>
      <w:r>
        <w:rPr>
          <w:rFonts w:ascii="Arial" w:cs="Arial" w:eastAsia="Arial" w:hAnsi="Arial"/>
          <w:sz w:val="25"/>
          <w:szCs w:val="25"/>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-17780</wp:posOffset>
            </wp:positionV>
            <wp:extent cx="65004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Pro-rata Adjusted EBITDA from unconsolidated affiliates</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50049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00495" cy="180340"/>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40989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contributions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65004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15</w:t>
      </w:r>
    </w:p>
    <w:p>
      <w:pPr>
        <w:ind w:left="760"/>
        <w:spacing w:after="0"/>
        <w:rPr>
          <w:sz w:val="20"/>
          <w:szCs w:val="20"/>
          <w:color w:val="auto"/>
        </w:rPr>
      </w:pPr>
      <w:r>
        <w:rPr>
          <w:rFonts w:ascii="Arial" w:cs="Arial" w:eastAsia="Arial" w:hAnsi="Arial"/>
          <w:sz w:val="18"/>
          <w:szCs w:val="18"/>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21590</wp:posOffset>
            </wp:positionV>
            <wp:extent cx="65004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0495" cy="171450"/>
                    </a:xfrm>
                    <a:prstGeom prst="rect">
                      <a:avLst/>
                    </a:prstGeom>
                    <a:noFill/>
                  </pic:spPr>
                </pic:pic>
              </a:graphicData>
            </a:graphic>
          </wp:anchor>
        </w:drawing>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4098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 xml:space="preserve">Prior 2017 Full </w:t>
      </w:r>
      <w:r>
        <w:rPr>
          <w:rFonts w:ascii="Arial" w:cs="Arial" w:eastAsia="Arial" w:hAnsi="Arial"/>
          <w:sz w:val="30"/>
          <w:szCs w:val="30"/>
          <w:b w:val="1"/>
          <w:bCs w:val="1"/>
          <w:color w:val="auto"/>
          <w:vertAlign w:val="superscript"/>
        </w:rPr>
        <w:t>Updated 2017</w:t>
      </w:r>
      <w:r>
        <w:rPr>
          <w:rFonts w:ascii="Arial" w:cs="Arial" w:eastAsia="Arial" w:hAnsi="Arial"/>
          <w:sz w:val="16"/>
          <w:szCs w:val="16"/>
          <w:b w:val="1"/>
          <w:bCs w:val="1"/>
          <w:color w:val="auto"/>
        </w:rPr>
        <w:t xml:space="preserve">  2018 Full Year</w:t>
      </w:r>
    </w:p>
    <w:p>
      <w:pPr>
        <w:jc w:val="center"/>
        <w:ind w:right="580"/>
        <w:spacing w:after="0" w:line="187" w:lineRule="auto"/>
        <w:rPr>
          <w:sz w:val="20"/>
          <w:szCs w:val="20"/>
          <w:color w:val="auto"/>
        </w:rPr>
      </w:pPr>
      <w:r>
        <w:rPr>
          <w:rFonts w:ascii="Arial" w:cs="Arial" w:eastAsia="Arial" w:hAnsi="Arial"/>
          <w:sz w:val="12"/>
          <w:szCs w:val="12"/>
          <w:b w:val="1"/>
          <w:bCs w:val="1"/>
          <w:color w:val="auto"/>
        </w:rPr>
        <w:t>Full Year</w:t>
      </w:r>
    </w:p>
    <w:p>
      <w:pPr>
        <w:spacing w:after="0" w:line="1" w:lineRule="exact"/>
        <w:rPr>
          <w:sz w:val="20"/>
          <w:szCs w:val="20"/>
          <w:color w:val="auto"/>
        </w:rPr>
      </w:pPr>
    </w:p>
    <w:p>
      <w:pPr>
        <w:ind w:left="1460" w:right="820" w:hanging="1424"/>
        <w:spacing w:after="0"/>
        <w:tabs>
          <w:tab w:leader="none" w:pos="1440" w:val="left"/>
        </w:tabs>
        <w:rPr>
          <w:sz w:val="20"/>
          <w:szCs w:val="20"/>
          <w:color w:val="auto"/>
        </w:rPr>
      </w:pPr>
      <w:r>
        <w:rPr>
          <w:rFonts w:ascii="Arial" w:cs="Arial" w:eastAsia="Arial" w:hAnsi="Arial"/>
          <w:sz w:val="18"/>
          <w:szCs w:val="18"/>
          <w:b w:val="1"/>
          <w:bCs w:val="1"/>
          <w:color w:val="auto"/>
        </w:rPr>
        <w:t>Year Guidance</w:t>
        <w:tab/>
        <w:t>Guidance Guidance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140</w:t>
            </w: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100</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125</w:t>
            </w:r>
          </w:p>
        </w:tc>
      </w:tr>
      <w:tr>
        <w:trPr>
          <w:trHeight w:val="33"/>
        </w:trPr>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25</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20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290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310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381</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400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25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80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80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920</w:t>
            </w: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935</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950</w:t>
            </w:r>
          </w:p>
        </w:tc>
      </w:tr>
      <w:tr>
        <w:trPr>
          <w:trHeight w:val="33"/>
        </w:trPr>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jc w:val="right"/>
              <w:ind w:right="359"/>
              <w:spacing w:after="0"/>
              <w:rPr>
                <w:sz w:val="20"/>
                <w:szCs w:val="20"/>
                <w:color w:val="auto"/>
              </w:rPr>
            </w:pPr>
            <w:r>
              <w:rPr>
                <w:rFonts w:ascii="Arial" w:cs="Arial" w:eastAsia="Arial" w:hAnsi="Arial"/>
                <w:sz w:val="16"/>
                <w:szCs w:val="16"/>
                <w:color w:val="auto"/>
              </w:rPr>
              <w:t>(295)</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(298)</w:t>
            </w: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70"/>
        </w:trPr>
        <w:tc>
          <w:tcPr>
            <w:tcW w:w="1620" w:type="dxa"/>
            <w:vAlign w:val="bottom"/>
          </w:tcPr>
          <w:p>
            <w:pPr>
              <w:jc w:val="right"/>
              <w:ind w:right="359"/>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1620" w:type="dxa"/>
            <w:vAlign w:val="bottom"/>
          </w:tcPr>
          <w:p>
            <w:pPr>
              <w:jc w:val="right"/>
              <w:ind w:right="359"/>
              <w:spacing w:after="0"/>
              <w:rPr>
                <w:sz w:val="20"/>
                <w:szCs w:val="20"/>
                <w:color w:val="auto"/>
              </w:rPr>
            </w:pPr>
            <w:r>
              <w:rPr>
                <w:rFonts w:ascii="Arial" w:cs="Arial" w:eastAsia="Arial" w:hAnsi="Arial"/>
                <w:sz w:val="16"/>
                <w:szCs w:val="16"/>
                <w:color w:val="auto"/>
              </w:rPr>
              <w:t>(175)</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(179)</w:t>
            </w: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111</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116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557</w:t>
            </w: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568</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599</w:t>
            </w:r>
          </w:p>
        </w:tc>
      </w:tr>
      <w:tr>
        <w:trPr>
          <w:trHeight w:val="33"/>
        </w:trPr>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1620" w:type="dxa"/>
            <w:vAlign w:val="bottom"/>
          </w:tcPr>
          <w:p>
            <w:pPr>
              <w:jc w:val="right"/>
              <w:ind w:right="359"/>
              <w:spacing w:after="0"/>
              <w:rPr>
                <w:sz w:val="20"/>
                <w:szCs w:val="20"/>
                <w:color w:val="auto"/>
              </w:rPr>
            </w:pPr>
            <w:r>
              <w:rPr>
                <w:rFonts w:ascii="Arial" w:cs="Arial" w:eastAsia="Arial" w:hAnsi="Arial"/>
                <w:sz w:val="16"/>
                <w:szCs w:val="16"/>
                <w:color w:val="auto"/>
              </w:rPr>
              <w:t>(29)</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(26)</w:t>
            </w: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1620" w:type="dxa"/>
            <w:vAlign w:val="bottom"/>
          </w:tcPr>
          <w:p>
            <w:pPr>
              <w:jc w:val="right"/>
              <w:ind w:right="359"/>
              <w:spacing w:after="0"/>
              <w:rPr>
                <w:sz w:val="20"/>
                <w:szCs w:val="20"/>
                <w:color w:val="auto"/>
              </w:rPr>
            </w:pPr>
            <w:r>
              <w:rPr>
                <w:rFonts w:ascii="Arial" w:cs="Arial" w:eastAsia="Arial" w:hAnsi="Arial"/>
                <w:sz w:val="16"/>
                <w:szCs w:val="16"/>
                <w:color w:val="auto"/>
              </w:rPr>
              <w:t>(291)</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(329)</w:t>
            </w:r>
          </w:p>
        </w:tc>
        <w:tc>
          <w:tcPr>
            <w:tcW w:w="84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70"/>
        </w:trPr>
        <w:tc>
          <w:tcPr>
            <w:tcW w:w="1620" w:type="dxa"/>
            <w:vAlign w:val="bottom"/>
          </w:tcPr>
          <w:p>
            <w:pPr>
              <w:jc w:val="right"/>
              <w:ind w:right="419"/>
              <w:spacing w:after="0"/>
              <w:rPr>
                <w:sz w:val="20"/>
                <w:szCs w:val="20"/>
                <w:color w:val="auto"/>
              </w:rPr>
            </w:pPr>
            <w:r>
              <w:rPr>
                <w:rFonts w:ascii="Arial" w:cs="Arial" w:eastAsia="Arial" w:hAnsi="Arial"/>
                <w:sz w:val="16"/>
                <w:szCs w:val="16"/>
                <w:color w:val="auto"/>
              </w:rPr>
              <w:t>16</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16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324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720" w:space="460"/>
            <w:col w:w="4240"/>
          </w:cols>
          <w:pgMar w:left="240" w:top="360" w:right="239" w:bottom="1440" w:gutter="0" w:footer="0" w:header="0"/>
          <w:type w:val="continuous"/>
        </w:sectPr>
      </w:pPr>
    </w:p>
    <w:tbl>
      <w:tblPr>
        <w:tblLayout w:type="fixed"/>
        <w:tblInd w:w="600" w:type="dxa"/>
        <w:tblCellMar>
          <w:top w:w="0" w:type="dxa"/>
          <w:left w:w="0" w:type="dxa"/>
          <w:bottom w:w="0" w:type="dxa"/>
          <w:right w:w="0" w:type="dxa"/>
        </w:tblCellMar>
      </w:tblPr>
      <w:tr>
        <w:trPr>
          <w:trHeight w:val="234"/>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254</w:t>
            </w: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230</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280</w:t>
            </w: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auto"/>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Adjustment to reflect NYLD's CAFD pre drop down acquisition</w:t>
            </w:r>
            <w:r>
              <w:rPr>
                <w:rFonts w:ascii="Arial" w:cs="Arial" w:eastAsia="Arial" w:hAnsi="Arial"/>
                <w:sz w:val="25"/>
                <w:szCs w:val="25"/>
                <w:color w:val="auto"/>
                <w:vertAlign w:val="superscript"/>
              </w:rPr>
              <w:t>17,18</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30</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255</w:t>
            </w: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260</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280</w:t>
            </w: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A-8: Adjusted EBITDA and Cash Available for Distribution Drop Downs</w:t>
      </w:r>
    </w:p>
    <w:p>
      <w:pPr>
        <w:spacing w:after="0" w:line="166"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700" w:type="dxa"/>
            <w:vAlign w:val="bottom"/>
          </w:tcPr>
          <w:p>
            <w:pPr>
              <w:jc w:val="center"/>
              <w:ind w:left="337"/>
              <w:spacing w:after="0"/>
              <w:rPr>
                <w:sz w:val="20"/>
                <w:szCs w:val="20"/>
                <w:color w:val="auto"/>
              </w:rPr>
            </w:pPr>
            <w:r>
              <w:rPr>
                <w:rFonts w:ascii="Arial" w:cs="Arial" w:eastAsia="Arial" w:hAnsi="Arial"/>
                <w:sz w:val="18"/>
                <w:szCs w:val="18"/>
                <w:b w:val="1"/>
                <w:bCs w:val="1"/>
                <w:color w:val="auto"/>
                <w:w w:val="91"/>
              </w:rPr>
              <w:t>November Drop Down - 5</w:t>
            </w:r>
          </w:p>
        </w:tc>
      </w:tr>
      <w:tr>
        <w:trPr>
          <w:trHeight w:val="216"/>
        </w:trPr>
        <w:tc>
          <w:tcPr>
            <w:tcW w:w="3840" w:type="dxa"/>
            <w:vAlign w:val="bottom"/>
          </w:tcPr>
          <w:p>
            <w:pPr>
              <w:spacing w:after="0"/>
              <w:rPr>
                <w:sz w:val="18"/>
                <w:szCs w:val="18"/>
                <w:color w:val="auto"/>
              </w:rPr>
            </w:pPr>
          </w:p>
        </w:tc>
        <w:tc>
          <w:tcPr>
            <w:tcW w:w="2700" w:type="dxa"/>
            <w:vAlign w:val="bottom"/>
          </w:tcPr>
          <w:p>
            <w:pPr>
              <w:jc w:val="center"/>
              <w:ind w:left="337"/>
              <w:spacing w:after="0"/>
              <w:rPr>
                <w:sz w:val="20"/>
                <w:szCs w:val="20"/>
                <w:color w:val="auto"/>
              </w:rPr>
            </w:pPr>
            <w:r>
              <w:rPr>
                <w:rFonts w:ascii="Arial" w:cs="Arial" w:eastAsia="Arial" w:hAnsi="Arial"/>
                <w:sz w:val="18"/>
                <w:szCs w:val="18"/>
                <w:b w:val="1"/>
                <w:bCs w:val="1"/>
                <w:color w:val="auto"/>
                <w:w w:val="90"/>
              </w:rPr>
              <w:t>Year Average from 2018-</w:t>
            </w:r>
          </w:p>
        </w:tc>
      </w:tr>
      <w:tr>
        <w:trPr>
          <w:trHeight w:val="234"/>
        </w:trPr>
        <w:tc>
          <w:tcPr>
            <w:tcW w:w="384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700" w:type="dxa"/>
            <w:vAlign w:val="bottom"/>
          </w:tcPr>
          <w:p>
            <w:pPr>
              <w:jc w:val="center"/>
              <w:ind w:left="337"/>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3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r>
      <w:tr>
        <w:trPr>
          <w:trHeight w:val="237"/>
        </w:trPr>
        <w:tc>
          <w:tcPr>
            <w:tcW w:w="3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7"/>
        </w:trPr>
        <w:tc>
          <w:tcPr>
            <w:tcW w:w="3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7"/>
        </w:trPr>
        <w:tc>
          <w:tcPr>
            <w:tcW w:w="3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r>
      <w:tr>
        <w:trPr>
          <w:trHeight w:val="27"/>
        </w:trPr>
        <w:tc>
          <w:tcPr>
            <w:tcW w:w="3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646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Adjustment to reflect cash payment for the Walnut Creek facility's long term maintenance plan</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Net of property damage insurance proceeds to replace equipment</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pacing w:after="0" w:line="209" w:lineRule="auto"/>
        <w:rPr>
          <w:sz w:val="20"/>
          <w:szCs w:val="20"/>
          <w:color w:val="auto"/>
        </w:rPr>
      </w:pPr>
      <w:r>
        <w:rPr>
          <w:rFonts w:ascii="Arial" w:cs="Arial" w:eastAsia="Arial" w:hAnsi="Arial"/>
          <w:sz w:val="25"/>
          <w:szCs w:val="25"/>
          <w:color w:val="auto"/>
          <w:vertAlign w:val="superscript"/>
        </w:rPr>
        <w:t>17,</w:t>
      </w:r>
      <w:r>
        <w:rPr>
          <w:rFonts w:ascii="Arial" w:cs="Arial" w:eastAsia="Arial" w:hAnsi="Arial"/>
          <w:sz w:val="14"/>
          <w:szCs w:val="14"/>
          <w:color w:val="auto"/>
        </w:rPr>
        <w:t xml:space="preserve"> Prior 2017 Guidance Adjustment to reflect debt service paid by the Utah solar assets prior to ownership by NRG Yield</w:t>
      </w:r>
    </w:p>
    <w:p>
      <w:pPr>
        <w:ind w:left="180" w:hanging="172"/>
        <w:spacing w:after="0" w:line="189" w:lineRule="auto"/>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Updated 2017 Guidance Adjustment to reflect debt service paid by the Utah solar assets and debt service paid by the SPP funds prior to ownership by NRG Yield</w:t>
      </w:r>
    </w:p>
    <w:p>
      <w:pPr>
        <w:sectPr>
          <w:pgSz w:w="11900" w:h="16838" w:orient="portrait"/>
          <w:cols w:equalWidth="0" w:num="1">
            <w:col w:w="11420"/>
          </w:cols>
          <w:pgMar w:left="240" w:top="360" w:right="2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0" w:right="239" w:bottom="1440" w:gutter="0" w:footer="0" w:header="0"/>
          <w:type w:val="continuous"/>
        </w:sectPr>
      </w:pPr>
    </w:p>
    <w:bookmarkStart w:id="16" w:name="page17"/>
    <w:bookmarkEnd w:id="16"/>
    <w:p>
      <w:pPr>
        <w:spacing w:after="0" w:line="258" w:lineRule="auto"/>
        <w:rPr>
          <w:sz w:val="20"/>
          <w:szCs w:val="20"/>
          <w:color w:val="auto"/>
        </w:rPr>
      </w:pPr>
      <w:r>
        <w:rPr>
          <w:rFonts w:ascii="Arial" w:cs="Arial" w:eastAsia="Arial" w:hAnsi="Arial"/>
          <w:sz w:val="18"/>
          <w:szCs w:val="18"/>
          <w:color w:val="auto"/>
        </w:rPr>
        <w:t>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Yield does, limiting its usefulness as a comparative measure.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supplementally. See the statements of cash flow included in the financial statements that are a part of this news release.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Available for Distribution (CAFD) is adjusted EBITDA plus cash distributions from unconsolidated affiliates, cash receipts from notes receivable, less cash distributions to noncontrolling interests, maintenance capital expenditures, pro-rata adjusted EBITDA from unconsolidated affiliates, cash interest paid, income taxes paid, principal amortization of indebtedness, and changes in prepaid and accrued capacity payments. Management believes cash available for distribution is a relevant supplemental measure of the Company’s ability to earn and distribute cash returns to investors.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available for distribution as calculated by other companies. Investors should not rely on these measures as a substitute for any GAAP measure, including cash from operating activities.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3"/>
    </w:lvl>
  </w:abstractNum>
  <w:abstractNum w:abstractNumId="9">
    <w:nsid w:val="1F16E9E8"/>
    <w:multiLevelType w:val="hybridMultilevel"/>
    <w:lvl w:ilvl="0">
      <w:lvlJc w:val="left"/>
      <w:lvlText w:val="%1"/>
      <w:numFmt w:val="decimal"/>
      <w:start w:val="14"/>
    </w:lvl>
  </w:abstractNum>
  <w:abstractNum w:abstractNumId="10">
    <w:nsid w:val="1190CDE7"/>
    <w:multiLevelType w:val="hybridMultilevel"/>
    <w:lvl w:ilvl="0">
      <w:lvlJc w:val="left"/>
      <w:lvlText w:val="%1"/>
      <w:numFmt w:val="decimal"/>
      <w:start w:val="18"/>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2019-12-29T03:49:12Z</dcterms:created>
  <dcterms:modified xsi:type="dcterms:W3CDTF">2019-12-29T03:49:12Z</dcterms:modified>
</cp:coreProperties>
</file>