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23,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2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20"/>
        </w:trPr>
        <w:tc>
          <w:tcPr>
            <w:tcW w:w="35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22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35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CWEN.A</w:t>
            </w:r>
          </w:p>
        </w:tc>
        <w:tc>
          <w:tcPr>
            <w:tcW w:w="32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5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CWEN</w:t>
            </w:r>
          </w:p>
        </w:tc>
        <w:tc>
          <w:tcPr>
            <w:tcW w:w="32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23, 2022, VP-Arica Parent Holdco LLC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 subsidiary of Clearway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Membership Interest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VP-Arica CE Seller LLC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 affiliate of Clearway Energy Group LLC. Pursuant to the terms of the Purchase Agreement, Purchaser will acquire from Seller 100% of the Class A membership interests in VP-Arica TargetCo LLC (“</w:t>
      </w:r>
      <w:r>
        <w:rPr>
          <w:rFonts w:ascii="Times New Roman" w:cs="Times New Roman" w:eastAsia="Times New Roman" w:hAnsi="Times New Roman"/>
          <w:sz w:val="18"/>
          <w:szCs w:val="18"/>
          <w:u w:val="single" w:color="auto"/>
          <w:color w:val="auto"/>
        </w:rPr>
        <w:t>Target Company</w:t>
      </w:r>
      <w:r>
        <w:rPr>
          <w:rFonts w:ascii="Times New Roman" w:cs="Times New Roman" w:eastAsia="Times New Roman" w:hAnsi="Times New Roman"/>
          <w:sz w:val="18"/>
          <w:szCs w:val="18"/>
          <w:color w:val="auto"/>
        </w:rPr>
        <w:t>”), which owns two solar and energy storage projects located in California representing 649 megawatts of capacity, for a purchase price of approximately $227,754,913 million in cash, subject to customary working capital adjustments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Upon the closing of the Transaction, the Purchaser will own 40% of the limited liability company membership interests in the Target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covenants made by the parties. Each of the Purchaser and the Seller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closing of the Transaction is subject to customary closing conditions and certain third-party approvals. The Company expects the Transaction to close in the fourth quarter of 2023.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a copy of which is filed as Exhibit 10.1 to this Current Report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6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Membership Interest Purchase Agreement, dated as of December 23, 2022, by and between VP-Arica CE Seller LLC and VP-Arica</w:t>
            </w:r>
          </w:p>
        </w:tc>
      </w:tr>
      <w:tr>
        <w:trPr>
          <w:trHeight w:val="196"/>
        </w:trPr>
        <w:tc>
          <w:tcPr>
            <w:tcW w:w="50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Parent Holdco LLC.</w:t>
            </w:r>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ind w:left="460" w:hanging="452"/>
        <w:spacing w:after="0" w:line="26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upon request.</w:t>
      </w:r>
    </w:p>
    <w:p>
      <w:pPr>
        <w:jc w:val="both"/>
        <w:ind w:left="460" w:hanging="452"/>
        <w:spacing w:after="0" w:line="25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VP-Arica TargetCo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VP-Arica CE Seller LLC, as Seller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VP-Arica Parent Holdco LLC, as Purchaser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December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00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20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RULES OF INTERPRETATION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1.01.</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1.02.</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Rules of Interpretation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SALE OF MEMBERSHIP INTERESTS AND CLOSING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2.01.</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2.02.</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Payment of Purchase Price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2.03.</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Closing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2.04.</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Adjusted Purchase Price Amount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2.05.</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Certain Proceeds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2.06.</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Tax Reporting of Transaction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3.01.</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Seller and the Acquired Companies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3.02.</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Purchaser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 PRECEDENT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4.01.</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 of the Parties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4.02.</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 of the Purchaser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4.03.</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 of the Seller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CERTAIN COVENANTS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5.01.</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Other Permits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5.02.</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5.03.</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Notification of Certain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5.04.</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5.05.</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Fulfillment of Conditions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5.06.</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5.07.</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Purchaser’s Substitute Support Obligations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5.08.</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5.09.</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5.10.</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Purchaser Parent Guaranty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5.11.</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Seller Parent Guaranty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5.12.</w:t>
            </w: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Post-Execution Date Documents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09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INDEMNIFICATION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6.01.</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Seller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6.02.</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Purchaser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6.03.</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Survival of Representations, Warranties, Covenants and Agreements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6.04.</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Claims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6.05.</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Procedure for Indemnification of Third Party Claims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6.06.</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Rights of the Indemnifying Party in the Defense of Third Party Claims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6.07.</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Direct Claims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6.08.</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Exclusive Remedy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6.09.</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Mitigations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6.10.</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Indemnity Treatment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7.01.</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7.02.</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GENERAL PROVISIONS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8.01.</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8.02.</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Entire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8.03.</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8.04.</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Time of the Essence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8.05.</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8.06.</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Disclosures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8.07.</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8.08.</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8.09.</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No Third Party Beneficiary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8.10.</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Assignment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8.11.</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8.12.</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8.13.</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Consent to Jurisdiction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8.14.</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Waiver of Jury Trial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8.15.</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Certain Damages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8.16.</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Disclosures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2"/>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8.17.</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PDF Signature; Counterparts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879" w:gutter="0" w:footer="0" w:header="0"/>
        </w:sectPr>
      </w:pPr>
    </w:p>
    <w:bookmarkStart w:id="6" w:name="page7"/>
    <w:bookmarkEnd w:id="6"/>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ectPr>
          <w:pgSz w:w="11900" w:h="16838" w:orient="portrait"/>
          <w:cols w:equalWidth="0" w:num="1">
            <w:col w:w="10139"/>
          </w:cols>
          <w:pgMar w:left="320" w:top="900" w:right="1440"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Assignment of Membership Interests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Purchaser Parent Guaranty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Seller Parent Guaranty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Officer’s Certificate of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Secretary’s Certificate of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Officer’s Certificate of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Secretary’s Certificate of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A&amp;R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AIP Tax Equity Cross Guaranty</w:t>
      </w:r>
    </w:p>
    <w:p>
      <w:pPr>
        <w:spacing w:after="0" w:line="200" w:lineRule="exact"/>
        <w:rPr>
          <w:sz w:val="20"/>
          <w:szCs w:val="20"/>
          <w:color w:val="auto"/>
        </w:rPr>
      </w:pPr>
    </w:p>
    <w:p>
      <w:pPr>
        <w:sectPr>
          <w:pgSz w:w="11900" w:h="16838" w:orient="portrait"/>
          <w:cols w:equalWidth="0" w:num="2">
            <w:col w:w="980" w:space="720"/>
            <w:col w:w="8439"/>
          </w:cols>
          <w:pgMar w:left="320" w:top="900"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Schedules:</w:t>
      </w:r>
    </w:p>
    <w:p>
      <w:pPr>
        <w:sectPr>
          <w:pgSz w:w="11900" w:h="16838" w:orient="portrait"/>
          <w:cols w:equalWidth="0" w:num="1">
            <w:col w:w="10139"/>
          </w:cols>
          <w:pgMar w:left="320" w:top="900" w:right="1440"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 6.01</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Indemnification Matters</w:t>
      </w:r>
    </w:p>
    <w:p>
      <w:pPr>
        <w:spacing w:after="0" w:line="200" w:lineRule="exact"/>
        <w:rPr>
          <w:sz w:val="20"/>
          <w:szCs w:val="20"/>
          <w:color w:val="auto"/>
        </w:rPr>
      </w:pPr>
    </w:p>
    <w:p>
      <w:pPr>
        <w:sectPr>
          <w:pgSz w:w="11900" w:h="16838" w:orient="portrait"/>
          <w:cols w:equalWidth="0" w:num="2">
            <w:col w:w="1020" w:space="680"/>
            <w:col w:w="8439"/>
          </w:cols>
          <w:pgMar w:left="320" w:top="900" w:right="1440"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Seller Disclosure Schedules:</w:t>
      </w:r>
    </w:p>
    <w:p>
      <w:pPr>
        <w:sectPr>
          <w:pgSz w:w="11900" w:h="16838" w:orient="portrait"/>
          <w:cols w:equalWidth="0" w:num="1">
            <w:col w:w="10139"/>
          </w:cols>
          <w:pgMar w:left="320" w:top="900" w:right="1440" w:bottom="1440" w:gutter="0" w:footer="0" w:header="0"/>
          <w:type w:val="continuous"/>
        </w:sectPr>
      </w:pP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Schedule 1.01 Schedule 3.01(c) Schedule 3.01(e) Schedule 3.01(f) Schedule 3.01(g) Schedule 3.01(i) Schedule 3.01(i)(ii) Schedule 3.01(i)(iii) Schedule 3.01(i)(v) Schedule 3.01(i)(vi) Schedule 3.01(i)(vii) Schedule 3.01(j) Schedule 3.01(k) Schedule 3.01(m)(i) Schedule 3.01(m)(iii) Schedule 3.01(n)(i) Schedule 3.01(n)(ii) Schedule 3.01(n)(iii) Schedule 3.01(o) Schedule 3.01(p)(i) Schedule 3.01(p)(iii) Schedule 3.01(p)(iv) Schedule 3.01(q)(i) Schedule 3.01(q)(ii) Schedule 3.01(r) Schedule 3.01(s)(i) Schedule 3.01(t) Schedule 3.01(v) Schedule 3.01(w) Schedule 3.01(y) Schedule 5.04(b)</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Approvals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Business Jurisdictions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Equity Encumbrances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Additional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Additional Business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Contracts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Company Contracts Defaults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Real Property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Property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Insured Property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 Non-Compliance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Environmental 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Hazardous Substances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Noncompliance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Absence of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of Business</w:t>
      </w:r>
    </w:p>
    <w:p>
      <w:pPr>
        <w:spacing w:after="0" w:line="202" w:lineRule="exact"/>
        <w:rPr>
          <w:sz w:val="20"/>
          <w:szCs w:val="20"/>
          <w:color w:val="auto"/>
        </w:rPr>
      </w:pPr>
    </w:p>
    <w:p>
      <w:pPr>
        <w:sectPr>
          <w:pgSz w:w="11900" w:h="16838" w:orient="portrait"/>
          <w:cols w:equalWidth="0" w:num="2">
            <w:col w:w="1560" w:space="700"/>
            <w:col w:w="7879"/>
          </w:cols>
          <w:pgMar w:left="320" w:top="90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Purchaser Disclosure Schedules:</w:t>
      </w:r>
    </w:p>
    <w:p>
      <w:pPr>
        <w:sectPr>
          <w:pgSz w:w="11900" w:h="16838" w:orient="portrait"/>
          <w:cols w:equalWidth="0" w:num="1">
            <w:col w:w="10139"/>
          </w:cols>
          <w:pgMar w:left="320" w:top="900" w:right="1440"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3.02(i)</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Consents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 Approvals</w:t>
      </w:r>
    </w:p>
    <w:p>
      <w:pPr>
        <w:spacing w:after="0" w:line="211" w:lineRule="exact"/>
        <w:rPr>
          <w:sz w:val="20"/>
          <w:szCs w:val="20"/>
          <w:color w:val="auto"/>
        </w:rPr>
      </w:pPr>
    </w:p>
    <w:p>
      <w:pPr>
        <w:sectPr>
          <w:pgSz w:w="11900" w:h="16838" w:orient="portrait"/>
          <w:cols w:equalWidth="0" w:num="2">
            <w:col w:w="1540" w:space="720"/>
            <w:col w:w="7879"/>
          </w:cols>
          <w:pgMar w:left="320" w:top="900" w:right="1440" w:bottom="1440" w:gutter="0" w:footer="0" w:header="0"/>
          <w:type w:val="continuous"/>
        </w:sectPr>
      </w:pPr>
    </w:p>
    <w:p>
      <w:pPr>
        <w:spacing w:after="0" w:line="2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23, 2022 (the “</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is entered into by and between VP-Arica CE Seller LLC, a Delaware limited liability company (“</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and VP-Arica Parent Holdco LLC , a Delaware limited liability company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Purchaser and Seller are referred to,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xml:space="preserve">.” Capitalized terms not otherwise defined herein shall have the meaning given them in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 xml:space="preserve">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WHEREAS, (a) Renew Development HoldCo LLC, a Delaware limited liability company (“</w:t>
      </w:r>
      <w:r>
        <w:rPr>
          <w:rFonts w:ascii="Times New Roman" w:cs="Times New Roman" w:eastAsia="Times New Roman" w:hAnsi="Times New Roman"/>
          <w:sz w:val="18"/>
          <w:szCs w:val="18"/>
          <w:i w:val="1"/>
          <w:iCs w:val="1"/>
          <w:color w:val="auto"/>
        </w:rPr>
        <w:t>Project DevCo</w:t>
      </w:r>
      <w:r>
        <w:rPr>
          <w:rFonts w:ascii="Times New Roman" w:cs="Times New Roman" w:eastAsia="Times New Roman" w:hAnsi="Times New Roman"/>
          <w:sz w:val="18"/>
          <w:szCs w:val="18"/>
          <w:color w:val="auto"/>
        </w:rPr>
        <w:t>”) currently directly owns one hundred percent (100%) of the limited liability company membership interests of VP-Arica Project HoldCo LLC, a Delaware limited liability company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HoldCo</w:t>
      </w:r>
      <w:r>
        <w:rPr>
          <w:rFonts w:ascii="Times New Roman" w:cs="Times New Roman" w:eastAsia="Times New Roman" w:hAnsi="Times New Roman"/>
          <w:sz w:val="18"/>
          <w:szCs w:val="18"/>
          <w:color w:val="auto"/>
        </w:rPr>
        <w:t>”), and (b) Project HoldCo currently directly owns one hundred percent (100%) of the limited liability company membership interests of each of</w:t>
      </w:r>
    </w:p>
    <w:p>
      <w:pPr>
        <w:spacing w:after="0" w:line="1" w:lineRule="exact"/>
        <w:rPr>
          <w:sz w:val="20"/>
          <w:szCs w:val="20"/>
          <w:color w:val="auto"/>
        </w:rPr>
      </w:pPr>
    </w:p>
    <w:p>
      <w:pPr>
        <w:ind w:right="20" w:firstLine="8"/>
        <w:spacing w:after="0" w:line="260"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Victory Pass Pledgor, LLC a Delaware limited liability company (the “</w:t>
      </w:r>
      <w:r>
        <w:rPr>
          <w:rFonts w:ascii="Times New Roman" w:cs="Times New Roman" w:eastAsia="Times New Roman" w:hAnsi="Times New Roman"/>
          <w:sz w:val="18"/>
          <w:szCs w:val="18"/>
          <w:i w:val="1"/>
          <w:iCs w:val="1"/>
          <w:color w:val="auto"/>
        </w:rPr>
        <w:t>VP Pledgor Company</w:t>
      </w:r>
      <w:r>
        <w:rPr>
          <w:rFonts w:ascii="Times New Roman" w:cs="Times New Roman" w:eastAsia="Times New Roman" w:hAnsi="Times New Roman"/>
          <w:sz w:val="18"/>
          <w:szCs w:val="18"/>
          <w:color w:val="auto"/>
        </w:rPr>
        <w:t>”), and (ii) Arica Solar Pledgor, LLC a Delaware limited liability company (the “</w:t>
      </w:r>
      <w:r>
        <w:rPr>
          <w:rFonts w:ascii="Times New Roman" w:cs="Times New Roman" w:eastAsia="Times New Roman" w:hAnsi="Times New Roman"/>
          <w:sz w:val="18"/>
          <w:szCs w:val="18"/>
          <w:i w:val="1"/>
          <w:iCs w:val="1"/>
          <w:color w:val="auto"/>
        </w:rPr>
        <w:t>Arica Pledgor Company</w:t>
      </w:r>
      <w:r>
        <w:rPr>
          <w:rFonts w:ascii="Times New Roman" w:cs="Times New Roman" w:eastAsia="Times New Roman" w:hAnsi="Times New Roman"/>
          <w:sz w:val="18"/>
          <w:szCs w:val="18"/>
          <w:color w:val="auto"/>
        </w:rPr>
        <w:t>” and, together with VP Pledgor Company, each a “</w:t>
      </w:r>
      <w:r>
        <w:rPr>
          <w:rFonts w:ascii="Times New Roman" w:cs="Times New Roman" w:eastAsia="Times New Roman" w:hAnsi="Times New Roman"/>
          <w:sz w:val="18"/>
          <w:szCs w:val="18"/>
          <w:i w:val="1"/>
          <w:iCs w:val="1"/>
          <w:color w:val="auto"/>
        </w:rPr>
        <w:t>Pledgor Company</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VP Pledgor Company owns one hundred percent (100%) of the limited liability company membership interests of Victory Pass I, LLC, a Delaware limited liability company (the “</w:t>
      </w:r>
      <w:r>
        <w:rPr>
          <w:rFonts w:ascii="Times New Roman" w:cs="Times New Roman" w:eastAsia="Times New Roman" w:hAnsi="Times New Roman"/>
          <w:sz w:val="18"/>
          <w:szCs w:val="18"/>
          <w:i w:val="1"/>
          <w:iCs w:val="1"/>
          <w:color w:val="auto"/>
        </w:rPr>
        <w:t>VP Project 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Arica Pledgor Company owns one hundred percent (100%) of the limited liability company membership interests of Arica Solar, LLC, a Delaware limited liability company (the “</w:t>
      </w:r>
      <w:r>
        <w:rPr>
          <w:rFonts w:ascii="Times New Roman" w:cs="Times New Roman" w:eastAsia="Times New Roman" w:hAnsi="Times New Roman"/>
          <w:sz w:val="18"/>
          <w:szCs w:val="18"/>
          <w:i w:val="1"/>
          <w:iCs w:val="1"/>
          <w:color w:val="auto"/>
        </w:rPr>
        <w:t>Arica Project Company</w:t>
      </w:r>
      <w:r>
        <w:rPr>
          <w:rFonts w:ascii="Times New Roman" w:cs="Times New Roman" w:eastAsia="Times New Roman" w:hAnsi="Times New Roman"/>
          <w:sz w:val="18"/>
          <w:szCs w:val="18"/>
          <w:color w:val="auto"/>
        </w:rPr>
        <w:t>” and, together with the VP Project Company, each a “</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w:t>
      </w:r>
    </w:p>
    <w:p>
      <w:pPr>
        <w:spacing w:after="0" w:line="3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WHEREAS, (a) the VP Project Company is developing and constructing an approximately 200 MW</w:t>
      </w:r>
      <w:r>
        <w:rPr>
          <w:rFonts w:ascii="Times New Roman" w:cs="Times New Roman" w:eastAsia="Times New Roman" w:hAnsi="Times New Roman"/>
          <w:sz w:val="29"/>
          <w:szCs w:val="29"/>
          <w:color w:val="auto"/>
          <w:vertAlign w:val="subscript"/>
        </w:rPr>
        <w:t>AC</w:t>
      </w:r>
      <w:r>
        <w:rPr>
          <w:rFonts w:ascii="Times New Roman" w:cs="Times New Roman" w:eastAsia="Times New Roman" w:hAnsi="Times New Roman"/>
          <w:sz w:val="18"/>
          <w:szCs w:val="18"/>
          <w:color w:val="auto"/>
        </w:rPr>
        <w:t xml:space="preserve"> solar PV electric generating facility, together with a 50 MW battery energy storage system and associated infrastructure (the “</w:t>
      </w:r>
      <w:r>
        <w:rPr>
          <w:rFonts w:ascii="Times New Roman" w:cs="Times New Roman" w:eastAsia="Times New Roman" w:hAnsi="Times New Roman"/>
          <w:sz w:val="18"/>
          <w:szCs w:val="18"/>
          <w:i w:val="1"/>
          <w:iCs w:val="1"/>
          <w:color w:val="auto"/>
        </w:rPr>
        <w:t>VP Project</w:t>
      </w:r>
      <w:r>
        <w:rPr>
          <w:rFonts w:ascii="Times New Roman" w:cs="Times New Roman" w:eastAsia="Times New Roman" w:hAnsi="Times New Roman"/>
          <w:sz w:val="18"/>
          <w:szCs w:val="18"/>
          <w:color w:val="auto"/>
        </w:rPr>
        <w:t>”), and (b) the Arica Project Company is developing and constructing an approximately 263 MW</w:t>
      </w:r>
      <w:r>
        <w:rPr>
          <w:rFonts w:ascii="Times New Roman" w:cs="Times New Roman" w:eastAsia="Times New Roman" w:hAnsi="Times New Roman"/>
          <w:sz w:val="29"/>
          <w:szCs w:val="29"/>
          <w:color w:val="auto"/>
          <w:vertAlign w:val="subscript"/>
        </w:rPr>
        <w:t>AC</w:t>
      </w:r>
      <w:r>
        <w:rPr>
          <w:rFonts w:ascii="Times New Roman" w:cs="Times New Roman" w:eastAsia="Times New Roman" w:hAnsi="Times New Roman"/>
          <w:sz w:val="18"/>
          <w:szCs w:val="18"/>
          <w:color w:val="auto"/>
        </w:rPr>
        <w:t xml:space="preserve"> solar PV electric generating facility, together with a 136 MW battery energy storage system and associated infrastructure (the “</w:t>
      </w:r>
      <w:r>
        <w:rPr>
          <w:rFonts w:ascii="Times New Roman" w:cs="Times New Roman" w:eastAsia="Times New Roman" w:hAnsi="Times New Roman"/>
          <w:sz w:val="18"/>
          <w:szCs w:val="18"/>
          <w:i w:val="1"/>
          <w:iCs w:val="1"/>
          <w:color w:val="auto"/>
        </w:rPr>
        <w:t>Arica Project</w:t>
      </w:r>
      <w:r>
        <w:rPr>
          <w:rFonts w:ascii="Times New Roman" w:cs="Times New Roman" w:eastAsia="Times New Roman" w:hAnsi="Times New Roman"/>
          <w:sz w:val="18"/>
          <w:szCs w:val="18"/>
          <w:color w:val="auto"/>
        </w:rPr>
        <w:t>” and, together with the VP Project, each a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in each case, located in Riverside County, California;</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(a) Seller directly owns one hundred percent (100%) of the limited liability company membership interests of VP-Arica TargetCo LLC, a Delaware limited liability company (the “</w:t>
      </w:r>
      <w:r>
        <w:rPr>
          <w:rFonts w:ascii="Times New Roman" w:cs="Times New Roman" w:eastAsia="Times New Roman" w:hAnsi="Times New Roman"/>
          <w:sz w:val="18"/>
          <w:szCs w:val="18"/>
          <w:i w:val="1"/>
          <w:iCs w:val="1"/>
          <w:color w:val="auto"/>
        </w:rPr>
        <w:t>Target Company</w:t>
      </w:r>
      <w:r>
        <w:rPr>
          <w:rFonts w:ascii="Times New Roman" w:cs="Times New Roman" w:eastAsia="Times New Roman" w:hAnsi="Times New Roman"/>
          <w:sz w:val="18"/>
          <w:szCs w:val="18"/>
          <w:color w:val="auto"/>
        </w:rPr>
        <w:t>”), (b) the Target Company owns one hundred percent (100%) of the limited liability company membership interests of VP-Arica Class B LLC, a Delaware limited liability company (“</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and (c) until the Tax Equity Investor makes its initial investment in TE HoldCo in accordance with the Tax Equity Agreements, Class B HoldCo will own one hundred percent (100%) of the limited liability company membership interests of VP-Arica TE HoldCo LLC, a Delaware limited liability company (“</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and, together with VP Pledgor Company, Arica Pledgor Company, VP Project Company, Arica Project Company, Class B HoldCo and the Target Company, the “</w:t>
      </w:r>
      <w:r>
        <w:rPr>
          <w:rFonts w:ascii="Times New Roman" w:cs="Times New Roman" w:eastAsia="Times New Roman" w:hAnsi="Times New Roman"/>
          <w:sz w:val="18"/>
          <w:szCs w:val="18"/>
          <w:i w:val="1"/>
          <w:iCs w:val="1"/>
          <w:color w:val="auto"/>
        </w:rPr>
        <w:t>Acquired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prior to the Closing (as defined below), consistent with the provisions of the Tax Equity Agreements (as defined below), (a) Class B HoldCo will make a contribution to TE Holdco, and the Tax Equity Investor will make its initial investment in TE HoldCo in accordance with the Tax Equity Agreements, (b) the limited liability company membership interests in TE HoldCo will be divided into Class A membership interests and Class B membership interests, with (i) one hundred percent (100%) of the Class A membership interests in TE HoldCo to be issued, directly or indirectly, to the Tax Equity Investor (as defined below), and (ii) the portion of the limited liability company membership interests in TE HoldCo retained by Class B HoldCo to be converted into one hundred percent (100%) of the Class B membership interests in TE HoldCo, and (c) pursuant to the TE HoldCo MIPA, TE HoldCo will acquire (i) one hundred percent (100%) of the limited liability company membership interests of VP Pledgor Company, and (ii) one hundred percent (100%) of the limited liability company membership interests of Arica Pledgor Company, in each case, from Project HoldCo;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immediately subsequent to the consummation of the transactions described in the immediately preceding recital, TE HoldCo will own, directly or indirectly, all the limited liability company membership interests in each of VP Pledgor Company, Arica Pledgor Company, VP Project Company, and Arica Project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at the Closing, and subsequent to Tax Equity Investor making its initial investment in TE HoldCo, Seller desires to sell, and Purchaser desires to purchase, forty percent (40%) of the limited liability company membership interests of the Target Company (the “</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on the terms and subject to the conditions set forth in this Agreement;</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WHEREAS, simultaneously with Purchaser’s acquisition of the Acquired Interests (and as more particularly described in </w:t>
      </w:r>
      <w:r>
        <w:rPr>
          <w:rFonts w:ascii="Times New Roman" w:cs="Times New Roman" w:eastAsia="Times New Roman" w:hAnsi="Times New Roman"/>
          <w:sz w:val="18"/>
          <w:szCs w:val="18"/>
          <w:i w:val="1"/>
          <w:iCs w:val="1"/>
          <w:color w:val="auto"/>
        </w:rPr>
        <w:t>Section 2.06</w:t>
      </w:r>
      <w:r>
        <w:rPr>
          <w:rFonts w:ascii="Times New Roman" w:cs="Times New Roman" w:eastAsia="Times New Roman" w:hAnsi="Times New Roman"/>
          <w:sz w:val="18"/>
          <w:szCs w:val="18"/>
          <w:color w:val="auto"/>
        </w:rPr>
        <w:t>), Seller will sell, and AIP Lorax LLC, a Delaware limited liability company (“</w:t>
      </w:r>
      <w:r>
        <w:rPr>
          <w:rFonts w:ascii="Times New Roman" w:cs="Times New Roman" w:eastAsia="Times New Roman" w:hAnsi="Times New Roman"/>
          <w:sz w:val="18"/>
          <w:szCs w:val="18"/>
          <w:i w:val="1"/>
          <w:iCs w:val="1"/>
          <w:color w:val="auto"/>
        </w:rPr>
        <w:t>AIP Member</w:t>
      </w:r>
      <w:r>
        <w:rPr>
          <w:rFonts w:ascii="Times New Roman" w:cs="Times New Roman" w:eastAsia="Times New Roman" w:hAnsi="Times New Roman"/>
          <w:sz w:val="18"/>
          <w:szCs w:val="18"/>
          <w:color w:val="auto"/>
        </w:rPr>
        <w:t>”), will purchase, sixty percent (60%) of the limited liability company membership interests of the Target Company (the “</w:t>
      </w:r>
      <w:r>
        <w:rPr>
          <w:rFonts w:ascii="Times New Roman" w:cs="Times New Roman" w:eastAsia="Times New Roman" w:hAnsi="Times New Roman"/>
          <w:sz w:val="18"/>
          <w:szCs w:val="18"/>
          <w:i w:val="1"/>
          <w:iCs w:val="1"/>
          <w:color w:val="auto"/>
        </w:rPr>
        <w:t>AIP Interests</w:t>
      </w:r>
      <w:r>
        <w:rPr>
          <w:rFonts w:ascii="Times New Roman" w:cs="Times New Roman" w:eastAsia="Times New Roman" w:hAnsi="Times New Roman"/>
          <w:sz w:val="18"/>
          <w:szCs w:val="18"/>
          <w:color w:val="auto"/>
        </w:rPr>
        <w:t>”), pursuant to the AIP Purchase Agreement (as defined below); and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A&amp;R LLCA, upon the consummation of the Closing, (a) the AIP Interests shall be converted into one hundred percent (100%) of the Class B limited liability company membership interests in the Target Company, which shall be designated the “Class B Membership Interest,” and (b) the Acquired Interests shall be converted into one hundred percent (100%) of the Class A limited liability company membership interests in the Target Company, which shall be designated the “Class A Membership Interest.”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respective representations, warranties, covenants and agreements set forth herein, and for other good and valuable consideration, the receipt and sufficiency of which are hereby acknowledged, the Parties hereby agree as follows: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covenants, representations and warranties set forth herein, and intending to be legally bound hereby, the Parties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RULES OF INTERPRETATION</w:t>
      </w:r>
    </w:p>
    <w:p>
      <w:pPr>
        <w:spacing w:after="0" w:line="203"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used in this Agreement, the following defined terms have the meanings indicated below:</w:t>
      </w:r>
    </w:p>
    <w:p>
      <w:pPr>
        <w:spacing w:after="0" w:line="227"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A&amp;R LLCA</w:t>
      </w:r>
      <w:r>
        <w:rPr>
          <w:rFonts w:ascii="Times New Roman" w:cs="Times New Roman" w:eastAsia="Times New Roman" w:hAnsi="Times New Roman"/>
          <w:sz w:val="18"/>
          <w:szCs w:val="18"/>
          <w:color w:val="auto"/>
        </w:rPr>
        <w:t xml:space="preserve">” means that certain Amended and Restated Limited Liability Company Agreement of the Target Company, substantially in the form attached hereto as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Companies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 or Proceeding</w:t>
      </w:r>
      <w:r>
        <w:rPr>
          <w:rFonts w:ascii="Times New Roman" w:cs="Times New Roman" w:eastAsia="Times New Roman" w:hAnsi="Times New Roman"/>
          <w:sz w:val="18"/>
          <w:szCs w:val="18"/>
          <w:color w:val="auto"/>
        </w:rPr>
        <w:t>” means any action, suit, proceeding, arbitration or investigation by or before any Governmental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2.04(b)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Model</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 specified Person means any other Person that directly or indirectly through one or more intermediaries Controls, is Controlled by or is under common Control with the Person specified. For the purposes of this Agreement,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CEG, Seller and the direct or indirect subsidiaries of each (other than Clearway Energy, Inc., and its direct or indirect subsidiaries), on the one hand,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Clearway Energy, Inc., Clearway Energy LLC, Purchaser Parent, Purchaser and the direct or indirect subsidiaries of each, on the other hand, shall not be considered “Affiliates,”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with respect to Purchaser, “Affiliates” shall be limited to Clearway Energy Inc. and its subsidiaries,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with respect to Seller, “Affiliates” shall be limited to Clearway Energy Group LLC and its subsidiaries.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AIP Interests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AIP Member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AIP Parent</w:t>
      </w:r>
      <w:r>
        <w:rPr>
          <w:rFonts w:ascii="Times New Roman" w:cs="Times New Roman" w:eastAsia="Times New Roman" w:hAnsi="Times New Roman"/>
          <w:sz w:val="18"/>
          <w:szCs w:val="18"/>
          <w:color w:val="auto"/>
        </w:rPr>
        <w:t>” means AIP CW Holding (US) LP, a Delaware limited partnership.</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AIP Purchase Agreement</w:t>
      </w:r>
      <w:r>
        <w:rPr>
          <w:rFonts w:ascii="Times New Roman" w:cs="Times New Roman" w:eastAsia="Times New Roman" w:hAnsi="Times New Roman"/>
          <w:sz w:val="18"/>
          <w:szCs w:val="18"/>
          <w:color w:val="auto"/>
        </w:rPr>
        <w:t>” means the Membership Interest Purchase and Sale Agreement, dated on or about the date hereof, pursuant to which AIP Member will acquire the AIP Interests upon the occurrence of the “Closing” (as defined thereunder).</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AIP Tax Equity Cross Guaranty</w:t>
      </w:r>
      <w:r>
        <w:rPr>
          <w:rFonts w:ascii="Times New Roman" w:cs="Times New Roman" w:eastAsia="Times New Roman" w:hAnsi="Times New Roman"/>
          <w:sz w:val="18"/>
          <w:szCs w:val="18"/>
          <w:color w:val="auto"/>
        </w:rPr>
        <w:t xml:space="preserve">” means that certain Guaranty Agreement to be entered into on or around the Closing Date by AIP Parent, in favor of Purchaser Parent, in the form attached as Exhibit I to this Agreement, any changes to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Ancillary Documents</w:t>
      </w:r>
      <w:r>
        <w:rPr>
          <w:rFonts w:ascii="Times New Roman" w:cs="Times New Roman" w:eastAsia="Times New Roman" w:hAnsi="Times New Roman"/>
          <w:sz w:val="18"/>
          <w:szCs w:val="18"/>
          <w:color w:val="auto"/>
        </w:rPr>
        <w:t xml:space="preserve">” means (a) the Assignment of Membership Interests and (b) the respective certificates to be executed and delivered at the Closing by Purchaser pursuant to </w:t>
      </w:r>
      <w:r>
        <w:rPr>
          <w:rFonts w:ascii="Times New Roman" w:cs="Times New Roman" w:eastAsia="Times New Roman" w:hAnsi="Times New Roman"/>
          <w:sz w:val="18"/>
          <w:szCs w:val="18"/>
          <w:i w:val="1"/>
          <w:iCs w:val="1"/>
          <w:color w:val="auto"/>
        </w:rPr>
        <w:t>Section 4.03(c)</w:t>
      </w:r>
      <w:r>
        <w:rPr>
          <w:rFonts w:ascii="Times New Roman" w:cs="Times New Roman" w:eastAsia="Times New Roman" w:hAnsi="Times New Roman"/>
          <w:sz w:val="18"/>
          <w:szCs w:val="18"/>
          <w:color w:val="auto"/>
        </w:rPr>
        <w:t xml:space="preserve"> or by Seller pursuant to </w:t>
      </w:r>
      <w:r>
        <w:rPr>
          <w:rFonts w:ascii="Times New Roman" w:cs="Times New Roman" w:eastAsia="Times New Roman" w:hAnsi="Times New Roman"/>
          <w:sz w:val="18"/>
          <w:szCs w:val="18"/>
          <w:i w:val="1"/>
          <w:iCs w:val="1"/>
          <w:color w:val="auto"/>
        </w:rPr>
        <w:t>Section 4.02(d)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Appraisal</w:t>
      </w:r>
      <w:r>
        <w:rPr>
          <w:rFonts w:ascii="Times New Roman" w:cs="Times New Roman" w:eastAsia="Times New Roman" w:hAnsi="Times New Roman"/>
          <w:sz w:val="18"/>
          <w:szCs w:val="18"/>
          <w:color w:val="auto"/>
        </w:rPr>
        <w:t>” has the meaning set forth in the Tax Equity ECCA.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Arica Pledgor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Arica 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Arica Project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Assignment of Membership Interests</w:t>
      </w:r>
      <w:r>
        <w:rPr>
          <w:rFonts w:ascii="Times New Roman" w:cs="Times New Roman" w:eastAsia="Times New Roman" w:hAnsi="Times New Roman"/>
          <w:sz w:val="18"/>
          <w:szCs w:val="18"/>
          <w:color w:val="auto"/>
        </w:rPr>
        <w:t xml:space="preserve">” means the Assignment and Assumption Agreement, in substantially the form of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attached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Sheets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Case Model</w:t>
      </w:r>
      <w:r>
        <w:rPr>
          <w:rFonts w:ascii="Times New Roman" w:cs="Times New Roman" w:eastAsia="Times New Roman" w:hAnsi="Times New Roman"/>
          <w:sz w:val="18"/>
          <w:szCs w:val="18"/>
          <w:color w:val="auto"/>
        </w:rPr>
        <w:t>” means the financial projections with respect to the Projects in file “Victory Pass_Arica Financial Model – CWEN External – 12.18.2022_v1</w:t>
      </w:r>
      <w:r>
        <w:rPr>
          <w:rFonts w:ascii="Times New Roman" w:cs="Times New Roman" w:eastAsia="Times New Roman" w:hAnsi="Times New Roman"/>
          <w:sz w:val="18"/>
          <w:szCs w:val="18"/>
          <w:i w:val="1"/>
          <w:iCs w:val="1"/>
          <w:color w:val="auto"/>
        </w:rPr>
        <w:t>.xlsb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day on which banks located in the State of New York or the State of New Jersey are authorized or obligated to close.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“CAISO” </w:t>
      </w:r>
      <w:r>
        <w:rPr>
          <w:rFonts w:ascii="Times New Roman" w:cs="Times New Roman" w:eastAsia="Times New Roman" w:hAnsi="Times New Roman"/>
          <w:sz w:val="18"/>
          <w:szCs w:val="18"/>
          <w:color w:val="auto"/>
        </w:rPr>
        <w:t>means the California Independent System Operator,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CEG</w:t>
      </w:r>
      <w:r>
        <w:rPr>
          <w:rFonts w:ascii="Times New Roman" w:cs="Times New Roman" w:eastAsia="Times New Roman" w:hAnsi="Times New Roman"/>
          <w:sz w:val="18"/>
          <w:szCs w:val="18"/>
          <w:color w:val="auto"/>
        </w:rPr>
        <w:t>” means Clearway Energy Group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Percentage Interest</w:t>
      </w:r>
      <w:r>
        <w:rPr>
          <w:rFonts w:ascii="Times New Roman" w:cs="Times New Roman" w:eastAsia="Times New Roman" w:hAnsi="Times New Roman"/>
          <w:sz w:val="18"/>
          <w:szCs w:val="18"/>
          <w:color w:val="auto"/>
        </w:rPr>
        <w:t>” means the “Percentage Interest” (as defined in the A&amp;R LLCA) of Purchaser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Endorsement</w:t>
      </w:r>
      <w:r>
        <w:rPr>
          <w:rFonts w:ascii="Times New Roman" w:cs="Times New Roman" w:eastAsia="Times New Roman" w:hAnsi="Times New Roman"/>
          <w:sz w:val="18"/>
          <w:szCs w:val="18"/>
          <w:color w:val="auto"/>
        </w:rPr>
        <w:t>” means (a) a date down endorsement to the Execution Date Title Policy and (b) an ALTA 15.1 endorsement naming Purchaser as an additional insured.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3.01(m)(i)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certificate of formation and the limited liability company agreement or partnership agreement of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CPUC</w:t>
      </w:r>
      <w:r>
        <w:rPr>
          <w:rFonts w:ascii="Times New Roman" w:cs="Times New Roman" w:eastAsia="Times New Roman" w:hAnsi="Times New Roman"/>
          <w:sz w:val="18"/>
          <w:szCs w:val="18"/>
          <w:color w:val="auto"/>
        </w:rPr>
        <w:t>” means the California Public Utilities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Delay Damages</w:t>
      </w:r>
      <w:r>
        <w:rPr>
          <w:rFonts w:ascii="Times New Roman" w:cs="Times New Roman" w:eastAsia="Times New Roman" w:hAnsi="Times New Roman"/>
          <w:sz w:val="18"/>
          <w:szCs w:val="18"/>
          <w:color w:val="auto"/>
        </w:rPr>
        <w:t xml:space="preserve">” means any (a) “Delay Damages” (as defined in the Contract identified as item 1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payable pursuant to Section 2.4(b) of such Contract, (b) “Commercial Operation Delay Damages” (as defined in the Contract identified as item 2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payable pursuant to Section 2(b) of Exhibit B of such Contract, (c) “Commercial Operation Delay Damages”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 identified as item 3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payable pursuant to Section 2(c) of Exhibit B of such Contract, (d) “Commercial Operation Delay Damages” (as defined in the Contract identified as item 4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payable pursuant to Section 2(c) of Exhibit B of such Contract,</w:t>
      </w:r>
    </w:p>
    <w:p>
      <w:pPr>
        <w:spacing w:after="0" w:line="1" w:lineRule="exact"/>
        <w:rPr>
          <w:sz w:val="20"/>
          <w:szCs w:val="20"/>
          <w:color w:val="auto"/>
        </w:rPr>
      </w:pPr>
    </w:p>
    <w:p>
      <w:pPr>
        <w:jc w:val="both"/>
        <w:ind w:firstLine="8"/>
        <w:spacing w:after="0" w:line="255" w:lineRule="auto"/>
        <w:tabs>
          <w:tab w:leader="none" w:pos="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“Commercial Operation Delay Damages” (as defined in the Contract identified as item 5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payable pursuant to Section 2(c) of Exhibit B of such Contract, or (f) “Daily Delay Liquidated Delay Damages” (as defined in the Contract identified as item 7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payable pursuant to Section 2.06 of such Contract, in each case, paid by any Project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Schedules</w:t>
      </w:r>
      <w:r>
        <w:rPr>
          <w:rFonts w:ascii="Times New Roman" w:cs="Times New Roman" w:eastAsia="Times New Roman" w:hAnsi="Times New Roman"/>
          <w:sz w:val="18"/>
          <w:szCs w:val="18"/>
          <w:color w:val="auto"/>
        </w:rPr>
        <w:t>” means the schedules to Seller’s and Purchaser’s representations and warranties of even date herewith delivered in connection with the execution and delivery of this Agreement.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Plan</w:t>
      </w:r>
      <w:r>
        <w:rPr>
          <w:rFonts w:ascii="Times New Roman" w:cs="Times New Roman" w:eastAsia="Times New Roman" w:hAnsi="Times New Roman"/>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means all environmental air quality credits, green credits, carbon credits, emissions reduction credits, certificates, tags, offsets, allowances or similar products or rights, howsoever entitled: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attributable to the generation, purchase, sale or use of renewable energy generated or use of renewable generation technologies by either Project, or otherwise attributable to either Project, including any renewable energy credits (“</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Capital Contribution Account</w:t>
      </w:r>
      <w:r>
        <w:rPr>
          <w:rFonts w:ascii="Times New Roman" w:cs="Times New Roman" w:eastAsia="Times New Roman" w:hAnsi="Times New Roman"/>
          <w:sz w:val="18"/>
          <w:szCs w:val="18"/>
          <w:color w:val="auto"/>
        </w:rPr>
        <w:t>” has the meaning set forth in the Financing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Affiliate</w:t>
      </w:r>
      <w:r>
        <w:rPr>
          <w:rFonts w:ascii="Times New Roman" w:cs="Times New Roman" w:eastAsia="Times New Roman" w:hAnsi="Times New Roman"/>
          <w:sz w:val="18"/>
          <w:szCs w:val="18"/>
          <w:color w:val="auto"/>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Acquired Companies shall not be considered to be ERISA Affiliates from and after the Closing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has the meaning set forth in the preamble to this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 w:name="page13"/>
    <w:bookmarkEnd w:id="12"/>
    <w:p>
      <w:pPr>
        <w:jc w:val="both"/>
        <w:ind w:right="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 Title Policy</w:t>
      </w:r>
      <w:r>
        <w:rPr>
          <w:rFonts w:ascii="Times New Roman" w:cs="Times New Roman" w:eastAsia="Times New Roman" w:hAnsi="Times New Roman"/>
          <w:sz w:val="18"/>
          <w:szCs w:val="18"/>
          <w:color w:val="auto"/>
        </w:rPr>
        <w:t>” means each of (a) that certain Owner’s Policy of Title Insurance in favor of the Arica Project Company, dated November 17, 2022 and issued by the Title Company under Policy No. NCS-983439CA2-AS, and (b) that certain Owner’s Policy of Title Insurance in favor of the VP Project Company, dated November 17, 2022 and issued by the Title Company under Policy No. NCS-983439CA1-VP.</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Exempt Wholesale Generator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EWG</w:t>
      </w:r>
      <w:r>
        <w:rPr>
          <w:rFonts w:ascii="Times New Roman" w:cs="Times New Roman" w:eastAsia="Times New Roman" w:hAnsi="Times New Roman"/>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FERC</w:t>
      </w:r>
      <w:r>
        <w:rPr>
          <w:rFonts w:ascii="Times New Roman" w:cs="Times New Roman" w:eastAsia="Times New Roman" w:hAnsi="Times New Roman"/>
          <w:sz w:val="18"/>
          <w:szCs w:val="18"/>
          <w:color w:val="auto"/>
        </w:rPr>
        <w:t>” means the Federal Energy Regulatory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“Final Payment</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i w:val="1"/>
          <w:iCs w:val="1"/>
          <w:color w:val="auto"/>
        </w:rPr>
        <w:t xml:space="preserve"> Section 2.02(b).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“Final Payment Date</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i w:val="1"/>
          <w:iCs w:val="1"/>
          <w:color w:val="auto"/>
        </w:rPr>
        <w:t xml:space="preserve"> Section 2.02(b).</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Agreement</w:t>
      </w:r>
      <w:r>
        <w:rPr>
          <w:rFonts w:ascii="Times New Roman" w:cs="Times New Roman" w:eastAsia="Times New Roman" w:hAnsi="Times New Roman"/>
          <w:sz w:val="18"/>
          <w:szCs w:val="18"/>
          <w:color w:val="auto"/>
        </w:rPr>
        <w:t>” means that certain Financing Agreement, dated as of November 16, 2022, by and among Class B Holdco, Arica Project Company, VP Project Company, MUFG Bank, Ltd., as administrative agent, Wilmington Trust, National Association, as collateral agent, and the lenders and issuing banks from time to time party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means, collectively: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“Financing Documents” (as defined in the Financing Agreement)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Tax</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ECCA.</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FPA</w:t>
      </w:r>
      <w:r>
        <w:rPr>
          <w:rFonts w:ascii="Times New Roman" w:cs="Times New Roman" w:eastAsia="Times New Roman" w:hAnsi="Times New Roman"/>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Fraudulent Action</w:t>
      </w:r>
      <w:r>
        <w:rPr>
          <w:rFonts w:ascii="Times New Roman" w:cs="Times New Roman" w:eastAsia="Times New Roman" w:hAnsi="Times New Roman"/>
          <w:sz w:val="18"/>
          <w:szCs w:val="18"/>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Fundamental Representations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Date</w:t>
      </w:r>
      <w:r>
        <w:rPr>
          <w:rFonts w:ascii="Times New Roman" w:cs="Times New Roman" w:eastAsia="Times New Roman" w:hAnsi="Times New Roman"/>
          <w:sz w:val="18"/>
          <w:szCs w:val="18"/>
          <w:color w:val="auto"/>
        </w:rPr>
        <w:t>” has the meaning set forth in the Tax Equity ECCA.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relevant periods.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Approval</w:t>
      </w:r>
      <w:r>
        <w:rPr>
          <w:rFonts w:ascii="Times New Roman" w:cs="Times New Roman" w:eastAsia="Times New Roman" w:hAnsi="Times New Roman"/>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CAISO, CPUC, and the Regional Entity, or any court or governmental tribunal.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Hazardous Substances</w:t>
      </w:r>
      <w:r>
        <w:rPr>
          <w:rFonts w:ascii="Times New Roman" w:cs="Times New Roman" w:eastAsia="Times New Roman" w:hAnsi="Times New Roman"/>
          <w:sz w:val="18"/>
          <w:szCs w:val="18"/>
          <w:color w:val="auto"/>
        </w:rPr>
        <w:t>” means any substance, element, compound or mixture, whether solid, liquid or gaseous: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which is defined 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“hazardous waste” or “hazardous substance” or “pollutant” or “contaminant” under any Environmental Law;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which is otherwise hazardous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regulation  by  any  Governmental  Authority;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petroleum  hydrocarbons  (other  than  naturally  occurring  petroleum  hydrocarbons);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polychlorinated biphenyls (PCBs);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asbestos-containing materials (other than naturally occurring asbestos); (f) per or poly fluoroalkyl substances;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radioactive materials (other than naturally occurring radioactive materials).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all obligations of a Person: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borrowed money;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evidenced by notes, bonds, debentures or similar instruments;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for the deferred purchase price of goods or services (other than trade payables or accruals incurred in the ordinary course of business and not past due);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under capital leases;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secured by a Lien on the assets of such Person, whether or not such obligation has been assumed by such Person;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with respect to reimbursement obligations for letters of credit and other similar instruments (whether or not drawn);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respect of any other amount properly characterized as indebtedness in accordance with GAAP.</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xml:space="preserve">” means any Person claiming indemnification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xml:space="preserve">” means any Person against whom a claim for indemnification is being asserted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Funding Date</w:t>
      </w:r>
      <w:r>
        <w:rPr>
          <w:rFonts w:ascii="Times New Roman" w:cs="Times New Roman" w:eastAsia="Times New Roman" w:hAnsi="Times New Roman"/>
          <w:sz w:val="18"/>
          <w:szCs w:val="18"/>
          <w:color w:val="auto"/>
        </w:rPr>
        <w:t>” has the meaning set forth in the Tax Equity ECCA.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Insured Property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means the actual knowledge of (a) in the case of Seller, [***], and (b) in the case of Purchaser, [***], in each case, after reasonable inquiry of their direct reports.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3.01(n)(i)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liability, Indebtedness, obligation, commitment, or expense, in each case, requiring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payment of a monetary amount;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type or fulfillment of an obligation, and in each case whether accrued, absolute, contingent, asserted, matured, unmatured, secured or unsecured.</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mortgage, pledge, security interest, charge or encumbrance of any kind (including any conditional sale or other title retention agreement, any lease in the nature thereof, and any agreement to give any lien or security interest).</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xml:space="preserve">” means any and all claims (including third-party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 Project Change</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delay in the construction of either Project that is reasonably likely to result in a material delay in achieving commercial operations of such Project;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material increase in the costs of, or liability to, either Project or any Acquired Company that will not be borne by Seller or otherwise paid, extinguished or fully satisfied as of the Closing Date;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to the extent not taken into account in the Base Case Model, fact, event, circumstance, condition or change that has a material adverse effect on the expected generation or operating cost of either Project.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Projects or the Acquired Companies,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economic change generally affecting the international, national or regional electric generating industry or wholesale markets for electric power;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economic change in markets for commodities or supplies, including electric power, as applicable, used in connection with the Acquired Company;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any change in any Laws (including Environmental Laws), industry standards generally affecting the industry or markets in which any Acquired Company operates or GAAP;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any change in the financial condition of any Acquired Company caused by the transactions contemplated by this Agreement;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actions to be taken pursuant to or in accordance with this Agreement; or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the announcement or pendency of the transactions contemplated hereby, including any labor union activities or disputes;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fact, event, circumstance, condition, change or effect resulting from clauses (a) through</w:t>
      </w:r>
    </w:p>
    <w:p>
      <w:pPr>
        <w:spacing w:after="0" w:line="2" w:lineRule="exact"/>
        <w:rPr>
          <w:sz w:val="20"/>
          <w:szCs w:val="20"/>
          <w:color w:val="auto"/>
        </w:rPr>
      </w:pPr>
    </w:p>
    <w:p>
      <w:pPr>
        <w:jc w:val="both"/>
        <w:ind w:firstLine="8"/>
        <w:spacing w:after="0" w:line="255" w:lineRule="auto"/>
        <w:tabs>
          <w:tab w:leader="none" w:pos="2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California.</w:t>
      </w:r>
    </w:p>
    <w:p>
      <w:pPr>
        <w:spacing w:after="0" w:line="18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MBR Authorization</w:t>
      </w:r>
      <w:r>
        <w:rPr>
          <w:rFonts w:ascii="Times New Roman" w:cs="Times New Roman" w:eastAsia="Times New Roman" w:hAnsi="Times New Roman"/>
          <w:sz w:val="18"/>
          <w:szCs w:val="18"/>
          <w:color w:val="auto"/>
        </w:rPr>
        <w:t>” means a final order issued by FERC: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authorizing the wholesale sale of electric energy, capacity, and specified ancillary services at market-based rates pursuant to Section 205 of the FPA;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accepting a tariff pertaining to such sales;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MW</w:t>
      </w:r>
      <w:r>
        <w:rPr>
          <w:rFonts w:ascii="Times New Roman" w:cs="Times New Roman" w:eastAsia="Times New Roman" w:hAnsi="Times New Roman"/>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“NERC” </w:t>
      </w:r>
      <w:r>
        <w:rPr>
          <w:rFonts w:ascii="Times New Roman" w:cs="Times New Roman" w:eastAsia="Times New Roman" w:hAnsi="Times New Roman"/>
          <w:sz w:val="18"/>
          <w:szCs w:val="18"/>
          <w:color w:val="auto"/>
        </w:rPr>
        <w:t>means the North American Electric Reliability Corporation.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means any writ, judgment, injunction, ruling, decision, order or similar direction of any Governmental Authority, whether preliminary or final.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i w:val="1"/>
          <w:iCs w:val="1"/>
          <w:color w:val="auto"/>
        </w:rPr>
        <w:t>Section 7.01(b)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Equity Encumbrances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those restrictions on transfer imposed by applicable securities laws;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or restrictions imposed on transfers set forth in the Constitutive Documents of the issuer;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Liens created pursuant to, and securing any Indebtedness under, the Financing Documents.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Exceptions</w:t>
      </w:r>
      <w:r>
        <w:rPr>
          <w:rFonts w:ascii="Times New Roman" w:cs="Times New Roman" w:eastAsia="Times New Roman" w:hAnsi="Times New Roman"/>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7" w:lineRule="auto"/>
        <w:tabs>
          <w:tab w:leader="none" w:pos="22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for Taxes, which are not due and payable as of the Closing Date or, if due,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1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jc w:val="both"/>
        <w:ind w:firstLine="1304"/>
        <w:spacing w:after="0" w:line="261" w:lineRule="auto"/>
        <w:tabs>
          <w:tab w:leader="none" w:pos="21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mechanic’s and materialmen’s liens for construction in progress and workmen’s, repairmen’s, warehousemen’s and carrier’s liens arising in the ordinary course of business of the Acquired Companies: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to which there is no existing default on the part of the Acquired Companies;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are being contested in good faith through appropriate proceedings and as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w:t>
      </w:r>
    </w:p>
    <w:p>
      <w:pPr>
        <w:spacing w:after="0" w:line="17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mechanic’s, laborer’s, workmen’s, repairmen’s and carrier’s Liens, including all statutory Liens: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relating to obligations as to which there is no existing default on the part of the Acquired Companies;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Seller is contesting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 as applicable;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for Taxes, assessments and other governmental charges not yet due and payable or, if due: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good faith deposits in connection with bids, tenders, leases, contracts or other agreements, including rent security deposits;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pledges or deposits to secure public or statutory obligations or appeal bonds;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in the case of personal property owned or held by the Acquired Companies, covenants and other restrictions in the Company Contracts;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Liens relating to or arising from the Financing Documents;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encumbrance or exception reflected in any Title Policy;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Liens against the assets of any Acquired Company that would not, individually or in the aggregate, interfere in any material adverse respect with the ability of such Acquired Company to use the property encumbered thereby for its intended purpose in connection with any Project; and (i) any other Liens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w:t>
      </w:r>
    </w:p>
    <w:p>
      <w:pPr>
        <w:spacing w:after="0" w:line="19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Placed In Service (ESS)</w:t>
      </w:r>
      <w:r>
        <w:rPr>
          <w:rFonts w:ascii="Times New Roman" w:cs="Times New Roman" w:eastAsia="Times New Roman" w:hAnsi="Times New Roman"/>
          <w:sz w:val="18"/>
          <w:szCs w:val="18"/>
          <w:color w:val="auto"/>
        </w:rPr>
        <w:t>” has the meaning set forth in the Tax Equity ECCA.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Placed In Service (Solar)</w:t>
      </w:r>
      <w:r>
        <w:rPr>
          <w:rFonts w:ascii="Times New Roman" w:cs="Times New Roman" w:eastAsia="Times New Roman" w:hAnsi="Times New Roman"/>
          <w:sz w:val="18"/>
          <w:szCs w:val="18"/>
          <w:color w:val="auto"/>
        </w:rPr>
        <w:t>” has the meaning set forth in the Tax Equity ECCA.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Pledgor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Adjustments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firstLine="1304"/>
        <w:spacing w:after="0" w:line="282" w:lineRule="auto"/>
        <w:tabs>
          <w:tab w:leader="none" w:pos="20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of Initial Funding Date and the Substantial Completion Funding Date, the Base Case Model shall be updated to reflect the actual applicable Funding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Substantial Completion Funding Date, the Base Case Model shall be updated to reflect the actual date on which Placed In Services (Solar) and Placed In Service (ESS) occurred in respect of each Project.</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of Initial Funding Date and the Substantial Completion Funding Date, the Base Case Model shall be updated to reflect: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for each Project, the fair market value set forth in the Appraisal bring-down delivered for the applicable Funding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for each Project, any adjustment in cost allocation, depreciation and amortization recovery periods, amortization and depreciation methods and rates and amount of depreciation and amortization expense or allowance, as confirmed by the Appraisal bring-down delivered in connection with the applicable Funding Date;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for each Project, any adjustment to degradation or the monthly annual generation, as reflected in the bring downs of the “Independent Engineer Report” (as defined in the Tax Equity ECCA;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for each Project, to the extent revised in the bring-down of any “Independent Engineer Report” (as defined in the Tax Equity ECCA), availability and the energy estimate, as mutually agreed by Purchaser and Seller; (</w:t>
      </w: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8"/>
          <w:szCs w:val="18"/>
          <w:color w:val="auto"/>
        </w:rPr>
        <w:t>) for each Project, any adjustment to operation and maintenance fees and expenses to the extent identified in the “Independent Engineer Report” (as defined in the Tax Equity ECCA); and (</w:t>
      </w:r>
      <w:r>
        <w:rPr>
          <w:rFonts w:ascii="Times New Roman" w:cs="Times New Roman" w:eastAsia="Times New Roman" w:hAnsi="Times New Roman"/>
          <w:sz w:val="18"/>
          <w:szCs w:val="18"/>
          <w:i w:val="1"/>
          <w:iCs w:val="1"/>
          <w:color w:val="auto"/>
        </w:rPr>
        <w:t>vi</w:t>
      </w:r>
      <w:r>
        <w:rPr>
          <w:rFonts w:ascii="Times New Roman" w:cs="Times New Roman" w:eastAsia="Times New Roman" w:hAnsi="Times New Roman"/>
          <w:sz w:val="18"/>
          <w:szCs w:val="18"/>
          <w:color w:val="auto"/>
        </w:rPr>
        <w:t>) any adjustment in state or local Taxes that apply to either Project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304"/>
        <w:spacing w:after="0" w:line="266" w:lineRule="auto"/>
        <w:tabs>
          <w:tab w:leader="none" w:pos="220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energy price, the tenor of each “Power Purchase Agreement” (as defined in the Tax Equity ECCA), and the timing of receipt of payments under each “Power Purchase Agreement” (as defined in the Tax Equity ECCA) shall be adjusted to the extent that, prior to the applicable Funding Date, such agreement has been amended or terminated.</w:t>
      </w:r>
    </w:p>
    <w:p>
      <w:pPr>
        <w:spacing w:after="0" w:line="17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or additional “Transaction Documents” (as defined in the Tax Equity ECCA).</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tax expenses and franchise tax (if any) for the Projects shall be updated prior to the applicable Funding Date.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Insurance expenses shall be updated prior to the applicable Funding Date to reflect the costs of insurance to be obtained and maintained for the Projects, to the extent not yet in place, based on final advice from the “Insurance Consultant” (as defined in the Tax Equity ECCA);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escalation rate of two and one-tenth percent (2.1%) applied to the insurance cost forecast beyond the prompt year shall not be adjusted.</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Devco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3.01(aa)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Prudent Industry Practices</w:t>
      </w:r>
      <w:r>
        <w:rPr>
          <w:rFonts w:ascii="Times New Roman" w:cs="Times New Roman" w:eastAsia="Times New Roman" w:hAnsi="Times New Roman"/>
          <w:sz w:val="18"/>
          <w:szCs w:val="18"/>
          <w:color w:val="auto"/>
        </w:rPr>
        <w:t>” means those practices, methods, standards and procedures as are commonly used by a significant portion of those providing operating services on solar facilities of a type and size similar to the Projects,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PUHCA</w:t>
      </w:r>
      <w:r>
        <w:rPr>
          <w:rFonts w:ascii="Times New Roman" w:cs="Times New Roman" w:eastAsia="Times New Roman" w:hAnsi="Times New Roman"/>
          <w:sz w:val="18"/>
          <w:szCs w:val="18"/>
          <w:color w:val="auto"/>
        </w:rPr>
        <w:t>” means the Public Utility Holding Company Act of 2005 and the implementing regulations of the FERC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2.02(b).</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Indemnified Parties</w:t>
      </w:r>
      <w:r>
        <w:rPr>
          <w:rFonts w:ascii="Times New Roman" w:cs="Times New Roman" w:eastAsia="Times New Roman" w:hAnsi="Times New Roman"/>
          <w:sz w:val="18"/>
          <w:szCs w:val="18"/>
          <w:color w:val="auto"/>
        </w:rPr>
        <w:t>” means Purchaser and its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w:t>
      </w:r>
      <w:r>
        <w:rPr>
          <w:rFonts w:ascii="Times New Roman" w:cs="Times New Roman" w:eastAsia="Times New Roman" w:hAnsi="Times New Roman"/>
          <w:sz w:val="18"/>
          <w:szCs w:val="18"/>
          <w:color w:val="auto"/>
        </w:rPr>
        <w:t>” means Clearway Energy Operating LLC, a Delaware limited liability company.</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 Guaranty</w:t>
      </w:r>
      <w:r>
        <w:rPr>
          <w:rFonts w:ascii="Times New Roman" w:cs="Times New Roman" w:eastAsia="Times New Roman" w:hAnsi="Times New Roman"/>
          <w:sz w:val="18"/>
          <w:szCs w:val="18"/>
          <w:color w:val="auto"/>
        </w:rPr>
        <w:t xml:space="preserve">” means the Purchaser Parent Guaranty dated as of the Execution Date and issued by the Purchaser Parent, in the form of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Tax Equity Guaranty</w:t>
      </w:r>
      <w:r>
        <w:rPr>
          <w:rFonts w:ascii="Times New Roman" w:cs="Times New Roman" w:eastAsia="Times New Roman" w:hAnsi="Times New Roman"/>
          <w:sz w:val="18"/>
          <w:szCs w:val="18"/>
          <w:color w:val="auto"/>
        </w:rPr>
        <w:t xml:space="preserve">” means that certain Guaranty Agreement to be entered into on or around the Closing Date by Purchaser Parent, on behalf of Class B Holdco, in favor of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 Rights</w:t>
      </w:r>
      <w:r>
        <w:rPr>
          <w:rFonts w:ascii="Times New Roman" w:cs="Times New Roman" w:eastAsia="Times New Roman" w:hAnsi="Times New Roman"/>
          <w:sz w:val="18"/>
          <w:szCs w:val="18"/>
          <w:color w:val="auto"/>
        </w:rPr>
        <w:t>” means all real property rights and interests of the Acquired Companies, including all options, leases, easements, land use rights, access easements, transmission line easements, rights to ingress and egress, any and all bids, grants, awards, applications, rights to negotiate and all other rights relating to the Land.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 has the meaning set forth in the definition of “Environmental Attributes.”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“Regional Entity” </w:t>
      </w:r>
      <w:r>
        <w:rPr>
          <w:rFonts w:ascii="Times New Roman" w:cs="Times New Roman" w:eastAsia="Times New Roman" w:hAnsi="Times New Roman"/>
          <w:sz w:val="18"/>
          <w:szCs w:val="18"/>
          <w:color w:val="auto"/>
        </w:rPr>
        <w:t>means the Western Electricity Coordinating Council.</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means, for each Project: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“Independent Engineer Report” (as defined in the Tax Equity ECCA);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“Environmental Report” (as defined in the Tax Equity ECCA);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“Insurance Report” (as defined in the Tax Equity ECCA);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the “Transmission Report” (as defined in the Tax Equity ECCA); in each case, including any bring downs of such reports delivered pursuant to the Tax Equity ECCA as of the Closing Date.</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any Person, the officers, directors, employees, counsel, accountants, financing advisors, consultants and agents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Indemnified Parties</w:t>
      </w:r>
      <w:r>
        <w:rPr>
          <w:rFonts w:ascii="Times New Roman" w:cs="Times New Roman" w:eastAsia="Times New Roman" w:hAnsi="Times New Roman"/>
          <w:sz w:val="18"/>
          <w:szCs w:val="18"/>
          <w:color w:val="auto"/>
        </w:rPr>
        <w:t>” means Seller and each of its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w:t>
      </w:r>
      <w:r>
        <w:rPr>
          <w:rFonts w:ascii="Times New Roman" w:cs="Times New Roman" w:eastAsia="Times New Roman" w:hAnsi="Times New Roman"/>
          <w:sz w:val="18"/>
          <w:szCs w:val="18"/>
          <w:color w:val="auto"/>
        </w:rPr>
        <w:t>” means Clearway Renew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 Guaranty</w:t>
      </w:r>
      <w:r>
        <w:rPr>
          <w:rFonts w:ascii="Times New Roman" w:cs="Times New Roman" w:eastAsia="Times New Roman" w:hAnsi="Times New Roman"/>
          <w:sz w:val="18"/>
          <w:szCs w:val="18"/>
          <w:color w:val="auto"/>
        </w:rPr>
        <w:t xml:space="preserve">” means that guaranty of Seller Parent dated as of the Execution Date and attached hereto as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Tax Equity Guaranty</w:t>
      </w:r>
      <w:r>
        <w:rPr>
          <w:rFonts w:ascii="Times New Roman" w:cs="Times New Roman" w:eastAsia="Times New Roman" w:hAnsi="Times New Roman"/>
          <w:sz w:val="18"/>
          <w:szCs w:val="18"/>
          <w:color w:val="auto"/>
        </w:rPr>
        <w:t xml:space="preserve">” means that certain Guaranty Agreement to be entered into pursuant to the Tax Equity ECCA by Clearway Renew, LLC (or another Affiliate of Seller) on behalf of Class B Holdco, in favor of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Substantial Completion Funding Date</w:t>
      </w:r>
      <w:r>
        <w:rPr>
          <w:rFonts w:ascii="Times New Roman" w:cs="Times New Roman" w:eastAsia="Times New Roman" w:hAnsi="Times New Roman"/>
          <w:sz w:val="18"/>
          <w:szCs w:val="18"/>
          <w:color w:val="auto"/>
        </w:rPr>
        <w:t>” has the meaning set forth in the Tax Equity ECCA.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82"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Agreements</w:t>
      </w:r>
      <w:r>
        <w:rPr>
          <w:rFonts w:ascii="Times New Roman" w:cs="Times New Roman" w:eastAsia="Times New Roman" w:hAnsi="Times New Roman"/>
          <w:sz w:val="18"/>
          <w:szCs w:val="18"/>
          <w:color w:val="auto"/>
        </w:rPr>
        <w:t>” means, collectively, the Tax Equity ECCA, the Tax Equity LLCA, the AIP Tax Equity Cross Guaranty, Seller Tax Equity Guaranty, Purchaser Tax Equity Guaranty and the TE HoldCo MIPA.</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Documents</w:t>
      </w:r>
      <w:r>
        <w:rPr>
          <w:rFonts w:ascii="Times New Roman" w:cs="Times New Roman" w:eastAsia="Times New Roman" w:hAnsi="Times New Roman"/>
          <w:sz w:val="18"/>
          <w:szCs w:val="18"/>
          <w:color w:val="auto"/>
        </w:rPr>
        <w:t xml:space="preserve">” means each of the Tax Equity Agreements and each other agreement or certificate to be executed and delivered pursuant to the Tax Equity ECCA or the Tax Equity LLCA, in each case,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ECCA</w:t>
      </w:r>
      <w:r>
        <w:rPr>
          <w:rFonts w:ascii="Times New Roman" w:cs="Times New Roman" w:eastAsia="Times New Roman" w:hAnsi="Times New Roman"/>
          <w:sz w:val="18"/>
          <w:szCs w:val="18"/>
          <w:color w:val="auto"/>
        </w:rPr>
        <w:t xml:space="preserve">” means that certain Equity Capital Contribution Agreement, to be entered into by and between the Tax Equity Investor and Class B Holdco,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means Wells Fargo Bank, N.A.</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LLCA</w:t>
      </w:r>
      <w:r>
        <w:rPr>
          <w:rFonts w:ascii="Times New Roman" w:cs="Times New Roman" w:eastAsia="Times New Roman" w:hAnsi="Times New Roman"/>
          <w:sz w:val="18"/>
          <w:szCs w:val="18"/>
          <w:color w:val="auto"/>
        </w:rPr>
        <w:t xml:space="preserve">” means that certain Amended and Restated Limited Liability Company Agreement of TE HoldCo, to be entered into between Class B HoldCo and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Model</w:t>
      </w:r>
      <w:r>
        <w:rPr>
          <w:rFonts w:ascii="Times New Roman" w:cs="Times New Roman" w:eastAsia="Times New Roman" w:hAnsi="Times New Roman"/>
          <w:sz w:val="18"/>
          <w:szCs w:val="18"/>
          <w:color w:val="auto"/>
        </w:rPr>
        <w:t xml:space="preserve">” means the “Base Case Model” as defined in and updated pursuant to the Tax Equity ECCA, the initial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Return</w:t>
      </w:r>
      <w:r>
        <w:rPr>
          <w:rFonts w:ascii="Times New Roman" w:cs="Times New Roman" w:eastAsia="Times New Roman" w:hAnsi="Times New Roman"/>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Signing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 MIPA</w:t>
      </w:r>
      <w:r>
        <w:rPr>
          <w:rFonts w:ascii="Times New Roman" w:cs="Times New Roman" w:eastAsia="Times New Roman" w:hAnsi="Times New Roman"/>
          <w:sz w:val="18"/>
          <w:szCs w:val="18"/>
          <w:color w:val="auto"/>
        </w:rPr>
        <w:t xml:space="preserve">” means that certain Membership Interest Purchase and Sale Agreement for the sale by Project HoldCo and the purchase by TE HoldCo of one hundred percent (100%) of the membership interests of each Pledgor Company, to be entered into between Project HoldCo and the TE HoldCo,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Company</w:t>
      </w:r>
      <w:r>
        <w:rPr>
          <w:rFonts w:ascii="Times New Roman" w:cs="Times New Roman" w:eastAsia="Times New Roman" w:hAnsi="Times New Roman"/>
          <w:sz w:val="18"/>
          <w:szCs w:val="18"/>
          <w:color w:val="auto"/>
        </w:rPr>
        <w:t>” means First American Title Insurance Company, or another nationally-recognized title insurance company reasonably acceptable to the Parties.</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Policies</w:t>
      </w:r>
      <w:r>
        <w:rPr>
          <w:rFonts w:ascii="Times New Roman" w:cs="Times New Roman" w:eastAsia="Times New Roman" w:hAnsi="Times New Roman"/>
          <w:sz w:val="18"/>
          <w:szCs w:val="18"/>
          <w:color w:val="auto"/>
        </w:rPr>
        <w:t>” means each Owner’s Policy for an ALTA 2006 extended coverage owner’s policy of title insurance, issued by the Title Company in favor of each Project Company or otherwise in form and substance reasonably acceptable to Purchaser.</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Proformas</w:t>
      </w:r>
      <w:r>
        <w:rPr>
          <w:rFonts w:ascii="Times New Roman" w:cs="Times New Roman" w:eastAsia="Times New Roman" w:hAnsi="Times New Roman"/>
          <w:sz w:val="18"/>
          <w:szCs w:val="18"/>
          <w:color w:val="auto"/>
        </w:rPr>
        <w:t>” means, for each Project, that certain pro forma Title Policy to be delivered to the Tax Equity Investor pursuant to the Tax Equity ECCA, in form and substance reasonably acceptable to Purchaser.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means this Agreement, the Ancillary Documents and the A&amp;R LLCA.</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Expenses</w:t>
      </w:r>
      <w:r>
        <w:rPr>
          <w:rFonts w:ascii="Times New Roman" w:cs="Times New Roman" w:eastAsia="Times New Roman" w:hAnsi="Times New Roman"/>
          <w:sz w:val="18"/>
          <w:szCs w:val="18"/>
          <w:color w:val="auto"/>
        </w:rPr>
        <w:t>” means (a)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Company or any Acquired Company, including the fees, costs, disbursements and expenses of advisors with respect thereto, (b) all liabilities of the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(c) all fees and expenses, if any, incurred by the Company or any Acquired Company on or prior to the Closing Date in connection with obtaining the Seller Consents.</w:t>
      </w:r>
    </w:p>
    <w:p>
      <w:pPr>
        <w:spacing w:after="0" w:line="18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means the final and temporary regulations promulgated by the U.S. Department of Treasury under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VP Pledgor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VP 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VP Project Company</w:t>
      </w:r>
      <w:r>
        <w:rPr>
          <w:rFonts w:ascii="Times New Roman" w:cs="Times New Roman" w:eastAsia="Times New Roman" w:hAnsi="Times New Roman"/>
          <w:sz w:val="18"/>
          <w:szCs w:val="18"/>
          <w:color w:val="auto"/>
        </w:rPr>
        <w:t>” has the meaning set forth in the recitals to this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i w:val="1"/>
          <w:iCs w:val="1"/>
          <w:color w:val="auto"/>
        </w:rPr>
        <w:t>Rules of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6" w:lineRule="auto"/>
        <w:tabs>
          <w:tab w:leader="none" w:pos="20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As used herein, the singular shall include the plural, the masculine gender shall include the feminine and neuter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neuter gender shall include the masculine and feminine unless the context otherwise indicates.</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References</w:t>
      </w:r>
      <w:r>
        <w:rPr>
          <w:rFonts w:ascii="Times New Roman" w:cs="Times New Roman" w:eastAsia="Times New Roman" w:hAnsi="Times New Roman"/>
          <w:sz w:val="18"/>
          <w:szCs w:val="18"/>
          <w:color w:val="auto"/>
        </w:rPr>
        <w:t>. References to Articles and Sections are intended to refer to Articles and Sections of this Agreement,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88"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Terms</w:t>
      </w:r>
      <w:r>
        <w:rPr>
          <w:rFonts w:ascii="Times New Roman" w:cs="Times New Roman" w:eastAsia="Times New Roman" w:hAnsi="Times New Roman"/>
          <w:sz w:val="18"/>
          <w:szCs w:val="18"/>
          <w:color w:val="auto"/>
        </w:rPr>
        <w:t>. As used in this Agreement and in any certificate or other documents made or delivered pursuant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OF MEMBERSHIP INTERESTS AND CLOSING</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2.01. </w:t>
      </w:r>
      <w:r>
        <w:rPr>
          <w:rFonts w:ascii="Times New Roman" w:cs="Times New Roman" w:eastAsia="Times New Roman" w:hAnsi="Times New Roman"/>
          <w:sz w:val="18"/>
          <w:szCs w:val="18"/>
          <w:b w:val="1"/>
          <w:bCs w:val="1"/>
          <w:i w:val="1"/>
          <w:iCs w:val="1"/>
          <w:color w:val="auto"/>
        </w:rPr>
        <w:t>Purchase and Sale</w:t>
      </w:r>
      <w:r>
        <w:rPr>
          <w:rFonts w:ascii="Times New Roman" w:cs="Times New Roman" w:eastAsia="Times New Roman" w:hAnsi="Times New Roman"/>
          <w:sz w:val="18"/>
          <w:szCs w:val="18"/>
          <w:color w:val="auto"/>
        </w:rPr>
        <w:t>. Seller agrees to sell to Purchaser, and Purchaser agrees to purchase from Seller, all of the right, title and interest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Financing Agreement, in either case, in accordance with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Section 2.02(b)</w:t>
      </w:r>
      <w:r>
        <w:rPr>
          <w:rFonts w:ascii="Times New Roman" w:cs="Times New Roman" w:eastAsia="Times New Roman" w:hAnsi="Times New Roman"/>
          <w:sz w:val="18"/>
          <w:szCs w:val="18"/>
          <w:color w:val="auto"/>
        </w:rPr>
        <w:t xml:space="preserve"> (as applicable), an aggregate amount equal to Two Hundred Twenty Seven Million Seven Hundred Fifty-Four Thousand Nine Hundred Thirteen and 19/100 Dollars ($227,754,913.19) (the “</w:t>
      </w:r>
      <w:r>
        <w:rPr>
          <w:rFonts w:ascii="Times New Roman" w:cs="Times New Roman" w:eastAsia="Times New Roman" w:hAnsi="Times New Roman"/>
          <w:sz w:val="18"/>
          <w:szCs w:val="18"/>
          <w:i w:val="1"/>
          <w:iCs w:val="1"/>
          <w:color w:val="auto"/>
        </w:rPr>
        <w:t>Base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subject to adjustment in accordance with</w:t>
      </w:r>
      <w:r>
        <w:rPr>
          <w:rFonts w:ascii="Times New Roman" w:cs="Times New Roman" w:eastAsia="Times New Roman" w:hAnsi="Times New Roman"/>
          <w:sz w:val="18"/>
          <w:szCs w:val="18"/>
          <w:i w:val="1"/>
          <w:iCs w:val="1"/>
          <w:color w:val="auto"/>
        </w:rPr>
        <w:t xml:space="preserve"> Section 2.04(a)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b w:val="1"/>
          <w:bCs w:val="1"/>
          <w:i w:val="1"/>
          <w:iCs w:val="1"/>
          <w:color w:val="auto"/>
        </w:rPr>
        <w:t>Payment of Purchase Price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9" w:lineRule="auto"/>
        <w:tabs>
          <w:tab w:leader="none" w:pos="20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Payment</w:t>
      </w:r>
      <w:r>
        <w:rPr>
          <w:rFonts w:ascii="Times New Roman" w:cs="Times New Roman" w:eastAsia="Times New Roman" w:hAnsi="Times New Roman"/>
          <w:sz w:val="18"/>
          <w:szCs w:val="18"/>
          <w:color w:val="auto"/>
        </w:rPr>
        <w:t>. Upon the terms and subject to the conditions hereinafter set forth, in consideration of the delivery by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Acquired Interests, Purchaser shall pay to Seller at the Closing an amount equal to twenty percent (20%) of the Base Purchase Price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Closing Payment shall be made by wire transfer of immediately available funds to the Equity Capital Contribution Account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in accordance with Section 7.5(a) of the Financing Agreement), or such other account or accounts as designated by Seller, in each case, in accordance with written notice delivered by Seller to Purchaser not less than two (2) Business Days prior to the Closing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After the Closing Date and no later than and subject to the occurrence of the Substantial Completion Funding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(reasonable evidence of which shall be provided by Seller to Purchaser), Purchaser shall pay to Seller a dollar amount (the “</w:t>
      </w:r>
      <w:r>
        <w:rPr>
          <w:rFonts w:ascii="Times New Roman" w:cs="Times New Roman" w:eastAsia="Times New Roman" w:hAnsi="Times New Roman"/>
          <w:sz w:val="18"/>
          <w:szCs w:val="18"/>
          <w:i w:val="1"/>
          <w:iCs w:val="1"/>
          <w:color w:val="auto"/>
        </w:rPr>
        <w:t>Final Payment</w:t>
      </w:r>
      <w:r>
        <w:rPr>
          <w:rFonts w:ascii="Times New Roman" w:cs="Times New Roman" w:eastAsia="Times New Roman" w:hAnsi="Times New Roman"/>
          <w:sz w:val="18"/>
          <w:szCs w:val="18"/>
          <w:color w:val="auto"/>
        </w:rPr>
        <w:t>” and the date such payment is made, the “</w:t>
      </w:r>
      <w:r>
        <w:rPr>
          <w:rFonts w:ascii="Times New Roman" w:cs="Times New Roman" w:eastAsia="Times New Roman" w:hAnsi="Times New Roman"/>
          <w:sz w:val="18"/>
          <w:szCs w:val="18"/>
          <w:i w:val="1"/>
          <w:iCs w:val="1"/>
          <w:color w:val="auto"/>
        </w:rPr>
        <w:t>Final Payment Date</w:t>
      </w:r>
      <w:r>
        <w:rPr>
          <w:rFonts w:ascii="Times New Roman" w:cs="Times New Roman" w:eastAsia="Times New Roman" w:hAnsi="Times New Roman"/>
          <w:sz w:val="18"/>
          <w:szCs w:val="18"/>
          <w:color w:val="auto"/>
        </w:rPr>
        <w:t xml:space="preserve">”) equal to (i) the Base Purchase Price, as adjusted pursuant to </w:t>
      </w:r>
      <w:r>
        <w:rPr>
          <w:rFonts w:ascii="Times New Roman" w:cs="Times New Roman" w:eastAsia="Times New Roman" w:hAnsi="Times New Roman"/>
          <w:sz w:val="18"/>
          <w:szCs w:val="18"/>
          <w:i w:val="1"/>
          <w:iCs w:val="1"/>
          <w:color w:val="auto"/>
        </w:rPr>
        <w:t>Section 2.04(a)</w:t>
      </w:r>
      <w:r>
        <w:rPr>
          <w:rFonts w:ascii="Times New Roman" w:cs="Times New Roman" w:eastAsia="Times New Roman" w:hAnsi="Times New Roman"/>
          <w:sz w:val="18"/>
          <w:szCs w:val="18"/>
          <w:color w:val="auto"/>
        </w:rPr>
        <w:t xml:space="preserve"> (such amount,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Closing Payment. Payment of the Final Payment shall be made by wire transfer of immediately available funds to the Equity Capital Contribution Account (for application in accordance with Section 7.5(b) of the Financing Agreement), or such other account or accounts as designated by Seller, in each case, in accordance with written notice delivered by Seller to Purchaser not less than two (2) Business Days prior to the Final Payment Date. For the avoidance of doubt, on the “Discharge Date” (as defined in the Financing Agreement), the Parties agree that any amounts remaining on deposit in the Equity Capital Contribution Account, as contemplated by Section 7.5(b) of the Financing Agreement, shall be promptly transferred to Seller (or its designee).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i w:val="1"/>
          <w:iCs w:val="1"/>
          <w:color w:val="auto"/>
        </w:rPr>
        <w:t>Closing; Final Payment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1304"/>
        <w:spacing w:after="0" w:line="261" w:lineRule="auto"/>
        <w:tabs>
          <w:tab w:leader="none" w:pos="20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closing of the transactions described in </w:t>
      </w:r>
      <w:r>
        <w:rPr>
          <w:rFonts w:ascii="Times New Roman" w:cs="Times New Roman" w:eastAsia="Times New Roman" w:hAnsi="Times New Roman"/>
          <w:sz w:val="18"/>
          <w:szCs w:val="18"/>
          <w:i w:val="1"/>
          <w:iCs w:val="1"/>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will take place remotely via the electronic exchange of documents and signatures no later than: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two (2) Business Days following the fulfillment or waiver of the conditions set forth in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xml:space="preserve"> (other than those conditions that by their nature are to be satisfied on the Closing Date);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such other time as may be determined by mutual agreement of Seller and Purchaser (the day on which the Closing takes place being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following shall occur:</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67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pay the Closing Payment by wire transfer of immediately available funds to the account or accounts as designated by Seller in writing pursuant to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deliver, or cause to be delivered, to the other Party the certificates and other deliverables pursuant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9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both Parties of the Assignment of Membership Interests and all other agreements, documents, instruments or certificates required to be delivered at or prior to the Closing pursuant to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8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Seller shall deliver to Purchaser a certificate or certificates representing the Acquired Interests, duly endorsed for transfer to Purchaser or accompanied by one or more membership interests powers duly endorsed for transfer to Purchaser.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2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Final Payment Date, Purchaser shall pay the Final Payment by wire transfer of immediately available funds to the account or accounts as designated by Seller in writing pursuant to </w:t>
      </w:r>
      <w:r>
        <w:rPr>
          <w:rFonts w:ascii="Times New Roman" w:cs="Times New Roman" w:eastAsia="Times New Roman" w:hAnsi="Times New Roman"/>
          <w:sz w:val="18"/>
          <w:szCs w:val="18"/>
          <w:i w:val="1"/>
          <w:iCs w:val="1"/>
          <w:color w:val="auto"/>
        </w:rPr>
        <w:t>Section 2.02(b)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i w:val="1"/>
          <w:iCs w:val="1"/>
          <w:color w:val="auto"/>
        </w:rPr>
        <w:t>Adjusted Purchase Price Amount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21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 of the Substantial Completion Funding Date, the Adjusted Purchase Price Amount is positive, the Base Purchase Price shall be increased by the Adjusted Purchase Price Amount. If, as of the Substantial Completion Funding Date, the Adjusted Purchase Price Amount is negative, the Base Purchase Price shall be decreased by the absolute value of the Adjusted Purchase Price Amount. Any adjustment made under this </w:t>
      </w:r>
      <w:r>
        <w:rPr>
          <w:rFonts w:ascii="Times New Roman" w:cs="Times New Roman" w:eastAsia="Times New Roman" w:hAnsi="Times New Roman"/>
          <w:sz w:val="18"/>
          <w:szCs w:val="18"/>
          <w:i w:val="1"/>
          <w:iCs w:val="1"/>
          <w:color w:val="auto"/>
        </w:rPr>
        <w:t xml:space="preserve">Section 2.04 </w:t>
      </w:r>
      <w:r>
        <w:rPr>
          <w:rFonts w:ascii="Times New Roman" w:cs="Times New Roman" w:eastAsia="Times New Roman" w:hAnsi="Times New Roman"/>
          <w:sz w:val="18"/>
          <w:szCs w:val="18"/>
          <w:color w:val="auto"/>
        </w:rPr>
        <w:t>will be treated as an adjustment to the Base Purchase Price for Tax purposes.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1304"/>
        <w:spacing w:after="0" w:line="267" w:lineRule="auto"/>
        <w:tabs>
          <w:tab w:leader="none" w:pos="21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shall equal (i) the number set forth in the tab entitled “PP Adj” of the Adjusted Purchase Price Model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any Transaction Expense of any Acquired Company as of the Closing Date (except to the extent such Transaction Expense has already been applied as a reduction against the Adjusted Purchase Price Amount pursuant to the Adjusted Purchase Price Model).</w:t>
      </w:r>
    </w:p>
    <w:p>
      <w:pPr>
        <w:spacing w:after="0" w:line="171"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2.05. </w:t>
      </w:r>
      <w:r>
        <w:rPr>
          <w:rFonts w:ascii="Times New Roman" w:cs="Times New Roman" w:eastAsia="Times New Roman" w:hAnsi="Times New Roman"/>
          <w:sz w:val="18"/>
          <w:szCs w:val="18"/>
          <w:b w:val="1"/>
          <w:bCs w:val="1"/>
          <w:i w:val="1"/>
          <w:iCs w:val="1"/>
          <w:color w:val="auto"/>
        </w:rPr>
        <w:t>Certain Proceeds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herein to the contrary, in the event that anytime following the Closing Date, Purchaser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receives any such payment separately and not from any Acquired Company) or any Acquired Company receives any payment with respect to</w:t>
      </w:r>
    </w:p>
    <w:p>
      <w:pPr>
        <w:spacing w:after="0" w:line="1" w:lineRule="exact"/>
        <w:rPr>
          <w:sz w:val="20"/>
          <w:szCs w:val="20"/>
          <w:color w:val="auto"/>
        </w:rPr>
      </w:pPr>
    </w:p>
    <w:p>
      <w:pPr>
        <w:jc w:val="both"/>
        <w:ind w:firstLine="8"/>
        <w:spacing w:after="0" w:line="253" w:lineRule="auto"/>
        <w:tabs>
          <w:tab w:leader="none" w:pos="2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released from any completion escrow account funded by or on behalf of Seller or, prior to the Closing, any Acquired Company, (b) any amounts released from adequate reserves funded by or on behalf of Seller or, prior to the Closing, any Acquired Company, established at or prior to the Closing Date in accordance with GAAP, or (c) any other amounts described in any of clauses (i) through (vi) of Section 5.06(a) of the A&amp;R LLCA, Purchaser and Seller agree that such amount shall be retained by, or immediately refunded or paid by Purchaser or the applicable Acquired Company to Seller or its designee, at the times and in the manner as specified in Section 5.06 of the A&amp;R LLCA.</w:t>
      </w:r>
    </w:p>
    <w:p>
      <w:pPr>
        <w:spacing w:after="0" w:line="183"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2.06.</w:t>
      </w:r>
      <w:r>
        <w:rPr>
          <w:sz w:val="20"/>
          <w:szCs w:val="20"/>
          <w:color w:val="auto"/>
        </w:rPr>
        <w:tab/>
      </w:r>
      <w:r>
        <w:rPr>
          <w:rFonts w:ascii="Times New Roman" w:cs="Times New Roman" w:eastAsia="Times New Roman" w:hAnsi="Times New Roman"/>
          <w:sz w:val="18"/>
          <w:szCs w:val="18"/>
          <w:b w:val="1"/>
          <w:bCs w:val="1"/>
          <w:i w:val="1"/>
          <w:iCs w:val="1"/>
          <w:color w:val="auto"/>
        </w:rPr>
        <w:t>Tax Reporting of Transaction</w:t>
      </w:r>
      <w:r>
        <w:rPr>
          <w:rFonts w:ascii="Times New Roman" w:cs="Times New Roman" w:eastAsia="Times New Roman" w:hAnsi="Times New Roman"/>
          <w:sz w:val="18"/>
          <w:szCs w:val="18"/>
          <w:color w:val="auto"/>
        </w:rPr>
        <w:t>. For federal income tax purposes, the Parties agree to report the transactions effectuated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follows:</w:t>
      </w:r>
    </w:p>
    <w:p>
      <w:pPr>
        <w:spacing w:after="0" w:line="207" w:lineRule="exact"/>
        <w:rPr>
          <w:sz w:val="20"/>
          <w:szCs w:val="20"/>
          <w:color w:val="auto"/>
        </w:rPr>
      </w:pPr>
    </w:p>
    <w:p>
      <w:pPr>
        <w:jc w:val="both"/>
        <w:ind w:firstLine="1304"/>
        <w:spacing w:after="0" w:line="266" w:lineRule="auto"/>
        <w:tabs>
          <w:tab w:leader="none" w:pos="211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Closing and the Initial Funding Date, each of the Target Company, Class B Holdco and TE HoldCo shall be treated as a disregarded entity separate from Seller (or if Seller is a disregarded entity for U.S. federal income tax purposes, the Person or Persons owning Seller that are not disregarded for such purposes) for U.S. federal income tax purposes;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8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the capital contribution to be made by the Tax Equity Investor to TE HoldCo, and the issuance to the Tax Equity Investor of the Class A membership interests in TE HoldCo, in each case, pursuant to the Tax Equity ECCA on the Initial Funding Date, and the making of the capital contribution to be made by the Class B Member to the TE HoldCo, which shall be deemed to occur prior to the Closing, in accordance with Revenue Ruling 99-5, Situation 2, each of Seller and the Tax Equity Investor is treated as contributing cash or property to TE Holdco in exchange for an interest in TE HoldCo, as a result of which TE HoldCo shall become a partnership between Seller and the Tax Equity Investor for U.S. federal income tax purposes;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Initial Funding Date, but prior to the Closing, TE HoldCo will acquire, and Project HoldCo will sell, (i) all the limited liability company membership interests of VP Pledgor Company (and, indirectly, all the limited liability company interests in VP Project Company) and</w:t>
      </w:r>
    </w:p>
    <w:p>
      <w:pPr>
        <w:ind w:firstLine="8"/>
        <w:spacing w:after="0" w:line="260" w:lineRule="auto"/>
        <w:tabs>
          <w:tab w:leader="none" w:pos="2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limited liability company membership interests of Arica Pledgor Company (and, indirectly, all the limited liability company interests in Arica Project Company); and</w:t>
      </w:r>
    </w:p>
    <w:p>
      <w:pPr>
        <w:spacing w:after="0" w:line="18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and subsequent to the making of the capital contribution to be made by the Tax Equity Investor to TE HoldCo, and the issuance to the Tax Equity Investor of the Class A membership interests in TE HoldCo, in each case, pursuant to the Tax Equity ECCA, and subsequent to the acquisition by TE HoldCo of all the interests in VP Pledgor Company and Arica Pledgor Company (and, indirectly, VP Project Company and Arica Project Company), in accordance with the principles of Revenue Ruling 99-5, Situation 1, (i) simultaneously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the same moment in time),</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AIP Member will acquire the AIP Interests from Seller, and Seller will sell the AIP Interests to AIP Member, and (B) Purchaser will acquire the Acquired Interests from Seller, and Seller will sell the Acquired Interests to Purchaser, (ii) immediately subsequent to the consummation of the transactions described in clause (i) of this </w:t>
      </w:r>
      <w:r>
        <w:rPr>
          <w:rFonts w:ascii="Times New Roman" w:cs="Times New Roman" w:eastAsia="Times New Roman" w:hAnsi="Times New Roman"/>
          <w:sz w:val="18"/>
          <w:szCs w:val="18"/>
          <w:i w:val="1"/>
          <w:iCs w:val="1"/>
          <w:color w:val="auto"/>
        </w:rPr>
        <w:t>Section 2.06(d)</w:t>
      </w:r>
      <w:r>
        <w:rPr>
          <w:rFonts w:ascii="Times New Roman" w:cs="Times New Roman" w:eastAsia="Times New Roman" w:hAnsi="Times New Roman"/>
          <w:sz w:val="18"/>
          <w:szCs w:val="18"/>
          <w:color w:val="auto"/>
        </w:rPr>
        <w:t xml:space="preserve">, AIP Member and Purchaser shall be the sole members of the Target Company, which shall be, and shall be treated as, a partnership for U.S. federal income tax purposes, and (iii) as a result of, and in connection with, the transactions described in in clause (i) of this </w:t>
      </w:r>
      <w:r>
        <w:rPr>
          <w:rFonts w:ascii="Times New Roman" w:cs="Times New Roman" w:eastAsia="Times New Roman" w:hAnsi="Times New Roman"/>
          <w:sz w:val="18"/>
          <w:szCs w:val="18"/>
          <w:i w:val="1"/>
          <w:iCs w:val="1"/>
          <w:color w:val="auto"/>
        </w:rPr>
        <w:t>Section 2.06(d)</w:t>
      </w:r>
      <w:r>
        <w:rPr>
          <w:rFonts w:ascii="Times New Roman" w:cs="Times New Roman" w:eastAsia="Times New Roman" w:hAnsi="Times New Roman"/>
          <w:sz w:val="18"/>
          <w:szCs w:val="18"/>
          <w:color w:val="auto"/>
        </w:rPr>
        <w:t>, (A) the acquisition by AIP Member of the AIP Interests will be treated as (I) an acquisition by AIP Member in a taxable transaction of an undivided interest in all of the assets and properties, tangible and intangible, of the Target Company (including its ratable portion of the Class B membership interests in TE HoldCo), which Class B membership interests will be treated as an interest in a partnership for federal income tax purposes and (II) pursuant to Section 721 of the Code, the contribution by AIP Member of those assets and properties to the Target Company in exchange for the AIP Interests and (B) the acquisition by Purchaser of the Acquired Interests will be treated as (I) an acquisition by Purchaser in a taxable transaction of an undivided interest in all of the assets and properties, tangible and intangible, of the Target Company (including its ratable portion of the Class B membership interests in TE HoldCo), which Class B membership interests will be treated as an interest in a partnership for federal income tax purposes, and (II) pursuant to Section 721 of the Code, the contribution by Purchaser of those assets and properties to the Target Company in exchange for the Acquired Interests.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b w:val="1"/>
          <w:bCs w:val="1"/>
          <w:i w:val="1"/>
          <w:iCs w:val="1"/>
          <w:color w:val="auto"/>
        </w:rPr>
        <w:t>Representations and Warranties with respect to Seller and the Acquired Companies</w:t>
      </w:r>
      <w:r>
        <w:rPr>
          <w:rFonts w:ascii="Times New Roman" w:cs="Times New Roman" w:eastAsia="Times New Roman" w:hAnsi="Times New Roman"/>
          <w:sz w:val="18"/>
          <w:szCs w:val="18"/>
          <w:color w:val="auto"/>
        </w:rPr>
        <w:t>. Seller hereby represents and warrants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as of the Execution Date 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71" w:lineRule="exact"/>
        <w:rPr>
          <w:sz w:val="20"/>
          <w:szCs w:val="20"/>
          <w:color w:val="auto"/>
        </w:rPr>
      </w:pPr>
    </w:p>
    <w:p>
      <w:pPr>
        <w:jc w:val="both"/>
        <w:ind w:firstLine="1304"/>
        <w:spacing w:after="0" w:line="268" w:lineRule="auto"/>
        <w:tabs>
          <w:tab w:leader="none" w:pos="20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color w:val="auto"/>
        </w:rPr>
        <w:t>. Seller is a limited liability company duly formed, validly existing and in good standing under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spacing w:after="0" w:line="170" w:lineRule="exact"/>
        <w:rPr>
          <w:rFonts w:ascii="Times New Roman" w:cs="Times New Roman" w:eastAsia="Times New Roman" w:hAnsi="Times New Roman"/>
          <w:sz w:val="18"/>
          <w:szCs w:val="18"/>
          <w:color w:val="auto"/>
        </w:rPr>
      </w:pPr>
    </w:p>
    <w:p>
      <w:pPr>
        <w:jc w:val="both"/>
        <w:ind w:firstLine="1304"/>
        <w:spacing w:after="0" w:line="257" w:lineRule="auto"/>
        <w:tabs>
          <w:tab w:leader="none" w:pos="2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All actions or proceedings necessary to authorize the execution and delivery by Seller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2"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(the “</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and except as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individually or in the aggregate, reasonably be expected to be materially adverse to (i) the ability of Seller to consummate the transactions contemplated by this Agreement or to perform its obligations hereunder, or (ii)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The execution, delivery and performance of this Agreement and the other Transaction Documents by Seller does</w:t>
      </w:r>
    </w:p>
    <w:p>
      <w:pPr>
        <w:spacing w:after="0" w:line="31"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 result in a breach of, or constitute a default under, the Constitutive Documents of Seller or any Acquired Company or any material Contract to which Seller, or any Company Contract to which any Acquired Company,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Acquired Interests, any equity interests of any Acquired Company or any assets or properties of any Acquired Company;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Seller or any Acquired Company or any rights or benefits are to be received by any Person, under any Contract to which Seller or any Acquired Company is a party;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violate in any material respect any applicable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1304"/>
        <w:spacing w:after="0" w:line="268" w:lineRule="auto"/>
        <w:tabs>
          <w:tab w:leader="none" w:pos="2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Approval is required on the part of Seller or any Acquired Company in connection with the execution, delivery and performance of this Agreement or the consummation of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for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respect of Environmental Laws that are governed exclusively by </w:t>
      </w:r>
      <w:r>
        <w:rPr>
          <w:rFonts w:ascii="Times New Roman" w:cs="Times New Roman" w:eastAsia="Times New Roman" w:hAnsi="Times New Roman"/>
          <w:sz w:val="18"/>
          <w:szCs w:val="18"/>
          <w:i w:val="1"/>
          <w:iCs w:val="1"/>
          <w:color w:val="auto"/>
        </w:rPr>
        <w:t>Section 3.01(p)(ii)</w:t>
      </w:r>
      <w:r>
        <w:rPr>
          <w:rFonts w:ascii="Times New Roman" w:cs="Times New Roman" w:eastAsia="Times New Roman" w:hAnsi="Times New Roman"/>
          <w:sz w:val="18"/>
          <w:szCs w:val="18"/>
          <w:color w:val="auto"/>
        </w:rPr>
        <w:t>, there are no Actions or Proceedings pending or, to the Knowledge of Seller, threatened as of the Execution Date against Seller or any Acquired Company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affect Seller or any Acquired Company, or any of their assets or properties (including the Projects), except, solely in respect of Seller, which would not reasonably be expected to have a material adverse effect on Seller’s ability to perform under this Agreement;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spacing w:after="0" w:line="18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Seller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Company for a finder’s fee, brokerage commission or similar payment directly or indirectly in connection with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22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Neither Seller nor any Acquired Company is in material violation of any material Law or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to the Acquired Companies or the Projects, or by which any of the Acquired Interests are bound or subject. Notwithstanding the foregoing, compliance with Environmental Laws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None of Seller nor any Acquired Company has received notice from any Governmental Authority of any material violation of any material Law.</w:t>
      </w:r>
    </w:p>
    <w:p>
      <w:pPr>
        <w:spacing w:after="0" w:line="176"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and the Acquired Companies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Times New Roman" w:cs="Times New Roman" w:eastAsia="Times New Roman" w:hAnsi="Times New Roman"/>
          <w:sz w:val="18"/>
          <w:szCs w:val="18"/>
          <w:i w:val="1"/>
          <w:iCs w:val="1"/>
          <w:color w:val="auto"/>
        </w:rPr>
        <w:t xml:space="preserve">Schedule 3.01(i) </w:t>
      </w:r>
      <w:r>
        <w:rPr>
          <w:rFonts w:ascii="Times New Roman" w:cs="Times New Roman" w:eastAsia="Times New Roman" w:hAnsi="Times New Roman"/>
          <w:sz w:val="18"/>
          <w:szCs w:val="18"/>
          <w:color w:val="auto"/>
        </w:rPr>
        <w:t>of the Disclosure Schedules, which are the only jurisdictions in which the ownership, use or leasing of such Acquired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77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issued and outstanding Acquired Interests are owned directly, beneficially and of record by Seller free and clear of all Liens, other than Permitted Equity Encumbrances and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and for the ownership by the Tax Equity Investor following the consummation of the transactions contemplated by the Tax Equity ECCA, all of the issued and outstanding equity interests of the Acquired Companies (other than the Target Company) are owned directly or indirectly, beneficially and of record by the Target Company, free and clear of all Liens, other than Permitted Equity Encumbrances and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All of the equity interests of the Acquired Companies have been duly authorized, validly issued and are fully paid and non-assessable and have been issued in compliance with federal and state securities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460" w:right="20" w:firstLine="1292"/>
        <w:spacing w:after="0" w:line="282" w:lineRule="auto"/>
        <w:tabs>
          <w:tab w:leader="none" w:pos="172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each director and officer (or similar positions) of each Acquired Company, and the position with such Acquired Company held by each, are listed in </w:t>
      </w:r>
      <w:r>
        <w:rPr>
          <w:rFonts w:ascii="Times New Roman" w:cs="Times New Roman" w:eastAsia="Times New Roman" w:hAnsi="Times New Roman"/>
          <w:sz w:val="18"/>
          <w:szCs w:val="18"/>
          <w:i w:val="1"/>
          <w:iCs w:val="1"/>
          <w:color w:val="auto"/>
        </w:rPr>
        <w:t>Schedule 3.01(i)(iii)</w:t>
      </w:r>
      <w:r>
        <w:rPr>
          <w:rFonts w:ascii="Times New Roman" w:cs="Times New Roman" w:eastAsia="Times New Roman" w:hAnsi="Times New Roman"/>
          <w:sz w:val="18"/>
          <w:szCs w:val="18"/>
          <w:color w:val="auto"/>
        </w:rPr>
        <w:t xml:space="preserve"> of the Disclosure Schedules.</w:t>
      </w:r>
    </w:p>
    <w:p>
      <w:pPr>
        <w:spacing w:after="0" w:line="161"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95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prior to the execution of this Agreement, delivered to Purchaser true and complete copies of the Constitutive Documents of each Acquired Company as in effect on the Execution Date.</w:t>
      </w:r>
    </w:p>
    <w:p>
      <w:pPr>
        <w:spacing w:after="0" w:line="159"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7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Part 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set forth in the Tax Equity Agreements, the Financing Documents or the Constitutive Documents of any Acquired Company,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as provided pursuant to this Agreement or the AIP Purchase Agreement,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as set forth in Part II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 none of the Acquired Interests or the membership interests of the Acquired Companies are subject to any voting trust or voting trust agreement, voting agreement, pledge agreement, buy-sell agreement, right of first refusal, preemptive right or proxy.</w:t>
      </w:r>
    </w:p>
    <w:p>
      <w:pPr>
        <w:spacing w:after="0" w:line="182" w:lineRule="exact"/>
        <w:rPr>
          <w:rFonts w:ascii="Times New Roman" w:cs="Times New Roman" w:eastAsia="Times New Roman" w:hAnsi="Times New Roman"/>
          <w:sz w:val="18"/>
          <w:szCs w:val="18"/>
          <w:color w:val="auto"/>
        </w:rPr>
      </w:pPr>
    </w:p>
    <w:p>
      <w:pPr>
        <w:ind w:left="-460" w:firstLine="1292"/>
        <w:spacing w:after="0" w:line="284" w:lineRule="auto"/>
        <w:tabs>
          <w:tab w:leader="none" w:pos="16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3.01(i)(vi)</w:t>
      </w:r>
      <w:r>
        <w:rPr>
          <w:rFonts w:ascii="Times New Roman" w:cs="Times New Roman" w:eastAsia="Times New Roman" w:hAnsi="Times New Roman"/>
          <w:sz w:val="18"/>
          <w:szCs w:val="18"/>
          <w:color w:val="auto"/>
        </w:rPr>
        <w:t xml:space="preserve"> of the Disclosure Schedules, no Acquired Company has any subsidiaries, equity interests, interests in joint ventures or general or limited partnerships or other investment or portfolio assets of a similar nature.</w:t>
      </w:r>
    </w:p>
    <w:p>
      <w:pPr>
        <w:spacing w:after="0" w:line="158"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79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3.01(i)(vii)</w:t>
      </w:r>
      <w:r>
        <w:rPr>
          <w:rFonts w:ascii="Times New Roman" w:cs="Times New Roman" w:eastAsia="Times New Roman" w:hAnsi="Times New Roman"/>
          <w:sz w:val="18"/>
          <w:szCs w:val="18"/>
          <w:color w:val="auto"/>
        </w:rPr>
        <w:t xml:space="preserve"> of the Disclosure Schedules, no Acquired Company conducts: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business other than the development, ownership, operation and management of either or both Projects;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operations other than those incidental to the ownership, operation, and management of either or both Projects.</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8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of the each Acquired Company are: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in all material respects, accurate and complete and have been maintained in accordance with good business practices;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state in reasonable detail and accurately and fairly reflect the activities and transactions of such Acquired Company.</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8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execution and delivery by Seller of the Assignment of Membership Interests;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spacing w:after="0" w:line="177" w:lineRule="exact"/>
        <w:rPr>
          <w:rFonts w:ascii="Times New Roman" w:cs="Times New Roman" w:eastAsia="Times New Roman" w:hAnsi="Times New Roman"/>
          <w:sz w:val="18"/>
          <w:szCs w:val="18"/>
          <w:color w:val="auto"/>
        </w:rPr>
      </w:pPr>
    </w:p>
    <w:p>
      <w:pPr>
        <w:ind w:left="900" w:hanging="71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6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Company has any material liability or obligation that would be required to be disclosed on a balance sheet prepared in accordance with GAAP, except for the liabilities and obligations of the Acquired Companies: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incurred in the ordinary course of business consistent with past practice;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that constitute amounts payable under the Company Contracts expressly provided for under existing Company Contracts that have not arisen from a breach thereof or thereunder;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under the Financing Documents;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i w:val="1"/>
          <w:iCs w:val="1"/>
          <w:color w:val="auto"/>
        </w:rPr>
        <w:t xml:space="preserve">Schedule 3.01(j) </w:t>
      </w:r>
      <w:r>
        <w:rPr>
          <w:rFonts w:ascii="Times New Roman" w:cs="Times New Roman" w:eastAsia="Times New Roman" w:hAnsi="Times New Roman"/>
          <w:sz w:val="18"/>
          <w:szCs w:val="18"/>
          <w:color w:val="auto"/>
        </w:rPr>
        <w:t>of the Disclosure Schedules.</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7" w:name="page28"/>
    <w:bookmarkEnd w:id="27"/>
    <w:p>
      <w:pPr>
        <w:ind w:left="660" w:right="20" w:firstLine="1292"/>
        <w:spacing w:after="0" w:line="282" w:lineRule="auto"/>
        <w:tabs>
          <w:tab w:leader="none" w:pos="281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Indebtedness of the Company and each Acquired Company, other than Indebtedness under the Financing Documents, is listed on </w:t>
      </w:r>
      <w:r>
        <w:rPr>
          <w:rFonts w:ascii="Times New Roman" w:cs="Times New Roman" w:eastAsia="Times New Roman" w:hAnsi="Times New Roman"/>
          <w:sz w:val="18"/>
          <w:szCs w:val="18"/>
          <w:i w:val="1"/>
          <w:iCs w:val="1"/>
          <w:color w:val="auto"/>
        </w:rPr>
        <w:t>Schedule 3.01(j)</w:t>
      </w:r>
      <w:r>
        <w:rPr>
          <w:rFonts w:ascii="Times New Roman" w:cs="Times New Roman" w:eastAsia="Times New Roman" w:hAnsi="Times New Roman"/>
          <w:sz w:val="18"/>
          <w:szCs w:val="18"/>
          <w:color w:val="auto"/>
        </w:rPr>
        <w:t xml:space="preserve"> of the Disclosure Schedules.</w:t>
      </w:r>
    </w:p>
    <w:p>
      <w:pPr>
        <w:spacing w:after="0" w:line="157"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date of formation of each Acquired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as applicable:</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7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spacing w:after="0" w:line="185" w:lineRule="exact"/>
        <w:rPr>
          <w:sz w:val="20"/>
          <w:szCs w:val="20"/>
          <w:color w:val="auto"/>
        </w:rPr>
      </w:pPr>
    </w:p>
    <w:p>
      <w:pPr>
        <w:jc w:val="both"/>
        <w:ind w:left="660" w:firstLine="1292"/>
        <w:spacing w:after="0" w:line="253" w:lineRule="auto"/>
        <w:tabs>
          <w:tab w:leader="none" w:pos="27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Actions or Proceedings currently pending or threatened in writing against the Acquired Companies or related to their business operations by any Governmental Authority for the assessment or collection of Taxes;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claims for assessment or collection of Taxes that have been asserted in writing against Seller or any Affiliate of Seller with respect to the Acquired Companies (or the income attributable thereto); or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191" w:lineRule="exact"/>
        <w:rPr>
          <w:rFonts w:ascii="Times New Roman" w:cs="Times New Roman" w:eastAsia="Times New Roman" w:hAnsi="Times New Roman"/>
          <w:sz w:val="18"/>
          <w:szCs w:val="18"/>
          <w:color w:val="auto"/>
        </w:rPr>
      </w:pPr>
    </w:p>
    <w:p>
      <w:pPr>
        <w:ind w:left="660" w:firstLine="1292"/>
        <w:spacing w:after="0" w:line="282" w:lineRule="auto"/>
        <w:tabs>
          <w:tab w:leader="none" w:pos="29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and its owner for U.S. federal income tax purposes is not, a “foreign person” within the meaning of Code Sections 1445(b)(2) and 1446(f).</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Material Contracts and the Tax Equity Documents).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firstLine="1292"/>
        <w:spacing w:after="0" w:line="282" w:lineRule="auto"/>
        <w:tabs>
          <w:tab w:leader="none" w:pos="27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Company has never entered into or been a party to any “listed transaction,” as defined in Section 1.6011-4(b)(2) of the Treasury Regulations.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30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property owned by any Acquired Company is “tax exempt use property” within the meaning of Section 168(h) of the Code or “tax exempt bond financed property” within the meaning of Code Section 168(g)(5) (for the avoidance of doubt, other than as a result of Purchaser’s treatment as an indirect owner of such property).</w:t>
      </w:r>
    </w:p>
    <w:p>
      <w:pPr>
        <w:spacing w:after="0" w:line="17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No Acquired Company has, nor has ever had, any employees or any Liability, actual or contingent, with respect to</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Plan.</w:t>
      </w:r>
    </w:p>
    <w:p>
      <w:pPr>
        <w:spacing w:after="0" w:line="202"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Contracts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66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3.01(m)(i) </w:t>
      </w:r>
      <w:r>
        <w:rPr>
          <w:rFonts w:ascii="Times New Roman" w:cs="Times New Roman" w:eastAsia="Times New Roman" w:hAnsi="Times New Roman"/>
          <w:sz w:val="18"/>
          <w:szCs w:val="18"/>
          <w:color w:val="auto"/>
        </w:rPr>
        <w:t>of the Disclosure Schedules contains a true, correct and complete list of all material Contracts,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modifications and supplements thereto, to which any Acquired Company is a party or by which any Acquired Company or any of its assets or properties are bound (collectively, the “</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including the following:</w:t>
      </w:r>
    </w:p>
    <w:p>
      <w:pPr>
        <w:spacing w:after="0" w:line="175" w:lineRule="exact"/>
        <w:rPr>
          <w:rFonts w:ascii="Times New Roman" w:cs="Times New Roman" w:eastAsia="Times New Roman" w:hAnsi="Times New Roman"/>
          <w:sz w:val="18"/>
          <w:szCs w:val="18"/>
          <w:color w:val="auto"/>
        </w:rPr>
      </w:pPr>
    </w:p>
    <w:p>
      <w:pPr>
        <w:ind w:left="3840" w:hanging="1240"/>
        <w:spacing w:after="0"/>
        <w:tabs>
          <w:tab w:leader="none" w:pos="38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purchase, exchange or sale of electric power, capacity, ancillary services 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Attributes;</w:t>
      </w:r>
    </w:p>
    <w:p>
      <w:pPr>
        <w:spacing w:after="0" w:line="206"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transmission of electric power;</w:t>
      </w:r>
    </w:p>
    <w:p>
      <w:pPr>
        <w:spacing w:after="0" w:line="225"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interconnection Contracts for electricity;</w:t>
      </w:r>
    </w:p>
    <w:p>
      <w:pPr>
        <w:spacing w:after="0" w:line="225" w:lineRule="exact"/>
        <w:rPr>
          <w:rFonts w:ascii="Times New Roman" w:cs="Times New Roman" w:eastAsia="Times New Roman" w:hAnsi="Times New Roman"/>
          <w:sz w:val="18"/>
          <w:szCs w:val="18"/>
          <w:color w:val="auto"/>
        </w:rPr>
      </w:pPr>
    </w:p>
    <w:p>
      <w:pPr>
        <w:ind w:left="3480" w:hanging="880"/>
        <w:spacing w:after="0"/>
        <w:tabs>
          <w:tab w:leader="none" w:pos="34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Seller, AIP Member or any of their respective Affiliates (other than any other Acquired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w:t>
      </w:r>
    </w:p>
    <w:p>
      <w:pPr>
        <w:spacing w:after="0" w:line="206" w:lineRule="exact"/>
        <w:rPr>
          <w:rFonts w:ascii="Times New Roman" w:cs="Times New Roman" w:eastAsia="Times New Roman" w:hAnsi="Times New Roman"/>
          <w:sz w:val="18"/>
          <w:szCs w:val="18"/>
          <w:color w:val="auto"/>
        </w:rPr>
      </w:pPr>
    </w:p>
    <w:p>
      <w:pPr>
        <w:ind w:left="3360" w:hanging="760"/>
        <w:spacing w:after="0"/>
        <w:tabs>
          <w:tab w:leader="none" w:pos="336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Acquired Interests or membership interests of any Acquired Company.</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8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has provided Purchaser with, or access to, true, correct and complete copies of all the Company Contracts required to be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the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bankruptcy, insolvency, reorganization, moratorium and other similar laws of general application affecting the rights and remedies of creditors;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general principles of equity (regardless of whether such enforcement is considered in a proceeding in equity or at law). Each Company Contract is in full force and effect.</w:t>
      </w:r>
    </w:p>
    <w:p>
      <w:pPr>
        <w:spacing w:after="0" w:line="186"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31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i w:val="1"/>
          <w:iCs w:val="1"/>
          <w:color w:val="auto"/>
        </w:rPr>
        <w:t>Schedule 3.01(m)(iii)</w:t>
      </w:r>
      <w:r>
        <w:rPr>
          <w:rFonts w:ascii="Times New Roman" w:cs="Times New Roman" w:eastAsia="Times New Roman" w:hAnsi="Times New Roman"/>
          <w:sz w:val="18"/>
          <w:szCs w:val="18"/>
          <w:color w:val="auto"/>
        </w:rPr>
        <w:t xml:space="preserve"> of the Disclosure Schedules, no Acquired Company or, to the Knowledge of Seller, the other parties thereto, is in material violation or material breach of or material default under any Company Contract to which it is a party.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left="660" w:firstLine="1292"/>
        <w:spacing w:after="0" w:line="261" w:lineRule="auto"/>
        <w:tabs>
          <w:tab w:leader="none" w:pos="276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8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3.01(n)(i) </w:t>
      </w:r>
      <w:r>
        <w:rPr>
          <w:rFonts w:ascii="Times New Roman" w:cs="Times New Roman" w:eastAsia="Times New Roman" w:hAnsi="Times New Roman"/>
          <w:sz w:val="18"/>
          <w:szCs w:val="18"/>
          <w:color w:val="auto"/>
        </w:rPr>
        <w:t>of the Disclosure Schedules lists all Real Property Rights of any Acquired Company, the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in which any Acquired Company has Real Property Rights, and appurtenances thereto (collectively, the “</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Each Project Company has a good and valid leasehold, easement, access, license, or right of way interests, as applicable, in the Land required or associated with the applicable Project, free and clear of all Liens, except: (A) for Permitted Exceptions; (B) as disclosed in the applicable Title Proforma delivered by Seller to Purchaser on or before the Closing Date; and (C) as disclosed in the applicable Title Policy.</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7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3.01(n)(ii)</w:t>
      </w:r>
      <w:r>
        <w:rPr>
          <w:rFonts w:ascii="Times New Roman" w:cs="Times New Roman" w:eastAsia="Times New Roman" w:hAnsi="Times New Roman"/>
          <w:sz w:val="18"/>
          <w:szCs w:val="18"/>
          <w:color w:val="auto"/>
        </w:rPr>
        <w:t xml:space="preserve"> of the Disclosure Schedules, no Acquired Company has entered into any assignment, lease, license, sublease, easement or other agreement granting to any Person any right to the possession, use, occupancy or enjoyment of the Land.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8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Acquired Company has caused or suffered to exist any easement, right-of-way, covenant, condition, restriction, reservation, license, agreement or other similar matter that would materially interfere with the operation of the Projects or the business of the Acquired Companies in respect of the Real Property Rights, except as set forth on Part 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in the applicable Title Proforma or in the applicable Title Policy.</w:t>
      </w:r>
    </w:p>
    <w:p>
      <w:pPr>
        <w:spacing w:after="0" w:line="177" w:lineRule="exact"/>
        <w:rPr>
          <w:rFonts w:ascii="Times New Roman" w:cs="Times New Roman" w:eastAsia="Times New Roman" w:hAnsi="Times New Roman"/>
          <w:sz w:val="18"/>
          <w:szCs w:val="18"/>
          <w:color w:val="auto"/>
        </w:rPr>
      </w:pPr>
    </w:p>
    <w:p>
      <w:pPr>
        <w:ind w:left="660" w:firstLine="1292"/>
        <w:spacing w:after="0" w:line="284" w:lineRule="auto"/>
        <w:tabs>
          <w:tab w:leader="none" w:pos="27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Part II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the Real Property Rights are all the real property rights necessary for the Acquired Companies to develop, construct, own and operate the Projects.</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78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or any Acquired Company has received any written notice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condemnation, eminent domain or similar governmental proceeding materially affecting, individually or in the aggregate, the Projects;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zoning, ordinance, building, fire, health or safety code violations materially affecting the Projects.</w:t>
      </w:r>
    </w:p>
    <w:p>
      <w:pPr>
        <w:spacing w:after="0" w:line="171" w:lineRule="exact"/>
        <w:rPr>
          <w:rFonts w:ascii="Times New Roman" w:cs="Times New Roman" w:eastAsia="Times New Roman" w:hAnsi="Times New Roman"/>
          <w:sz w:val="18"/>
          <w:szCs w:val="18"/>
          <w:color w:val="auto"/>
        </w:rPr>
      </w:pPr>
    </w:p>
    <w:p>
      <w:pPr>
        <w:jc w:val="both"/>
        <w:ind w:firstLine="1304"/>
        <w:spacing w:after="0" w:line="257" w:lineRule="auto"/>
        <w:tabs>
          <w:tab w:leader="none" w:pos="22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lists all Real Property Rights insured by the Title Policies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Insured Property Rights</w:t>
      </w:r>
      <w:r>
        <w:rPr>
          <w:rFonts w:ascii="Times New Roman" w:cs="Times New Roman" w:eastAsia="Times New Roman" w:hAnsi="Times New Roman"/>
          <w:sz w:val="18"/>
          <w:szCs w:val="18"/>
          <w:color w:val="auto"/>
        </w:rPr>
        <w:t>”). As of the Execution Date, Seller has provided to Purchaser a true and correct copy of the Execution Date Title Policies covering the Insured Property Rights. As of the Closing Date, Seller has provided to Purchaser copies of the pro forma Closing Date Endorsements, and true and correct copy of the Title Pro Formas covering the Insured Property Rights. The Insured Property Rights are subject only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Permitted Exceptions;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matters disclosed in the Title Policies;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matters consented to in writing by Purchaser (which consent shall not be unreasonably withheld, conditioned or delayed).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940" w:hanging="756"/>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68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w:t>
      </w:r>
      <w:r>
        <w:rPr>
          <w:rFonts w:ascii="Times New Roman" w:cs="Times New Roman" w:eastAsia="Times New Roman" w:hAnsi="Times New Roman"/>
          <w:sz w:val="18"/>
          <w:szCs w:val="18"/>
          <w:color w:val="auto"/>
        </w:rPr>
        <w:t xml:space="preserve">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Projects or the Land.</w:t>
      </w:r>
    </w:p>
    <w:p>
      <w:pPr>
        <w:spacing w:after="0" w:line="181"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75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or Proceedings pending or, to the Knowledge of Seller, threatened as of the Execution Date against Seller (solely in respect of the Projects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Projects or the Acquired Companies (other than those violations that have been resolved or remedied).</w:t>
      </w:r>
    </w:p>
    <w:p>
      <w:pPr>
        <w:spacing w:after="0" w:line="181"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20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3.01(p)(iii) </w:t>
      </w:r>
      <w:r>
        <w:rPr>
          <w:rFonts w:ascii="Times New Roman" w:cs="Times New Roman" w:eastAsia="Times New Roman" w:hAnsi="Times New Roman"/>
          <w:sz w:val="18"/>
          <w:szCs w:val="18"/>
          <w:color w:val="auto"/>
        </w:rPr>
        <w:t>of the Disclosure Schedules sets forth all material Permits required pursuant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Times New Roman" w:cs="Times New Roman" w:eastAsia="Times New Roman" w:hAnsi="Times New Roman"/>
          <w:sz w:val="18"/>
          <w:szCs w:val="18"/>
          <w:i w:val="1"/>
          <w:iCs w:val="1"/>
          <w:color w:val="auto"/>
        </w:rPr>
        <w:t>Schedule 3.01(p)(iii)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an Acquired Company.</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57" w:lineRule="auto"/>
        <w:tabs>
          <w:tab w:leader="none" w:pos="16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3.01(p)(iv)</w:t>
      </w:r>
      <w:r>
        <w:rPr>
          <w:rFonts w:ascii="Times New Roman" w:cs="Times New Roman" w:eastAsia="Times New Roman" w:hAnsi="Times New Roman"/>
          <w:sz w:val="18"/>
          <w:szCs w:val="18"/>
          <w:color w:val="auto"/>
        </w:rPr>
        <w:t xml:space="preserve"> of the Disclosure Schedules, to the Knowledge of Seller, there has been no Release of Hazardous Substances at or from the Projects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any Project.</w:t>
      </w:r>
    </w:p>
    <w:p>
      <w:pPr>
        <w:spacing w:after="0" w:line="184"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65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Purchaser all material environmental reports, assessments and documents that are in the possession of Seller or the Acquired Companies and that relate to actual or potential material Liabilities under Environmental Laws with respect to the Projects or the Land.</w:t>
      </w:r>
    </w:p>
    <w:p>
      <w:pPr>
        <w:spacing w:after="0" w:line="171"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60" w:firstLine="1292"/>
        <w:spacing w:after="0" w:line="257" w:lineRule="auto"/>
        <w:tabs>
          <w:tab w:leader="none" w:pos="170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3.01(q)(i) </w:t>
      </w:r>
      <w:r>
        <w:rPr>
          <w:rFonts w:ascii="Times New Roman" w:cs="Times New Roman" w:eastAsia="Times New Roman" w:hAnsi="Times New Roman"/>
          <w:sz w:val="18"/>
          <w:szCs w:val="18"/>
          <w:color w:val="auto"/>
        </w:rPr>
        <w:t>of the Disclosure Schedules sets forth all material Permits required pursuant to any Law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or held by or for the benefit of Seller or the Acquired Companies in connection with the development, construction, ownership, maintenance, or operation of the Projects, except for those required by the Environmental Laws, which are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or those of a type that are ministerial in nature and routinely granted on application and for which none of Seller or the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Companies has reason to believe will not be obtained in due course. Except as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an Acquired Company.</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7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3.01(q)(ii)</w:t>
      </w:r>
      <w:r>
        <w:rPr>
          <w:rFonts w:ascii="Times New Roman" w:cs="Times New Roman" w:eastAsia="Times New Roman" w:hAnsi="Times New Roman"/>
          <w:sz w:val="18"/>
          <w:szCs w:val="18"/>
          <w:color w:val="auto"/>
        </w:rPr>
        <w:t xml:space="preserve"> of the Disclosure Schedules, and except as relates to compliance with Environmental Laws which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is not in full force and effect;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is subject to any Action or Proceeding or unsatisfied condition, in each case of clause (A) and (B) which has not been remedied or resolved.</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31" w:name="page32"/>
    <w:bookmarkEnd w:id="31"/>
    <w:p>
      <w:pPr>
        <w:ind w:left="660" w:right="20" w:firstLine="1292"/>
        <w:spacing w:after="0" w:line="282" w:lineRule="auto"/>
        <w:tabs>
          <w:tab w:leader="none" w:pos="27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proceedings pending or, to the Knowledge of Seller, threatened which would reasonably be expected to result in the modification, revocation or termination of any material Permit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w:t>
      </w:r>
    </w:p>
    <w:p>
      <w:pPr>
        <w:spacing w:after="0" w:line="157"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Affiliate Transactions</w:t>
      </w:r>
      <w:r>
        <w:rPr>
          <w:rFonts w:ascii="Times New Roman" w:cs="Times New Roman" w:eastAsia="Times New Roman" w:hAnsi="Times New Roman"/>
          <w:sz w:val="18"/>
          <w:szCs w:val="18"/>
          <w:color w:val="auto"/>
        </w:rPr>
        <w:t>. Except for: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transactions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Contracts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spacing w:after="0" w:line="176"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6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Seller, except as set forth in </w:t>
      </w:r>
      <w:r>
        <w:rPr>
          <w:rFonts w:ascii="Times New Roman" w:cs="Times New Roman" w:eastAsia="Times New Roman" w:hAnsi="Times New Roman"/>
          <w:sz w:val="18"/>
          <w:szCs w:val="18"/>
          <w:i w:val="1"/>
          <w:iCs w:val="1"/>
          <w:color w:val="auto"/>
        </w:rPr>
        <w:t>Schedule 3.01(s)(i)</w:t>
      </w:r>
      <w:r>
        <w:rPr>
          <w:rFonts w:ascii="Times New Roman" w:cs="Times New Roman" w:eastAsia="Times New Roman" w:hAnsi="Times New Roman"/>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spacing w:after="0" w:line="185" w:lineRule="exact"/>
        <w:rPr>
          <w:sz w:val="20"/>
          <w:szCs w:val="20"/>
          <w:color w:val="auto"/>
        </w:rPr>
      </w:pPr>
    </w:p>
    <w:p>
      <w:pPr>
        <w:jc w:val="both"/>
        <w:ind w:left="660" w:firstLine="1292"/>
        <w:spacing w:after="0" w:line="261" w:lineRule="auto"/>
        <w:tabs>
          <w:tab w:leader="none" w:pos="277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1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Acquired Companies that would reasonably be expected to have a Material Adverse Effect.</w:t>
      </w:r>
    </w:p>
    <w:p>
      <w:pPr>
        <w:spacing w:after="0" w:line="17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contains a true, correct and complete list of all insurance policies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there are no pending insurance claims. Seller expects insurance coverage for property damage and business interruption for the Projects as described in the property and casualty policies set forth on </w:t>
      </w:r>
      <w:r>
        <w:rPr>
          <w:rFonts w:ascii="Times New Roman" w:cs="Times New Roman" w:eastAsia="Times New Roman" w:hAnsi="Times New Roman"/>
          <w:sz w:val="18"/>
          <w:szCs w:val="18"/>
          <w:i w:val="1"/>
          <w:i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3.01(t) </w:t>
      </w:r>
      <w:r>
        <w:rPr>
          <w:rFonts w:ascii="Times New Roman" w:cs="Times New Roman" w:eastAsia="Times New Roman" w:hAnsi="Times New Roman"/>
          <w:sz w:val="18"/>
          <w:szCs w:val="18"/>
          <w:color w:val="auto"/>
        </w:rPr>
        <w:t>of the Disclosure Schedules to continue in all material respects after the Closing Date. Furthermore, at the expiration of such policies, Seller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aforementioned policies to be renewed with terms substantially identical to those described in the policies above.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304"/>
        <w:spacing w:after="0" w:line="257" w:lineRule="auto"/>
        <w:tabs>
          <w:tab w:leader="none" w:pos="20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 Sheets</w:t>
      </w:r>
      <w:r>
        <w:rPr>
          <w:rFonts w:ascii="Times New Roman" w:cs="Times New Roman" w:eastAsia="Times New Roman" w:hAnsi="Times New Roman"/>
          <w:sz w:val="18"/>
          <w:szCs w:val="18"/>
          <w:color w:val="auto"/>
        </w:rPr>
        <w:t>. Seller has previously delivered to Purchaser true, correct and complete copies of the unaudited balance sheets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Balance Sheets</w:t>
      </w:r>
      <w:r>
        <w:rPr>
          <w:rFonts w:ascii="Times New Roman" w:cs="Times New Roman" w:eastAsia="Times New Roman" w:hAnsi="Times New Roman"/>
          <w:sz w:val="18"/>
          <w:szCs w:val="18"/>
          <w:color w:val="auto"/>
        </w:rPr>
        <w:t>”) of the Acquired Companies, on a stand-alone basis, for the quarter ended September 30, 2022 (the “</w:t>
      </w:r>
      <w:r>
        <w:rPr>
          <w:rFonts w:ascii="Times New Roman" w:cs="Times New Roman" w:eastAsia="Times New Roman" w:hAnsi="Times New Roman"/>
          <w:sz w:val="18"/>
          <w:szCs w:val="18"/>
          <w:i w:val="1"/>
          <w:iCs w:val="1"/>
          <w:color w:val="auto"/>
        </w:rPr>
        <w:t>Balance Sheets Date</w:t>
      </w:r>
      <w:r>
        <w:rPr>
          <w:rFonts w:ascii="Times New Roman" w:cs="Times New Roman" w:eastAsia="Times New Roman" w:hAnsi="Times New Roman"/>
          <w:sz w:val="18"/>
          <w:szCs w:val="18"/>
          <w:color w:val="auto"/>
        </w:rPr>
        <w:t>”). The Balance Sheets: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fairly present, in all material respects, the consolidated or stand-alone financial position and results, as applicable, of operations of the Acquired Companies covered thereby, as of the Balance Sheets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have been prepared from the books and records of the Acquired Companies covered thereby.</w:t>
      </w:r>
    </w:p>
    <w:p>
      <w:pPr>
        <w:spacing w:after="0" w:line="182" w:lineRule="exact"/>
        <w:rPr>
          <w:rFonts w:ascii="Times New Roman" w:cs="Times New Roman" w:eastAsia="Times New Roman" w:hAnsi="Times New Roman"/>
          <w:sz w:val="18"/>
          <w:szCs w:val="18"/>
          <w:color w:val="auto"/>
        </w:rPr>
      </w:pPr>
    </w:p>
    <w:p>
      <w:pPr>
        <w:ind w:firstLine="1304"/>
        <w:spacing w:after="0" w:line="286" w:lineRule="auto"/>
        <w:tabs>
          <w:tab w:leader="none" w:pos="21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Changes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between the Balance Sheets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indicated in subparagraph (vii) below) and the Execution Date, there has not been:</w:t>
      </w:r>
    </w:p>
    <w:p>
      <w:pPr>
        <w:spacing w:after="0" w:line="158" w:lineRule="exact"/>
        <w:rPr>
          <w:rFonts w:ascii="Times New Roman" w:cs="Times New Roman" w:eastAsia="Times New Roman" w:hAnsi="Times New Roman"/>
          <w:sz w:val="18"/>
          <w:szCs w:val="18"/>
          <w:color w:val="auto"/>
        </w:rPr>
      </w:pPr>
    </w:p>
    <w:p>
      <w:pPr>
        <w:ind w:left="660" w:firstLine="1292"/>
        <w:spacing w:after="0" w:line="282" w:lineRule="auto"/>
        <w:tabs>
          <w:tab w:leader="none" w:pos="282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redemption or other acquisition of any equity interests of any Acquired Company or any interests convertible into equity interests of any Acquired Company or any other change in the capitalization or ownership of any Acquired Companies;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8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any Acquired Company into or with any other Person, consolidation of any Acquired Company with any other Person or acquisition by any Acquired Company of all or substantially all of the business or assets of any Person;</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any Acquired Company or any commitment entered into by any member of any Acquired Company with respect to or in contemplation of any liquidation, dissolution, recapitalization, reorganization or other winding up of its business or operations;</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303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policies or practices (including any change in depreciation or amortization policies) of any Acquired Company, except as required under GAAP;</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1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(as lessor), transfer or other disposal of (including any transfers to any of its Affiliates), or mortgage or pledge, or imposition of any Lien on, any of assets or properties of any Acquired Company, or interests therein, other than: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inventory and personal property sold or otherwise disposed of in the ordinary course of business;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Permitted Liens;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1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660" w:firstLine="1292"/>
        <w:spacing w:after="0" w:line="282" w:lineRule="auto"/>
        <w:tabs>
          <w:tab w:leader="none" w:pos="31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circumstance, condition or change relating or with respect to any Acquired Company that would reasonably be expected to have, individually or in the aggregate, a Material Adverse Effect.</w:t>
      </w:r>
    </w:p>
    <w:p>
      <w:pPr>
        <w:spacing w:after="0" w:line="157"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 Accounts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the names and locations of banks, trust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financial institutions at which any Acquired Company maintains bank accounts or safe deposit boxes, in each case listing the type of account, the account number, and the names of all Persons authorized to draw thereupon or who have access thereto.</w:t>
      </w:r>
    </w:p>
    <w:p>
      <w:pPr>
        <w:spacing w:after="0" w:line="170"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Status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7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that a Project Company first delivers test energy, such Project Company shall be an “Exempt Wholesale Generator.” As an Exempt Wholesale Generator, such Project Company is exempt from PUHCA to the extent provided for in 18 C.F.R. § 366.7(e), except as otherwise may be applicable under Section 1265 of PUHCA.</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a Project Company first delivers test energy, each Acquired Company that directly or indirectly owns any equity interests in such Project Company will become a “holding company,” as defined in PUHCA, solely with respect to its direct or indirect, as applicable, ownership of such Project Company and, therefore, each such Acquired Company is entitled to the exemptions and waivers set forth in at 18 C.F.R. § 366.3(a). Such Project Company is not a “holding company.”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8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Purchaser, solely by virtue of its indirect ownership of each Project Company, will not be subject to, or will not lose the exemption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regulation under PUHCA as an “electric utility company,” a “public utility company,” or a “holding company,” or an “affiliate” or “subsidiary company” as defined under PUHCA, except to the extent such regulation under PUHCA applies to a “holding company” solely with respect to an Exempt Wholesale Generator;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as a “public utility” under the FPA;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regulation by the CPUC as a “public utility” or an “electrical corporation.”</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8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Company is subject to regulation as a “public utility” as that term is defined under FPA Section 201(e). As of the date that a Project Company first delivers test energy, such Project Company shall have received MBR Authorization. No Acquired Company is subject to regulation by the CPUC as a “public utility” or, other than such Project Company, an “electrical corporation.”</w:t>
      </w:r>
    </w:p>
    <w:p>
      <w:pPr>
        <w:spacing w:after="0" w:line="17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Support Obligations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7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 I.A and Part I.B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660" w:right="20" w:firstLine="1292"/>
        <w:spacing w:after="0" w:line="284" w:lineRule="auto"/>
        <w:tabs>
          <w:tab w:leader="none" w:pos="281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 II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sets forth a true, complete and correct list of all the Support Obligations for which Purchaser shall not be required to replace or effect the release of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304"/>
        <w:spacing w:after="0" w:line="268" w:lineRule="auto"/>
        <w:tabs>
          <w:tab w:leader="none" w:pos="20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Seller has made available to Purchaser true, complete and correct copies of all Reports delivered pursuant to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ECCA as of the Execution Date. As of the Closing Date, Seller has made available to Purchaser true, correct and complete copies of all Reports that were not made available to Purchaser on the Execution Date.</w:t>
      </w:r>
    </w:p>
    <w:p>
      <w:pPr>
        <w:spacing w:after="0" w:line="171" w:lineRule="exact"/>
        <w:rPr>
          <w:sz w:val="20"/>
          <w:szCs w:val="20"/>
          <w:color w:val="auto"/>
        </w:rPr>
      </w:pPr>
    </w:p>
    <w:p>
      <w:pPr>
        <w:jc w:val="both"/>
        <w:ind w:firstLine="1304"/>
        <w:spacing w:after="0" w:line="262" w:lineRule="auto"/>
        <w:tabs>
          <w:tab w:leader="none" w:pos="20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Seller has prepared the financial projections for the Acquired Companies, which are reflected in the Base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(the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in good faith. To the Knowledge of Seller, the Projections: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are based on reasonable assumptions;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reflect all material payments to be made by the Acquired Companies to Seller or its Affiliates; and (iii) as to operation and maintenance expenses, are consistent in all material respects with Prudent Industry Practices.</w:t>
      </w:r>
    </w:p>
    <w:p>
      <w:pPr>
        <w:spacing w:after="0" w:line="176" w:lineRule="exact"/>
        <w:rPr>
          <w:rFonts w:ascii="Times New Roman" w:cs="Times New Roman" w:eastAsia="Times New Roman" w:hAnsi="Times New Roman"/>
          <w:sz w:val="18"/>
          <w:szCs w:val="18"/>
          <w:color w:val="auto"/>
        </w:rPr>
      </w:pPr>
    </w:p>
    <w:p>
      <w:pPr>
        <w:ind w:right="20" w:firstLine="1304"/>
        <w:spacing w:after="0" w:line="286" w:lineRule="auto"/>
        <w:tabs>
          <w:tab w:leader="none" w:pos="20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There are no bankruptcy, reorganization or receivership proceedings pending against, being contemplated by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Knowledge of Seller, threatened in writing against, Seller or any Acquired Company.</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EXCEPT FOR THE WARRANTIES SET FORTH HEREIN, THE ACQUIRED INTERESTS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BEING SOLD HEREUNDER ON AN “AS IS,” “WHERE IS” BASIS. THE WARRANTIES SET FORTH HEREIN ARE EXCLUSIVE AND ARE IN LIEU OF ALL OTHER WARRANTIES, WHETHER STATUTORY, WRITTEN OR ORAL, EXPRESS OR IMPLIED; SELLER PROVIDES NO OTHER WARRANTIES WITH RESPECT TO THE ACQUIRED INTERESTS, THE PROJECTS, THE ACQUIRED COMPANIES, OR THE ASSETS OF THE ACQUIRED COMPANIES, INCLUDING IMPLIED WARRANTIES OF MERCHANTABILITY AND FITNESS FOR A PARTICULAR PURPOSE, AND WARRANTIES ARISING FROM COURSE OF DEALING OR USAGE OF TRADE, ALL OF WHICH ARE EXPRESSLY DISCLAIMED. EXCEPT AS EXPRESSLY SET FORTH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SELLER MAKES NO REPRESENTATION OR WARRANTY TO PURCHASER WITH RESPECT TO ANY FINANCIAL PROJECTIONS, FORECASTS OR FORWARD LOOKING STATEMENTS OF ANY KIND OR NATURE WHATSOEVER RELATING TO THE PROJECTS, THE ACQUIRED COMPANIES, THE ASSETS OF THE ACQUIRED COMPANIES OR THE ACQUIRED INTERESTS.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3.02. </w:t>
      </w:r>
      <w:r>
        <w:rPr>
          <w:rFonts w:ascii="Times New Roman" w:cs="Times New Roman" w:eastAsia="Times New Roman" w:hAnsi="Times New Roman"/>
          <w:sz w:val="18"/>
          <w:szCs w:val="18"/>
          <w:b w:val="1"/>
          <w:bCs w:val="1"/>
          <w:i w:val="1"/>
          <w:iCs w:val="1"/>
          <w:color w:val="auto"/>
        </w:rPr>
        <w:t>Representations and Warranties with Respect to Purchaser</w:t>
      </w:r>
      <w:r>
        <w:rPr>
          <w:rFonts w:ascii="Times New Roman" w:cs="Times New Roman" w:eastAsia="Times New Roman" w:hAnsi="Times New Roman"/>
          <w:sz w:val="18"/>
          <w:szCs w:val="18"/>
          <w:color w:val="auto"/>
        </w:rPr>
        <w:t>. Purchaser hereby represents and warrants to Seller, as of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3.02</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71" w:lineRule="exact"/>
        <w:rPr>
          <w:sz w:val="20"/>
          <w:szCs w:val="20"/>
          <w:color w:val="auto"/>
        </w:rPr>
      </w:pPr>
    </w:p>
    <w:p>
      <w:pPr>
        <w:jc w:val="both"/>
        <w:ind w:firstLine="1304"/>
        <w:spacing w:after="0" w:line="262" w:lineRule="auto"/>
        <w:tabs>
          <w:tab w:leader="none" w:pos="21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a limited liability company duly formed,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actions or proceedings necessary to authorize the execution and delivery by Purchaser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by Purchaser of its obligations hereunder, have been duly and validly taken. This Agreement has been duly and validly executed and delivered by Purchaser and constitutes the legal, valid and binding obligations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1304"/>
        <w:spacing w:after="0" w:line="262" w:lineRule="auto"/>
        <w:tabs>
          <w:tab w:leader="none" w:pos="20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as would not, individually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by Purchaser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 breach of, or constitute a default under, Purchaser’s Constitutive Documents, or any material Contract to which Purchaser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assets or properties of Purchaser;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 and Filings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Permit is required on the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There are no Actions or Proceedings pending or, to the knowledge of Purchaser, threatened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acquiring the Acquired Interests for its own account and not with a view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an “accredited investor” as such term is defined in Rule 501(a) under the Securities Act of 1933;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sufficient knowledge and experience in financial and business matters so as to be able to evaluate the merits and risk of an investment in the Acquired Interests and is able financially to bear the risks thereof;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84" w:lineRule="exact"/>
        <w:rPr>
          <w:rFonts w:ascii="Times New Roman" w:cs="Times New Roman" w:eastAsia="Times New Roman" w:hAnsi="Times New Roman"/>
          <w:sz w:val="18"/>
          <w:szCs w:val="18"/>
          <w:color w:val="auto"/>
        </w:rPr>
      </w:pPr>
    </w:p>
    <w:p>
      <w:pPr>
        <w:ind w:firstLine="1304"/>
        <w:spacing w:after="0" w:line="286" w:lineRule="auto"/>
        <w:tabs>
          <w:tab w:leader="none" w:pos="20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Purchaser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finder’s fee, brokerage commission or similar payment directly or indirectly in connection with the transactions contemplated by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or which have already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no Governmental Approval is required on the part of Purchaser in connection with the execution, delivery and performance of this Agreement or the consummation of the transactions contemplated hereby.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right="20" w:firstLine="1304"/>
        <w:spacing w:after="0" w:line="286" w:lineRule="auto"/>
        <w:tabs>
          <w:tab w:leader="none" w:pos="20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Purchaser is not in material violation of any Law except where any such material violation would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aggregate reasonably be expected to have a material adverse effect on Purchaser’s ability to satisfy its obligations under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9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Purchaser, or its Representatives, have had the opportunity to conduct all such due diligence investigations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Acquired Interests, the Acquired Companies and the Projects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IN MAKING ITS DECISION TO ACQUIRE THE ACQUIRED INTERESTS AND HAS NOT RELIED ON ANY OTHER STATEMENTS OR ADVICE FROM SELLER OR ITS REPRESENTATIVES.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b w:val="1"/>
          <w:bCs w:val="1"/>
          <w:i w:val="1"/>
          <w:iCs w:val="1"/>
          <w:color w:val="auto"/>
        </w:rPr>
        <w:t>Closing Date Conditions Precedent of the Parties</w:t>
      </w:r>
      <w:r>
        <w:rPr>
          <w:rFonts w:ascii="Times New Roman" w:cs="Times New Roman" w:eastAsia="Times New Roman" w:hAnsi="Times New Roman"/>
          <w:sz w:val="18"/>
          <w:szCs w:val="18"/>
          <w:color w:val="auto"/>
        </w:rPr>
        <w:t>. The obligations of each Party to consummate the Closing are subject to the fulfillment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waiver by the applicable Party), at or before the Closing, by the applicable Party of each of the following conditions:</w:t>
      </w:r>
    </w:p>
    <w:p>
      <w:pPr>
        <w:spacing w:after="0" w:line="155" w:lineRule="exact"/>
        <w:rPr>
          <w:sz w:val="20"/>
          <w:szCs w:val="20"/>
          <w:color w:val="auto"/>
        </w:rPr>
      </w:pPr>
    </w:p>
    <w:p>
      <w:pPr>
        <w:ind w:left="2040" w:hanging="736"/>
        <w:spacing w:after="0"/>
        <w:tabs>
          <w:tab w:leader="none" w:pos="2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Equity Financing</w:t>
      </w:r>
      <w:r>
        <w:rPr>
          <w:rFonts w:ascii="Times New Roman" w:cs="Times New Roman" w:eastAsia="Times New Roman" w:hAnsi="Times New Roman"/>
          <w:sz w:val="18"/>
          <w:szCs w:val="18"/>
          <w:color w:val="auto"/>
        </w:rPr>
        <w:t>. The Initial Funding Date with regards to the Projects under the Tax Equity ECCA shall have occurred.</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Approvals/Consents</w:t>
      </w:r>
      <w:r>
        <w:rPr>
          <w:rFonts w:ascii="Times New Roman" w:cs="Times New Roman" w:eastAsia="Times New Roman" w:hAnsi="Times New Roman"/>
          <w:sz w:val="18"/>
          <w:szCs w:val="18"/>
          <w:color w:val="auto"/>
        </w:rPr>
        <w:t>. All consents of Purchaser specified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all approvals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specified in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shall have been obtained by Purchaser; and all Seller Approvals and Seller Consents shall have been obtained by Seller and shall in each case be in full force and effect.</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2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No Order shall have been entered which restrains, enjoins or otherwise prohibits or makes illegal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20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There will not exist on the Closing Date any condition or fact that, individually or in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or would reasonably be expected to result in a Material Adverse Effect.</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0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AIP Purchase Agreement</w:t>
      </w:r>
      <w:r>
        <w:rPr>
          <w:rFonts w:ascii="Times New Roman" w:cs="Times New Roman" w:eastAsia="Times New Roman" w:hAnsi="Times New Roman"/>
          <w:sz w:val="18"/>
          <w:szCs w:val="18"/>
          <w:color w:val="auto"/>
        </w:rPr>
        <w:t>. AIP Member shall, simultaneously with or prior to the Closing, have closed the acquisition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AIP Interests pursuant to the AIP Purchase Agreement.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4.02. </w:t>
      </w:r>
      <w:r>
        <w:rPr>
          <w:rFonts w:ascii="Times New Roman" w:cs="Times New Roman" w:eastAsia="Times New Roman" w:hAnsi="Times New Roman"/>
          <w:sz w:val="18"/>
          <w:szCs w:val="18"/>
          <w:b w:val="1"/>
          <w:bCs w:val="1"/>
          <w:i w:val="1"/>
          <w:iCs w:val="1"/>
          <w:color w:val="auto"/>
        </w:rPr>
        <w:t>Closing Date Conditions Precedent of the Purchaser</w:t>
      </w:r>
      <w:r>
        <w:rPr>
          <w:rFonts w:ascii="Times New Roman" w:cs="Times New Roman" w:eastAsia="Times New Roman" w:hAnsi="Times New Roman"/>
          <w:sz w:val="18"/>
          <w:szCs w:val="18"/>
          <w:color w:val="auto"/>
        </w:rPr>
        <w:t>. The obligations of the Purchaser to consummate the Closing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fulfillment (or waiver by the Purchaser ), at or before the Closing, by the applicable Party of each of the following conditions:</w:t>
      </w:r>
    </w:p>
    <w:p>
      <w:pPr>
        <w:spacing w:after="0" w:line="155" w:lineRule="exact"/>
        <w:rPr>
          <w:sz w:val="20"/>
          <w:szCs w:val="20"/>
          <w:color w:val="auto"/>
        </w:rPr>
      </w:pPr>
    </w:p>
    <w:p>
      <w:pPr>
        <w:jc w:val="both"/>
        <w:ind w:firstLine="1304"/>
        <w:spacing w:after="0" w:line="259" w:lineRule="auto"/>
        <w:tabs>
          <w:tab w:leader="none" w:pos="21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Representations and Warranties</w:t>
      </w:r>
      <w:r>
        <w:rPr>
          <w:rFonts w:ascii="Times New Roman" w:cs="Times New Roman" w:eastAsia="Times New Roman" w:hAnsi="Times New Roman"/>
          <w:sz w:val="18"/>
          <w:szCs w:val="18"/>
          <w:color w:val="auto"/>
        </w:rPr>
        <w:t>. The representations and warranties made by Seller in this Agreement shall be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correct in all material respects (except that (i) each Fundamental Representation made by Seller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firstLine="1304"/>
        <w:spacing w:after="0" w:line="286" w:lineRule="auto"/>
        <w:tabs>
          <w:tab w:leader="none" w:pos="20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Covenants</w:t>
      </w:r>
      <w:r>
        <w:rPr>
          <w:rFonts w:ascii="Times New Roman" w:cs="Times New Roman" w:eastAsia="Times New Roman" w:hAnsi="Times New Roman"/>
          <w:sz w:val="18"/>
          <w:szCs w:val="18"/>
          <w:color w:val="auto"/>
        </w:rPr>
        <w:t>. The covenants and obligations required by this Agreement to be performed or complied with by Seller 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Certificate</w:t>
      </w:r>
      <w:r>
        <w:rPr>
          <w:rFonts w:ascii="Times New Roman" w:cs="Times New Roman" w:eastAsia="Times New Roman" w:hAnsi="Times New Roman"/>
          <w:sz w:val="18"/>
          <w:szCs w:val="18"/>
          <w:color w:val="auto"/>
        </w:rPr>
        <w:t>. Seller shall have delivered to Purchaser a valid, properly executed IRS Form W-9 (or, if Seller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entity treated as disregarded as separate from its owner for federal income tax purposes, Seller’s regarded owner for federal income tax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or the Company’s sole right if Seller fails to provide such IRS Form W-9 shall be to make appropriate withholdings under Sections 1445 and 1446 of the Code.</w:t>
      </w:r>
    </w:p>
    <w:p>
      <w:pPr>
        <w:spacing w:after="0" w:line="176" w:lineRule="exact"/>
        <w:rPr>
          <w:rFonts w:ascii="Times New Roman" w:cs="Times New Roman" w:eastAsia="Times New Roman" w:hAnsi="Times New Roman"/>
          <w:sz w:val="18"/>
          <w:szCs w:val="18"/>
          <w:color w:val="auto"/>
        </w:rPr>
      </w:pPr>
    </w:p>
    <w:p>
      <w:pPr>
        <w:jc w:val="both"/>
        <w:ind w:firstLine="1304"/>
        <w:spacing w:after="0" w:line="262" w:lineRule="auto"/>
        <w:tabs>
          <w:tab w:leader="none" w:pos="22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Seller shall have delivered to Purchaser: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 certificate, dated as of the Closing Date and executed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authorized officer of Seller substantially in the form and to the effect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Seller substantially in the form and to the effect of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 commitment by the Title Company to issue the Closing Date Endorsements;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copies of all recorded documents referred to, or listed as exceptions to title in, the Closing Date Endorsements.</w:t>
      </w:r>
    </w:p>
    <w:p>
      <w:pPr>
        <w:spacing w:after="0" w:line="176"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A&amp;R LLCA</w:t>
      </w:r>
      <w:r>
        <w:rPr>
          <w:rFonts w:ascii="Times New Roman" w:cs="Times New Roman" w:eastAsia="Times New Roman" w:hAnsi="Times New Roman"/>
          <w:sz w:val="18"/>
          <w:szCs w:val="18"/>
          <w:color w:val="auto"/>
        </w:rPr>
        <w:t>. Simultaneously with or prior to the Closing, AIP Member and Clearway Renew LLC shall have executed and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the A&amp;R LLCA.</w:t>
      </w:r>
    </w:p>
    <w:p>
      <w:pPr>
        <w:spacing w:after="0" w:line="202" w:lineRule="exact"/>
        <w:rPr>
          <w:rFonts w:ascii="Times New Roman" w:cs="Times New Roman" w:eastAsia="Times New Roman" w:hAnsi="Times New Roman"/>
          <w:sz w:val="18"/>
          <w:szCs w:val="18"/>
          <w:color w:val="auto"/>
        </w:rPr>
      </w:pPr>
    </w:p>
    <w:p>
      <w:pPr>
        <w:ind w:firstLine="1304"/>
        <w:spacing w:after="0" w:line="286" w:lineRule="auto"/>
        <w:tabs>
          <w:tab w:leader="none" w:pos="20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Equity Cross Guaranties</w:t>
      </w:r>
      <w:r>
        <w:rPr>
          <w:rFonts w:ascii="Times New Roman" w:cs="Times New Roman" w:eastAsia="Times New Roman" w:hAnsi="Times New Roman"/>
          <w:sz w:val="18"/>
          <w:szCs w:val="18"/>
          <w:color w:val="auto"/>
        </w:rPr>
        <w:t>. Simultaneously with or prior to the Closing, (i) AIP Parent shall have executed, and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Purchaser, the AIP Tax Equity Cross Guaranty, and (ii) Seller Parent shall have executed, and delivered to Purchaser, the Seller Tax Equity Guaranty.</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4.03. </w:t>
      </w:r>
      <w:r>
        <w:rPr>
          <w:rFonts w:ascii="Times New Roman" w:cs="Times New Roman" w:eastAsia="Times New Roman" w:hAnsi="Times New Roman"/>
          <w:sz w:val="18"/>
          <w:szCs w:val="18"/>
          <w:b w:val="1"/>
          <w:bCs w:val="1"/>
          <w:i w:val="1"/>
          <w:iCs w:val="1"/>
          <w:color w:val="auto"/>
        </w:rPr>
        <w:t>Closing Date Conditions Precedent of the Seller</w:t>
      </w:r>
      <w:r>
        <w:rPr>
          <w:rFonts w:ascii="Times New Roman" w:cs="Times New Roman" w:eastAsia="Times New Roman" w:hAnsi="Times New Roman"/>
          <w:sz w:val="18"/>
          <w:szCs w:val="18"/>
          <w:color w:val="auto"/>
        </w:rPr>
        <w:t>. The obligations of the Seller to consummate the Closing are subject to the fulfillment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waiver by the Seller), at or before the Closing, by the applicable Party of each of the following conditions:</w:t>
      </w:r>
    </w:p>
    <w:p>
      <w:pPr>
        <w:spacing w:after="0" w:line="155" w:lineRule="exact"/>
        <w:rPr>
          <w:sz w:val="20"/>
          <w:szCs w:val="20"/>
          <w:color w:val="auto"/>
        </w:rPr>
      </w:pPr>
    </w:p>
    <w:p>
      <w:pPr>
        <w:jc w:val="both"/>
        <w:ind w:firstLine="1304"/>
        <w:spacing w:after="0" w:line="263" w:lineRule="auto"/>
        <w:tabs>
          <w:tab w:leader="none" w:pos="208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Representations and Warranties</w:t>
      </w:r>
      <w:r>
        <w:rPr>
          <w:rFonts w:ascii="Times New Roman" w:cs="Times New Roman" w:eastAsia="Times New Roman" w:hAnsi="Times New Roman"/>
          <w:sz w:val="18"/>
          <w:szCs w:val="18"/>
          <w:color w:val="auto"/>
        </w:rPr>
        <w:t>. The representations and warranties made by Purchaser in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true and correct in all material respects (except (i) each Fundamental Representation made by Purchaser shall be true and correct in all respects and</w:t>
      </w:r>
    </w:p>
    <w:p>
      <w:pPr>
        <w:jc w:val="both"/>
        <w:ind w:firstLine="8"/>
        <w:spacing w:after="0" w:line="255" w:lineRule="auto"/>
        <w:tabs>
          <w:tab w:leader="none" w:pos="2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81" w:lineRule="exact"/>
        <w:rPr>
          <w:rFonts w:ascii="Times New Roman" w:cs="Times New Roman" w:eastAsia="Times New Roman" w:hAnsi="Times New Roman"/>
          <w:sz w:val="18"/>
          <w:szCs w:val="18"/>
          <w:color w:val="auto"/>
        </w:rPr>
      </w:pPr>
    </w:p>
    <w:p>
      <w:pPr>
        <w:ind w:right="20" w:firstLine="1304"/>
        <w:spacing w:after="0" w:line="286" w:lineRule="auto"/>
        <w:tabs>
          <w:tab w:leader="none" w:pos="227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Covenants</w:t>
      </w:r>
      <w:r>
        <w:rPr>
          <w:rFonts w:ascii="Times New Roman" w:cs="Times New Roman" w:eastAsia="Times New Roman" w:hAnsi="Times New Roman"/>
          <w:sz w:val="18"/>
          <w:szCs w:val="18"/>
          <w:color w:val="auto"/>
        </w:rPr>
        <w:t>. The covenants and obligations required by this Agreement to be performed or complied with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at or 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6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Purchaser shall have delivered to Seller: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 certificate, dated as of the Closing Date and executed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authorized officer of Purchaser substantially in the form and to the effect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Purchaser substantially in the form and to the effect of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A&amp;R LLCA</w:t>
      </w:r>
      <w:r>
        <w:rPr>
          <w:rFonts w:ascii="Times New Roman" w:cs="Times New Roman" w:eastAsia="Times New Roman" w:hAnsi="Times New Roman"/>
          <w:sz w:val="18"/>
          <w:szCs w:val="18"/>
          <w:color w:val="auto"/>
        </w:rPr>
        <w:t>. Simultaneously with or prior to the Closing, Purchaser shall have executed and delivered the A&amp;R LLCA.</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21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Tax Equity Guaranty</w:t>
      </w:r>
      <w:r>
        <w:rPr>
          <w:rFonts w:ascii="Times New Roman" w:cs="Times New Roman" w:eastAsia="Times New Roman" w:hAnsi="Times New Roman"/>
          <w:sz w:val="18"/>
          <w:szCs w:val="18"/>
          <w:color w:val="auto"/>
        </w:rPr>
        <w:t>. Simultaneously with or prior to the Closing, Purchaser Parent shall have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Tax Equity Investor, the Purchaser Tax Equity Guaranty.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5.01. </w:t>
      </w:r>
      <w:r>
        <w:rPr>
          <w:rFonts w:ascii="Times New Roman" w:cs="Times New Roman" w:eastAsia="Times New Roman" w:hAnsi="Times New Roman"/>
          <w:sz w:val="18"/>
          <w:szCs w:val="18"/>
          <w:b w:val="1"/>
          <w:bCs w:val="1"/>
          <w:i w:val="1"/>
          <w:iCs w:val="1"/>
          <w:color w:val="auto"/>
        </w:rPr>
        <w:t>Regulatory and Other Permits</w:t>
      </w:r>
      <w:r>
        <w:rPr>
          <w:rFonts w:ascii="Times New Roman" w:cs="Times New Roman" w:eastAsia="Times New Roman" w:hAnsi="Times New Roman"/>
          <w:sz w:val="18"/>
          <w:szCs w:val="18"/>
          <w:color w:val="auto"/>
        </w:rPr>
        <w:t>. Following the Execution Date, Seller shall, or shall cause the Acquired Companies to, as promptly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each Project, the applicable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any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 w:cs="Times New Roman" w:eastAsia="Times New Roman" w:hAnsi="Times New Roman"/>
          <w:sz w:val="18"/>
          <w:szCs w:val="18"/>
          <w:i w:val="1"/>
          <w:iCs w:val="1"/>
          <w:color w:val="auto"/>
        </w:rPr>
        <w:t>Section 5.01</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5.02. </w:t>
      </w:r>
      <w:r>
        <w:rPr>
          <w:rFonts w:ascii="Times New Roman" w:cs="Times New Roman" w:eastAsia="Times New Roman" w:hAnsi="Times New Roman"/>
          <w:sz w:val="18"/>
          <w:szCs w:val="18"/>
          <w:b w:val="1"/>
          <w:bCs w:val="1"/>
          <w:i w:val="1"/>
          <w:iCs w:val="1"/>
          <w:color w:val="auto"/>
        </w:rPr>
        <w:t>Access to Information</w:t>
      </w:r>
      <w:r>
        <w:rPr>
          <w:rFonts w:ascii="Times New Roman" w:cs="Times New Roman" w:eastAsia="Times New Roman" w:hAnsi="Times New Roman"/>
          <w:sz w:val="18"/>
          <w:szCs w:val="18"/>
          <w:color w:val="auto"/>
        </w:rPr>
        <w:t>. From the Execution Date and continuing until the earlier of the termination of this Agreement or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Seller shall at all reasonable times and upon reasonable prior notice during regular business hours make the properties, assets, books and records pertaining to the Acquired Companies, the Acquired Interests or the Projects reasonably available for examination, inspection and review by Purchaser and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Purchaser and its Representatives shall be subject to customary confidentiality undertakings with respect to any such information or access made available;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for any site visit or access, Purchaser and its Representatives will agree to comply with all safety and other policies and procedures disclosed to it while conducting such visit or access;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Purchaser’s and its Representatives’ inspections and examinations shall not unreasonably disrupt the normal operations of Seller, the Acquired Companies or the Projects and shall be at Purchaser’s sole cost and expense;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neither Purchaser, nor any of its Affiliates or Representatives, shall conduct any intrusive environmental site assessment or activities with respect to the Acquired Companies or their properties without the prior written consent of Seller.</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5.03. </w:t>
      </w:r>
      <w:r>
        <w:rPr>
          <w:rFonts w:ascii="Times New Roman" w:cs="Times New Roman" w:eastAsia="Times New Roman" w:hAnsi="Times New Roman"/>
          <w:sz w:val="18"/>
          <w:szCs w:val="18"/>
          <w:b w:val="1"/>
          <w:bCs w:val="1"/>
          <w:i w:val="1"/>
          <w:iCs w:val="1"/>
          <w:color w:val="auto"/>
        </w:rPr>
        <w:t>Notification of Certain Matters</w:t>
      </w:r>
      <w:r>
        <w:rPr>
          <w:rFonts w:ascii="Times New Roman" w:cs="Times New Roman" w:eastAsia="Times New Roman" w:hAnsi="Times New Roman"/>
          <w:sz w:val="18"/>
          <w:szCs w:val="18"/>
          <w:color w:val="auto"/>
        </w:rPr>
        <w:t>. Seller shall have the right to deliver to Purchaser, not later than ten (10) Business Days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a supplement to the Disclosure Schedules (the “</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(other than those conditions related to the bring-down of representations and warranties) to be satisfied, then Purchaser may terminate this Agreement by delivering notice of termination to Seller within ten</w:t>
      </w:r>
    </w:p>
    <w:p>
      <w:pPr>
        <w:spacing w:after="0" w:line="3"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its receipt of the Closing Date Schedule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Purchaser does not deliver such notice within such ten</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3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but shall not be deemed to have irrevocably waived its right to indemnification under </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6.01</w:t>
      </w:r>
      <w:r>
        <w:rPr>
          <w:rFonts w:ascii="Times New Roman" w:cs="Times New Roman" w:eastAsia="Times New Roman" w:hAnsi="Times New Roman"/>
          <w:sz w:val="18"/>
          <w:szCs w:val="18"/>
          <w:color w:val="auto"/>
        </w:rPr>
        <w:t xml:space="preserve"> with respect to such item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updates shall not give rise to any right of indemnification to the extent such updates are solely to reflect the execution of any Tax Equity Document pursuant to and in accordance with </w:t>
      </w:r>
      <w:r>
        <w:rPr>
          <w:rFonts w:ascii="Times New Roman" w:cs="Times New Roman" w:eastAsia="Times New Roman" w:hAnsi="Times New Roman"/>
          <w:sz w:val="18"/>
          <w:szCs w:val="18"/>
          <w:i w:val="1"/>
          <w:iCs w:val="1"/>
          <w:color w:val="auto"/>
        </w:rPr>
        <w:t>Section 5.12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5.04.</w:t>
      </w:r>
      <w:r>
        <w:rPr>
          <w:sz w:val="20"/>
          <w:szCs w:val="20"/>
          <w:color w:val="auto"/>
        </w:rPr>
        <w:tab/>
      </w:r>
      <w:r>
        <w:rPr>
          <w:rFonts w:ascii="Times New Roman" w:cs="Times New Roman" w:eastAsia="Times New Roman" w:hAnsi="Times New Roman"/>
          <w:sz w:val="17"/>
          <w:szCs w:val="17"/>
          <w:b w:val="1"/>
          <w:bCs w:val="1"/>
          <w:i w:val="1"/>
          <w:iCs w:val="1"/>
          <w:color w:val="auto"/>
        </w:rPr>
        <w:t>Conduct of Business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1304"/>
        <w:spacing w:after="0" w:line="258" w:lineRule="auto"/>
        <w:tabs>
          <w:tab w:leader="none" w:pos="20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and subject to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Seller shall cause each Acquired Company to operate and carry on its business in the ordinary course and substantially as operated prior to the Execution Date. Without limiting the foregoing, and subject to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Seller shall cause each Acquired Company to perform in all material respects the Company Contracts to which such Acquired Companies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i w:val="1"/>
          <w:iCs w:val="1"/>
          <w:color w:val="auto"/>
        </w:rPr>
        <w:t>Section 5.04(a)</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i w:val="1"/>
          <w:iCs w:val="1"/>
          <w:color w:val="auto"/>
        </w:rPr>
        <w:t>Schedule 5.04(b)</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as would not be reasonably likely to cause a Major Project Change (with respect to clauses (F), (G), (I), and (N) of this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only);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with the express written approval of Purchaser, such approval not to be unreasonably withheld or delayed, during the Interim Period, Seller shall cause each Acquired Company not to:</w:t>
      </w:r>
    </w:p>
    <w:p>
      <w:pPr>
        <w:spacing w:after="0" w:line="181" w:lineRule="exact"/>
        <w:rPr>
          <w:rFonts w:ascii="Times New Roman" w:cs="Times New Roman" w:eastAsia="Times New Roman" w:hAnsi="Times New Roman"/>
          <w:sz w:val="18"/>
          <w:szCs w:val="18"/>
          <w:color w:val="auto"/>
        </w:rPr>
      </w:pPr>
    </w:p>
    <w:p>
      <w:pPr>
        <w:ind w:left="1300" w:firstLine="1300"/>
        <w:spacing w:after="0" w:line="282" w:lineRule="auto"/>
        <w:tabs>
          <w:tab w:leader="none" w:pos="33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of the Acquired Interests to any Person or create or suffer to exist any Lien upon the Acquired Interests other than the Permitted Equity Encumbrances;</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56" w:lineRule="auto"/>
        <w:tabs>
          <w:tab w:leader="none" w:pos="333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grant, deliver or sell or authorize or propose to issue, grant, deliver or sell, or purchase or propose to purchase, any of its equity securities (other than the sale and delivery of the Acquired Interests pursuant to this Agreement, the issuance of membership interests in TE HoldCo pursuant to the Tax Equity ECCA, and the sale of interests in each Pledgor Company pursuant to the TE HoldCo MIPA),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the Tax Equity ECCA and the TE HoldCo MIPA);</w:t>
      </w:r>
    </w:p>
    <w:p>
      <w:pPr>
        <w:spacing w:after="0" w:line="187" w:lineRule="exact"/>
        <w:rPr>
          <w:rFonts w:ascii="Times New Roman" w:cs="Times New Roman" w:eastAsia="Times New Roman" w:hAnsi="Times New Roman"/>
          <w:sz w:val="18"/>
          <w:szCs w:val="18"/>
          <w:color w:val="auto"/>
        </w:rPr>
      </w:pPr>
    </w:p>
    <w:p>
      <w:pPr>
        <w:jc w:val="both"/>
        <w:ind w:left="1300" w:firstLine="1300"/>
        <w:spacing w:after="0" w:line="258" w:lineRule="auto"/>
        <w:tabs>
          <w:tab w:leader="none" w:pos="32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the Financing Agreement (in accordance therewith) or any other amounts described in any of clauses (i) through (vi) of Section 5.06(a) of the A&amp;R LLCA;</w:t>
      </w:r>
    </w:p>
    <w:p>
      <w:pPr>
        <w:spacing w:after="0" w:line="183" w:lineRule="exact"/>
        <w:rPr>
          <w:rFonts w:ascii="Times New Roman" w:cs="Times New Roman" w:eastAsia="Times New Roman" w:hAnsi="Times New Roman"/>
          <w:sz w:val="18"/>
          <w:szCs w:val="18"/>
          <w:color w:val="auto"/>
        </w:rPr>
      </w:pPr>
    </w:p>
    <w:p>
      <w:pPr>
        <w:ind w:left="1300" w:firstLine="1300"/>
        <w:spacing w:after="0" w:line="282" w:lineRule="auto"/>
        <w:tabs>
          <w:tab w:leader="none" w:pos="352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enter into any commitment with respect to or in contemplation of any liquidation, dissolution, recapitalization, reorganization or other winding up of business or operations;</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347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or establish any new accounts with financial institutions, other than as required by the Financing Documents or the Tax Equity Agreements;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2220" w:hanging="740"/>
        <w:spacing w:after="0"/>
        <w:tabs>
          <w:tab w:leader="none" w:pos="22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its business or operations, except such changes as may be required to comply</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applicable Law;</w:t>
      </w:r>
    </w:p>
    <w:p>
      <w:pPr>
        <w:spacing w:after="0" w:line="206" w:lineRule="exact"/>
        <w:rPr>
          <w:rFonts w:ascii="Times New Roman" w:cs="Times New Roman" w:eastAsia="Times New Roman" w:hAnsi="Times New Roman"/>
          <w:sz w:val="18"/>
          <w:szCs w:val="18"/>
          <w:color w:val="auto"/>
        </w:rPr>
      </w:pPr>
    </w:p>
    <w:p>
      <w:pPr>
        <w:ind w:left="180" w:firstLine="1300"/>
        <w:spacing w:after="0" w:line="282" w:lineRule="auto"/>
        <w:tabs>
          <w:tab w:leader="none" w:pos="213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capital expenditures (or enter into any Contracts in respect of material capital expenditures) other than as contemplated by the Company Contracts or the Tax Equity Agreements;</w:t>
      </w:r>
    </w:p>
    <w:p>
      <w:pPr>
        <w:spacing w:after="0" w:line="161" w:lineRule="exact"/>
        <w:rPr>
          <w:rFonts w:ascii="Times New Roman" w:cs="Times New Roman" w:eastAsia="Times New Roman" w:hAnsi="Times New Roman"/>
          <w:sz w:val="18"/>
          <w:szCs w:val="18"/>
          <w:color w:val="auto"/>
        </w:rPr>
      </w:pPr>
    </w:p>
    <w:p>
      <w:pPr>
        <w:ind w:left="180" w:firstLine="1300"/>
        <w:spacing w:after="0" w:line="282" w:lineRule="auto"/>
        <w:tabs>
          <w:tab w:leader="none" w:pos="22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Company or any Acquired Company into or with any other Person or consolidate Company or any Acquired Company with any other Person;</w:t>
      </w:r>
    </w:p>
    <w:p>
      <w:pPr>
        <w:spacing w:after="0" w:line="161"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21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for the purchase of real property or any interests therein, other than as contemplated by the Tax Equity Agreements;</w:t>
      </w:r>
    </w:p>
    <w:p>
      <w:pPr>
        <w:spacing w:after="0" w:line="161"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2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enter into any Contract for any acquisitions (by merger, consolidation, or acquisition of stock or assets or any other business combination), of any Person or business or any division thereof, other than as contemplated by the Tax Equity Agreements;</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2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(as lessor), transfer or otherwise dispose of (including any transfers to any of its Affiliates), or mortgage or pledge, or impose or suffer to be imposed any Lien on, any of its assets or properties, other than: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inventory and personal property sold or otherwise disposed of in the ordinary course of business;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Permitted Liens; or (3) as contemplated by the Financing Documents or the Tax Equity Agreements;</w:t>
      </w:r>
    </w:p>
    <w:p>
      <w:pPr>
        <w:spacing w:after="0" w:line="179"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2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the Financing Agreement or any of the Financing Documents;</w:t>
      </w:r>
    </w:p>
    <w:p>
      <w:pPr>
        <w:spacing w:after="0" w:line="183" w:lineRule="exact"/>
        <w:rPr>
          <w:rFonts w:ascii="Times New Roman" w:cs="Times New Roman" w:eastAsia="Times New Roman" w:hAnsi="Times New Roman"/>
          <w:sz w:val="18"/>
          <w:szCs w:val="18"/>
          <w:color w:val="auto"/>
        </w:rPr>
      </w:pPr>
    </w:p>
    <w:p>
      <w:pPr>
        <w:ind w:left="180" w:firstLine="1300"/>
        <w:spacing w:after="0" w:line="282" w:lineRule="auto"/>
        <w:tabs>
          <w:tab w:leader="none" w:pos="22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Person (other than another Acquired Company), except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30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79"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19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Company or any Acquired Company;</w:t>
      </w:r>
    </w:p>
    <w:p>
      <w:pPr>
        <w:spacing w:after="0" w:line="179"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3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policies or practices (including any change in depreciation or amortization policies) of Company or any Acquired Company, except as required under GAAP or if such change would not have a material adverse effect on Purchaser, or revalue any of the Target Company’s or any Acquired Company’s assets;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1" w:name="page42"/>
    <w:bookmarkEnd w:id="41"/>
    <w:p>
      <w:pPr>
        <w:jc w:val="both"/>
        <w:ind w:left="1300" w:firstLine="1300"/>
        <w:spacing w:after="0" w:line="256" w:lineRule="auto"/>
        <w:tabs>
          <w:tab w:leader="none" w:pos="33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Company or any other Acquired Company or take any other similar action relating to the filing of any material Tax Return or the payment of any material Tax;</w:t>
      </w:r>
    </w:p>
    <w:p>
      <w:pPr>
        <w:spacing w:after="0" w:line="187" w:lineRule="exact"/>
        <w:rPr>
          <w:rFonts w:ascii="Times New Roman" w:cs="Times New Roman" w:eastAsia="Times New Roman" w:hAnsi="Times New Roman"/>
          <w:sz w:val="18"/>
          <w:szCs w:val="18"/>
          <w:color w:val="auto"/>
        </w:rPr>
      </w:pPr>
    </w:p>
    <w:p>
      <w:pPr>
        <w:ind w:left="1300" w:firstLine="1300"/>
        <w:spacing w:after="0" w:line="282" w:lineRule="auto"/>
        <w:tabs>
          <w:tab w:leader="none" w:pos="33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discharge, settle or satisfy any claims, liabilities or obligations prior to the same being due in excess of $50,000 in the aggregate other than as due and payable in the ordinary course under material Contracts;</w:t>
      </w:r>
    </w:p>
    <w:p>
      <w:pPr>
        <w:spacing w:after="0" w:line="161" w:lineRule="exact"/>
        <w:rPr>
          <w:rFonts w:ascii="Times New Roman" w:cs="Times New Roman" w:eastAsia="Times New Roman" w:hAnsi="Times New Roman"/>
          <w:sz w:val="18"/>
          <w:szCs w:val="18"/>
          <w:color w:val="auto"/>
        </w:rPr>
      </w:pPr>
    </w:p>
    <w:p>
      <w:pPr>
        <w:ind w:left="3220" w:hanging="620"/>
        <w:spacing w:after="0"/>
        <w:tabs>
          <w:tab w:leader="none" w:pos="3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employees or adopt any Employee Plans;</w:t>
      </w:r>
    </w:p>
    <w:p>
      <w:pPr>
        <w:spacing w:after="0" w:line="225" w:lineRule="exact"/>
        <w:rPr>
          <w:rFonts w:ascii="Times New Roman" w:cs="Times New Roman" w:eastAsia="Times New Roman" w:hAnsi="Times New Roman"/>
          <w:sz w:val="18"/>
          <w:szCs w:val="18"/>
          <w:color w:val="auto"/>
        </w:rPr>
      </w:pPr>
    </w:p>
    <w:p>
      <w:pPr>
        <w:ind w:left="3180" w:hanging="580"/>
        <w:spacing w:after="0"/>
        <w:tabs>
          <w:tab w:leader="none" w:pos="3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pursuant to the Tax Equity Agreements, enter into any joint venture;</w:t>
      </w:r>
    </w:p>
    <w:p>
      <w:pPr>
        <w:spacing w:after="0" w:line="225" w:lineRule="exact"/>
        <w:rPr>
          <w:rFonts w:ascii="Times New Roman" w:cs="Times New Roman" w:eastAsia="Times New Roman" w:hAnsi="Times New Roman"/>
          <w:sz w:val="18"/>
          <w:szCs w:val="18"/>
          <w:color w:val="auto"/>
        </w:rPr>
      </w:pPr>
    </w:p>
    <w:p>
      <w:pPr>
        <w:ind w:left="3300" w:hanging="700"/>
        <w:spacing w:after="0"/>
        <w:tabs>
          <w:tab w:leader="none" w:pos="3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insurance coverage substantially equivalent to its insurance coverage as in effect on the date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or</w:t>
      </w:r>
    </w:p>
    <w:p>
      <w:pPr>
        <w:spacing w:after="0" w:line="204" w:lineRule="exact"/>
        <w:rPr>
          <w:rFonts w:ascii="Times New Roman" w:cs="Times New Roman" w:eastAsia="Times New Roman" w:hAnsi="Times New Roman"/>
          <w:sz w:val="18"/>
          <w:szCs w:val="18"/>
          <w:color w:val="auto"/>
        </w:rPr>
      </w:pPr>
    </w:p>
    <w:p>
      <w:pPr>
        <w:ind w:left="3200" w:hanging="600"/>
        <w:spacing w:after="0"/>
        <w:tabs>
          <w:tab w:leader="none" w:pos="3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make any commitment to do any of the foregoing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304"/>
        <w:spacing w:after="0" w:line="266" w:lineRule="auto"/>
        <w:tabs>
          <w:tab w:leader="none" w:pos="22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5.05. </w:t>
      </w:r>
      <w:r>
        <w:rPr>
          <w:rFonts w:ascii="Times New Roman" w:cs="Times New Roman" w:eastAsia="Times New Roman" w:hAnsi="Times New Roman"/>
          <w:sz w:val="18"/>
          <w:szCs w:val="18"/>
          <w:b w:val="1"/>
          <w:bCs w:val="1"/>
          <w:i w:val="1"/>
          <w:iCs w:val="1"/>
          <w:color w:val="auto"/>
        </w:rPr>
        <w:t>Fulfillment of Conditions</w:t>
      </w:r>
      <w:r>
        <w:rPr>
          <w:rFonts w:ascii="Times New Roman" w:cs="Times New Roman" w:eastAsia="Times New Roman" w:hAnsi="Times New Roman"/>
          <w:sz w:val="18"/>
          <w:szCs w:val="18"/>
          <w:color w:val="auto"/>
        </w:rPr>
        <w:t>. Each Party shall take all commercially reasonable steps necessary or desirable, and proceed diligently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 to satisfy each condition to the obligations of the other Party contained in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5.06. </w:t>
      </w:r>
      <w:r>
        <w:rPr>
          <w:rFonts w:ascii="Times New Roman" w:cs="Times New Roman" w:eastAsia="Times New Roman" w:hAnsi="Times New Roman"/>
          <w:sz w:val="18"/>
          <w:szCs w:val="18"/>
          <w:b w:val="1"/>
          <w:bCs w:val="1"/>
          <w:i w:val="1"/>
          <w:iCs w:val="1"/>
          <w:color w:val="auto"/>
        </w:rPr>
        <w:t>Further Assurances</w:t>
      </w:r>
      <w:r>
        <w:rPr>
          <w:rFonts w:ascii="Times New Roman" w:cs="Times New Roman" w:eastAsia="Times New Roman" w:hAnsi="Times New Roman"/>
          <w:sz w:val="18"/>
          <w:szCs w:val="18"/>
          <w:color w:val="auto"/>
        </w:rPr>
        <w:t>. During the Interim Period, each Party shall use its commercially reasonable efforts to execute and deliver,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shall not apply.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5.07.</w:t>
      </w:r>
      <w:r>
        <w:rPr>
          <w:sz w:val="20"/>
          <w:szCs w:val="20"/>
          <w:color w:val="auto"/>
        </w:rPr>
        <w:tab/>
      </w:r>
      <w:r>
        <w:rPr>
          <w:rFonts w:ascii="Times New Roman" w:cs="Times New Roman" w:eastAsia="Times New Roman" w:hAnsi="Times New Roman"/>
          <w:sz w:val="17"/>
          <w:szCs w:val="17"/>
          <w:b w:val="1"/>
          <w:bCs w:val="1"/>
          <w:i w:val="1"/>
          <w:iCs w:val="1"/>
          <w:color w:val="auto"/>
        </w:rPr>
        <w:t>Purchaser’s Substitute Support Obligations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23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that Seller and certain Affiliates have provided certain credit support pursuant to the support obligations and related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From the Execution Date and continuing until the earlier of the termination of this Agreement or the replacement or release of each Support Obligation set forth on Part I.A and Part I.B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Purchaser shall use commercially reasonable efforts to negotiate a replacement of each such Support Obligation (each, a “</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xml:space="preserve">”) with the beneficiary thereof or to effect the complete and unconditional release of each such Support Obligation in a manner reasonably satisfactory to Purchaser, Seller and the beneficiary thereof, including by means of a letter of credit, escrow, posting a bond or cash deposit or other arrangements;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with respect to each Support Obligation identified on Part I.B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Purchaser’s obligations under this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 xml:space="preserve"> shall be limited to the Class A Percentage Interest of the amount of such Support Obligation. The effective date of the Substitute Support Obligations shall be no earlier than the Closing Date.</w:t>
      </w:r>
    </w:p>
    <w:p>
      <w:pPr>
        <w:spacing w:after="0" w:line="186"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8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Execution Date and continuing until the earlier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termination of this Agreement;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effective date of the applicable Substitute Support Obligation, if any;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date such Support Obligation is no longer required to be maintained under the applicable Company Contract, Seller shall, and shall cause its Affiliates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maintain each Support Obligation in full force and effect in accordance with the requirements under the applicable Company Contract;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perform all of its obligations under each Support Obligation;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not amend, modify, grant a waiver in respect of, cancel or consent to the termination of any Support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to the extent that a Support Obligation cannot be released, terminated or replaced by Purchaser at or prior to the Closing or is set forth on Part II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(each, a “</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Section 5.07(c)</w:t>
      </w:r>
      <w:r>
        <w:rPr>
          <w:rFonts w:ascii="Times New Roman" w:cs="Times New Roman" w:eastAsia="Times New Roman" w:hAnsi="Times New Roman"/>
          <w:sz w:val="18"/>
          <w:szCs w:val="18"/>
          <w:color w:val="auto"/>
        </w:rPr>
        <w:t xml:space="preserve"> below, Seller shall, and shall cause its Affiliates to, perform its obligations with respect to each such Support Obligation.</w:t>
      </w:r>
    </w:p>
    <w:p>
      <w:pPr>
        <w:spacing w:after="0" w:line="184"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there is a Retained Support Obligation, Purchaser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any Acquired Company conducted, existing or arising after the Closing (including as a result of any draw or demand for or making of any payment by Seller or any such Affiliate of Seller under any Support Obligation);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diligently continue to seek the release, termination and replacement of such Support Obligation as required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indemnification obligations under clause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shall not affect Seller’s indemnification obligations under </w:t>
      </w:r>
      <w:r>
        <w:rPr>
          <w:rFonts w:ascii="Times New Roman" w:cs="Times New Roman" w:eastAsia="Times New Roman" w:hAnsi="Times New Roman"/>
          <w:sz w:val="18"/>
          <w:szCs w:val="18"/>
          <w:i w:val="1"/>
          <w:iCs w:val="1"/>
          <w:color w:val="auto"/>
        </w:rPr>
        <w:t>Section 5.07(d)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with respect to any Support Obligation identified on Part I.B of </w:t>
      </w:r>
      <w:r>
        <w:rPr>
          <w:rFonts w:ascii="Times New Roman" w:cs="Times New Roman" w:eastAsia="Times New Roman" w:hAnsi="Times New Roman"/>
          <w:sz w:val="18"/>
          <w:szCs w:val="18"/>
          <w:i w:val="1"/>
          <w:iCs w:val="1"/>
          <w:color w:val="auto"/>
        </w:rPr>
        <w:t xml:space="preserve">Schedule 3.01(y) </w:t>
      </w:r>
      <w:r>
        <w:rPr>
          <w:rFonts w:ascii="Times New Roman" w:cs="Times New Roman" w:eastAsia="Times New Roman" w:hAnsi="Times New Roman"/>
          <w:sz w:val="18"/>
          <w:szCs w:val="18"/>
          <w:color w:val="auto"/>
        </w:rPr>
        <w:t>of the Disclosure Schedules, Purchaser’s obligations under this</w:t>
      </w:r>
      <w:r>
        <w:rPr>
          <w:rFonts w:ascii="Times New Roman" w:cs="Times New Roman" w:eastAsia="Times New Roman" w:hAnsi="Times New Roman"/>
          <w:sz w:val="18"/>
          <w:szCs w:val="18"/>
          <w:i w:val="1"/>
          <w:iCs w:val="1"/>
          <w:color w:val="auto"/>
        </w:rPr>
        <w:t xml:space="preserve"> Section 5.07(c) </w:t>
      </w:r>
      <w:r>
        <w:rPr>
          <w:rFonts w:ascii="Times New Roman" w:cs="Times New Roman" w:eastAsia="Times New Roman" w:hAnsi="Times New Roman"/>
          <w:sz w:val="18"/>
          <w:szCs w:val="18"/>
          <w:color w:val="auto"/>
        </w:rPr>
        <w:t>shall be limited to the Class A Percentage Interest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and actual out-of-pocket costs and fees, respectively.</w:t>
      </w:r>
    </w:p>
    <w:p>
      <w:pPr>
        <w:spacing w:after="0" w:line="19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replacement of a Support Obligation by Purchaser for a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any Acquired Company conducted, existing or arising at or prior to the Closing (including as a result of any draw or demand for or making of any payment by Purchaser or any such Affiliate of Purchaser under any Substitute Support Obligation).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5.08.</w:t>
      </w:r>
      <w:r>
        <w:rPr>
          <w:sz w:val="20"/>
          <w:szCs w:val="20"/>
          <w:color w:val="auto"/>
        </w:rPr>
        <w:tab/>
      </w:r>
      <w:r>
        <w:rPr>
          <w:rFonts w:ascii="Times New Roman" w:cs="Times New Roman" w:eastAsia="Times New Roman" w:hAnsi="Times New Roman"/>
          <w:sz w:val="17"/>
          <w:szCs w:val="17"/>
          <w:b w:val="1"/>
          <w:bCs w:val="1"/>
          <w:i w:val="1"/>
          <w:iCs w:val="1"/>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22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Taxes, if any, arising out of or in connection with the consummation of the transactions contemplated by this Agreement shall be shared equally by Purchaser and Seller. Purchaser shall timely file all Tax Returns relating to any Transfer Taxes, shall notify Seller when such filings have been made, and shall use commercially reasonable efforts to provide such Tax Returns to Seller at least ten (10) Business Days prior to the date such Tax Returns are due to be filed.</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24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Seller shall be responsible for the portion of such Apportioned Obligations attributable to the period ending on (and including) the Closing Date. The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any Acquired Company pursuant to the preceding sentence shall be paid by such Acquired Company.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5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Purchaser shall reasonably cooperate, and shall cause their respective Affiliates, employees and agents reasonably to cooperate, in preparing and filing all Tax Returns of each Acquired Company, including maintaining and making available to each other all records that are necessary for the preparation of any Tax Returns that the Party is required to file under this </w:t>
      </w:r>
      <w:r>
        <w:rPr>
          <w:rFonts w:ascii="Times New Roman" w:cs="Times New Roman" w:eastAsia="Times New Roman" w:hAnsi="Times New Roman"/>
          <w:sz w:val="18"/>
          <w:szCs w:val="18"/>
          <w:i w:val="1"/>
          <w:iCs w:val="1"/>
          <w:color w:val="auto"/>
        </w:rPr>
        <w:t>Section 5.08</w:t>
      </w:r>
      <w:r>
        <w:rPr>
          <w:rFonts w:ascii="Times New Roman" w:cs="Times New Roman" w:eastAsia="Times New Roman" w:hAnsi="Times New Roman"/>
          <w:sz w:val="18"/>
          <w:szCs w:val="18"/>
          <w:color w:val="auto"/>
        </w:rPr>
        <w:t>, and in resolving all Actions or Proceedings, and audits or examinations with respect to such Tax Returns.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5.09. </w:t>
      </w:r>
      <w:r>
        <w:rPr>
          <w:rFonts w:ascii="Times New Roman" w:cs="Times New Roman" w:eastAsia="Times New Roman" w:hAnsi="Times New Roman"/>
          <w:sz w:val="18"/>
          <w:szCs w:val="18"/>
          <w:b w:val="1"/>
          <w:bCs w:val="1"/>
          <w:i w:val="1"/>
          <w:iCs w:val="1"/>
          <w:color w:val="auto"/>
        </w:rPr>
        <w:t>No Solicitation</w:t>
      </w:r>
      <w:r>
        <w:rPr>
          <w:rFonts w:ascii="Times New Roman" w:cs="Times New Roman" w:eastAsia="Times New Roman" w:hAnsi="Times New Roman"/>
          <w:sz w:val="18"/>
          <w:szCs w:val="18"/>
          <w:color w:val="auto"/>
        </w:rPr>
        <w:t>. Until the Closing or, if earlier, termination of this Agreement, Seller shall not, and shall not authorize or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Companies, any of their Affiliates or any of their Representatives to, directly or indirectly: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encourage, solicit, initiate, facilitate or continue inquiries regarding an Acquisition Proposal;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enter into discussions or negotiations with, or provide any information to, any Person concerning a possible Acquisition Proposal;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shall mean (other than with respect to the transactions contemplated by the Financing Documents, the AIP Purchase Agreement and the TE HoldCo MIPA) any inquiry, proposal or offer from any Person concerning: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merger, consolidation, liquidation, recapitalization, share exchange or other business combination transaction involving the Acquired Companies;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issuance or acquisition of equity securities of the Acquired Companies;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sale, lease, exchange or other disposition of any significant portion of the Acquired Companies’ properties or assets.</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b w:val="1"/>
          <w:bCs w:val="1"/>
          <w:i w:val="1"/>
          <w:iCs w:val="1"/>
          <w:color w:val="auto"/>
        </w:rPr>
        <w:t>Purchaser Parent Guaranty</w:t>
      </w:r>
      <w:r>
        <w:rPr>
          <w:rFonts w:ascii="Times New Roman" w:cs="Times New Roman" w:eastAsia="Times New Roman" w:hAnsi="Times New Roman"/>
          <w:sz w:val="18"/>
          <w:szCs w:val="18"/>
          <w:color w:val="auto"/>
        </w:rPr>
        <w:t>. Purchaser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Seller the Purchaser Parent Guaranty.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i w:val="1"/>
          <w:iCs w:val="1"/>
          <w:color w:val="auto"/>
        </w:rPr>
        <w:t>Seller Parent Guaranty</w:t>
      </w:r>
      <w:r>
        <w:rPr>
          <w:rFonts w:ascii="Times New Roman" w:cs="Times New Roman" w:eastAsia="Times New Roman" w:hAnsi="Times New Roman"/>
          <w:sz w:val="18"/>
          <w:szCs w:val="18"/>
          <w:color w:val="auto"/>
        </w:rPr>
        <w:t>. Seller shall, concurrently with the execution and delivery of this Agreement, cause to be executed and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Purchaser the Seller Parent Guaranty.</w:t>
      </w:r>
    </w:p>
    <w:p>
      <w:pPr>
        <w:spacing w:after="0" w:line="15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i w:val="1"/>
          <w:iCs w:val="1"/>
          <w:color w:val="auto"/>
        </w:rPr>
        <w:t>Post-Execution Date Documents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74" w:lineRule="auto"/>
        <w:tabs>
          <w:tab w:leader="none" w:pos="219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following the Execution Date, Seller shall enter into (or shall cause the Company or the applicable Acquired Company to enter into) the Tax Equity ECCA, the TE HoldCo MIPA, and the other Tax Equity Documents to be entered into upon the execution of the Tax Equity ECCA or the TE HoldCo MIPA (the execution of the foregoing, the “</w:t>
      </w:r>
      <w:r>
        <w:rPr>
          <w:rFonts w:ascii="Times New Roman" w:cs="Times New Roman" w:eastAsia="Times New Roman" w:hAnsi="Times New Roman"/>
          <w:sz w:val="17"/>
          <w:szCs w:val="17"/>
          <w:i w:val="1"/>
          <w:iCs w:val="1"/>
          <w:color w:val="auto"/>
        </w:rPr>
        <w:t>Tax Equity Signing</w:t>
      </w:r>
      <w:r>
        <w:rPr>
          <w:rFonts w:ascii="Times New Roman" w:cs="Times New Roman" w:eastAsia="Times New Roman" w:hAnsi="Times New Roman"/>
          <w:sz w:val="17"/>
          <w:szCs w:val="17"/>
          <w:color w:val="auto"/>
        </w:rPr>
        <w:t>”). The form of the Tax Equity ECCA and the TE HoldCo MIPA, along with each schedule, exhibit or annex thereto (including the form of each other Tax Equity Agreement) and the initial form of the Tax Equity Model, in each case, shall be subject to the prior written consent of Purchaser (which consent shall not be unreasonably withheld or delayed, except that such consent may be withheld in Purchaser’s sole discretion with respect to the Purchaser Tax Equity Guaranty and the initial Tax Equity Model).</w:t>
      </w:r>
    </w:p>
    <w:p>
      <w:pPr>
        <w:spacing w:after="0" w:line="172" w:lineRule="exact"/>
        <w:rPr>
          <w:rFonts w:ascii="Times New Roman" w:cs="Times New Roman" w:eastAsia="Times New Roman" w:hAnsi="Times New Roman"/>
          <w:sz w:val="17"/>
          <w:szCs w:val="17"/>
          <w:color w:val="auto"/>
        </w:rPr>
      </w:pPr>
    </w:p>
    <w:p>
      <w:pPr>
        <w:jc w:val="both"/>
        <w:ind w:firstLine="1304"/>
        <w:spacing w:after="0" w:line="266" w:lineRule="auto"/>
        <w:tabs>
          <w:tab w:leader="none" w:pos="21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Tax Equity Signing, Seller shall promptly provide to Purchaser true, complete and correct copies of each such Contract or document, including any schedule, exhibit or annex thereto, and, with respect to the Tax Equity ECCA, the following documents delivered pursuant to Section 4.01 of the Tax Equity ECCA: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Tax Equity Model,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Reports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the Title Proformas.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6.01. </w:t>
      </w:r>
      <w:r>
        <w:rPr>
          <w:rFonts w:ascii="Times New Roman" w:cs="Times New Roman" w:eastAsia="Times New Roman" w:hAnsi="Times New Roman"/>
          <w:sz w:val="18"/>
          <w:szCs w:val="18"/>
          <w:b w:val="1"/>
          <w:bCs w:val="1"/>
          <w:i w:val="1"/>
          <w:iCs w:val="1"/>
          <w:color w:val="auto"/>
        </w:rPr>
        <w:t>Indemnification by Seller</w:t>
      </w:r>
      <w:r>
        <w:rPr>
          <w:rFonts w:ascii="Times New Roman" w:cs="Times New Roman" w:eastAsia="Times New Roman" w:hAnsi="Times New Roman"/>
          <w:sz w:val="18"/>
          <w:szCs w:val="18"/>
          <w:color w:val="auto"/>
        </w:rPr>
        <w:t>. Seller hereby indemnifies and holds harmless the Purchaser Indemnified Parties in respect of, and holds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them harmless from and against, any and all Losses suffered, incurred or sustained by any of them or to which any of them become subject, resulting from, arising out of or related to (a)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(b) the matters referenced on Schedule </w:t>
      </w:r>
      <w:r>
        <w:rPr>
          <w:rFonts w:ascii="Times New Roman" w:cs="Times New Roman" w:eastAsia="Times New Roman" w:hAnsi="Times New Roman"/>
          <w:sz w:val="18"/>
          <w:szCs w:val="18"/>
          <w:i w:val="1"/>
          <w:iCs w:val="1"/>
          <w:color w:val="auto"/>
        </w:rPr>
        <w:t>6.01</w:t>
      </w:r>
      <w:r>
        <w:rPr>
          <w:rFonts w:ascii="Times New Roman" w:cs="Times New Roman" w:eastAsia="Times New Roman" w:hAnsi="Times New Roman"/>
          <w:sz w:val="18"/>
          <w:szCs w:val="18"/>
          <w:color w:val="auto"/>
        </w:rPr>
        <w:t xml:space="preserve">; or (c) except to the extent included in the calculation of the Purchase Price, any Transaction Expense of any Acquired Company as of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such Purchaser Indemnified Party shall not be entitled to recover the same Losses under another subsection of this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any other contract or agreement related to either Project between Purchaser or any of its Affiliates, on the one hand, and Seller or any of its Affiliates, on the other hand.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6.02. </w:t>
      </w:r>
      <w:r>
        <w:rPr>
          <w:rFonts w:ascii="Times New Roman" w:cs="Times New Roman" w:eastAsia="Times New Roman" w:hAnsi="Times New Roman"/>
          <w:sz w:val="18"/>
          <w:szCs w:val="18"/>
          <w:b w:val="1"/>
          <w:bCs w:val="1"/>
          <w:i w:val="1"/>
          <w:iCs w:val="1"/>
          <w:color w:val="auto"/>
        </w:rPr>
        <w:t>Indemnification by Purchaser</w:t>
      </w:r>
      <w:r>
        <w:rPr>
          <w:rFonts w:ascii="Times New Roman" w:cs="Times New Roman" w:eastAsia="Times New Roman" w:hAnsi="Times New Roman"/>
          <w:sz w:val="18"/>
          <w:szCs w:val="18"/>
          <w:color w:val="auto"/>
        </w:rPr>
        <w:t>. Purchaser hereby indemnifies and holds harmless the Seller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such Seller Indemnified Party shall not be entitled to recover the same Losses under another subsection of this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or any other contract or agreement related to either Project between Seller or any of its Affiliates, on the one hand, and Purchaser or any of its Affiliates, on the other hand.</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6.03. </w:t>
      </w:r>
      <w:r>
        <w:rPr>
          <w:rFonts w:ascii="Times New Roman" w:cs="Times New Roman" w:eastAsia="Times New Roman" w:hAnsi="Times New Roman"/>
          <w:sz w:val="18"/>
          <w:szCs w:val="18"/>
          <w:b w:val="1"/>
          <w:bCs w:val="1"/>
          <w:i w:val="1"/>
          <w:iCs w:val="1"/>
          <w:color w:val="auto"/>
        </w:rPr>
        <w:t>Survival of Representations, Warranties, Covenants and Agreements</w:t>
      </w:r>
      <w:r>
        <w:rPr>
          <w:rFonts w:ascii="Times New Roman" w:cs="Times New Roman" w:eastAsia="Times New Roman" w:hAnsi="Times New Roman"/>
          <w:sz w:val="18"/>
          <w:szCs w:val="18"/>
          <w:color w:val="auto"/>
        </w:rPr>
        <w:t>. The representations, warranties, covenants,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of Seller and Purchaser contained in this Agreement are material, were relied on by such Parties, and will survive the Closing Date as provided in this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 xml:space="preserve">. Subject to the limitations and other provisions of this Agreement, the representations and warranties contained herein shall survive the Closing for twelve (12)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i w:val="1"/>
          <w:iCs w:val="1"/>
          <w:color w:val="auto"/>
        </w:rPr>
        <w:t>Section 3.01(a)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 xml:space="preserve">Section 3.01(b) </w:t>
      </w:r>
      <w:r>
        <w:rPr>
          <w:rFonts w:ascii="Times New Roman" w:cs="Times New Roman" w:eastAsia="Times New Roman" w:hAnsi="Times New Roman"/>
          <w:sz w:val="18"/>
          <w:szCs w:val="18"/>
          <w:color w:val="auto"/>
        </w:rPr>
        <w:t>(Authority),</w:t>
      </w:r>
      <w:r>
        <w:rPr>
          <w:rFonts w:ascii="Times New Roman" w:cs="Times New Roman" w:eastAsia="Times New Roman" w:hAnsi="Times New Roman"/>
          <w:sz w:val="18"/>
          <w:szCs w:val="18"/>
          <w:i w:val="1"/>
          <w:iCs w:val="1"/>
          <w:color w:val="auto"/>
        </w:rPr>
        <w:t xml:space="preserve"> Section 3.01(g) </w:t>
      </w:r>
      <w:r>
        <w:rPr>
          <w:rFonts w:ascii="Times New Roman" w:cs="Times New Roman" w:eastAsia="Times New Roman" w:hAnsi="Times New Roman"/>
          <w:sz w:val="18"/>
          <w:szCs w:val="18"/>
          <w:color w:val="auto"/>
        </w:rPr>
        <w:t>(Brokers),</w:t>
      </w:r>
      <w:r>
        <w:rPr>
          <w:rFonts w:ascii="Times New Roman" w:cs="Times New Roman" w:eastAsia="Times New Roman" w:hAnsi="Times New Roman"/>
          <w:sz w:val="18"/>
          <w:szCs w:val="18"/>
          <w:i w:val="1"/>
          <w:iCs w:val="1"/>
          <w:color w:val="auto"/>
        </w:rPr>
        <w:t xml:space="preserve"> Section 3.01(i)(i)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3.01(i)(ii)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3.01(i)(v)</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Section 3.01(i)(ix) </w:t>
      </w:r>
      <w:r>
        <w:rPr>
          <w:rFonts w:ascii="Times New Roman" w:cs="Times New Roman" w:eastAsia="Times New Roman" w:hAnsi="Times New Roman"/>
          <w:sz w:val="18"/>
          <w:szCs w:val="18"/>
          <w:color w:val="auto"/>
        </w:rPr>
        <w:t>(Company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Companies), </w:t>
      </w:r>
      <w:r>
        <w:rPr>
          <w:rFonts w:ascii="Times New Roman" w:cs="Times New Roman" w:eastAsia="Times New Roman" w:hAnsi="Times New Roman"/>
          <w:sz w:val="18"/>
          <w:szCs w:val="18"/>
          <w:i w:val="1"/>
          <w:iCs w:val="1"/>
          <w:color w:val="auto"/>
        </w:rPr>
        <w:t>Section 3.02(a)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Section 3.02(b)</w:t>
      </w:r>
      <w:r>
        <w:rPr>
          <w:rFonts w:ascii="Times New Roman" w:cs="Times New Roman" w:eastAsia="Times New Roman" w:hAnsi="Times New Roman"/>
          <w:sz w:val="18"/>
          <w:szCs w:val="18"/>
          <w:color w:val="auto"/>
        </w:rPr>
        <w:t xml:space="preserve"> (Authority) and </w:t>
      </w:r>
      <w:r>
        <w:rPr>
          <w:rFonts w:ascii="Times New Roman" w:cs="Times New Roman" w:eastAsia="Times New Roman" w:hAnsi="Times New Roman"/>
          <w:sz w:val="18"/>
          <w:szCs w:val="18"/>
          <w:i w:val="1"/>
          <w:iCs w:val="1"/>
          <w:color w:val="auto"/>
        </w:rPr>
        <w:t>Section 3.02(h)</w:t>
      </w:r>
      <w:r>
        <w:rPr>
          <w:rFonts w:ascii="Times New Roman" w:cs="Times New Roman" w:eastAsia="Times New Roman" w:hAnsi="Times New Roman"/>
          <w:sz w:val="18"/>
          <w:szCs w:val="18"/>
          <w:color w:val="auto"/>
        </w:rPr>
        <w:t xml:space="preserve"> (Brokers) (collectively, the “</w:t>
      </w:r>
      <w:r>
        <w:rPr>
          <w:rFonts w:ascii="Times New Roman" w:cs="Times New Roman" w:eastAsia="Times New Roman" w:hAnsi="Times New Roman"/>
          <w:sz w:val="18"/>
          <w:szCs w:val="18"/>
          <w:i w:val="1"/>
          <w:i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shall survive the Closing for five (5) years after the Closing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representations and warranties in</w:t>
      </w:r>
      <w:r>
        <w:rPr>
          <w:rFonts w:ascii="Times New Roman" w:cs="Times New Roman" w:eastAsia="Times New Roman" w:hAnsi="Times New Roman"/>
          <w:sz w:val="18"/>
          <w:szCs w:val="18"/>
          <w:i w:val="1"/>
          <w:iCs w:val="1"/>
          <w:color w:val="auto"/>
        </w:rPr>
        <w:t xml:space="preserve"> Section 3.01(k) </w:t>
      </w:r>
      <w:r>
        <w:rPr>
          <w:rFonts w:ascii="Times New Roman" w:cs="Times New Roman" w:eastAsia="Times New Roman" w:hAnsi="Times New Roman"/>
          <w:sz w:val="18"/>
          <w:szCs w:val="18"/>
          <w:color w:val="auto"/>
        </w:rPr>
        <w:t>(Taxes)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survive the Closing until thirty (30) days after the expiration of the applicable Tax statute of limitations. The indemnity obligations of Seller pursuant to </w:t>
      </w:r>
      <w:r>
        <w:rPr>
          <w:rFonts w:ascii="Times New Roman" w:cs="Times New Roman" w:eastAsia="Times New Roman" w:hAnsi="Times New Roman"/>
          <w:sz w:val="18"/>
          <w:szCs w:val="18"/>
          <w:i w:val="1"/>
          <w:iCs w:val="1"/>
          <w:color w:val="auto"/>
        </w:rPr>
        <w:t xml:space="preserve">Section 6.01(b) </w:t>
      </w:r>
      <w:r>
        <w:rPr>
          <w:rFonts w:ascii="Times New Roman" w:cs="Times New Roman" w:eastAsia="Times New Roman" w:hAnsi="Times New Roman"/>
          <w:sz w:val="18"/>
          <w:szCs w:val="18"/>
          <w:color w:val="auto"/>
        </w:rPr>
        <w:t>shall survive until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as to item 1 in</w:t>
      </w:r>
      <w:r>
        <w:rPr>
          <w:rFonts w:ascii="Times New Roman" w:cs="Times New Roman" w:eastAsia="Times New Roman" w:hAnsi="Times New Roman"/>
          <w:sz w:val="18"/>
          <w:szCs w:val="18"/>
          <w:i w:val="1"/>
          <w:iCs w:val="1"/>
          <w:color w:val="auto"/>
        </w:rPr>
        <w:t xml:space="preserve"> Schedule 6.01</w:t>
      </w:r>
      <w:r>
        <w:rPr>
          <w:rFonts w:ascii="Times New Roman" w:cs="Times New Roman" w:eastAsia="Times New Roman" w:hAnsi="Times New Roman"/>
          <w:sz w:val="18"/>
          <w:szCs w:val="18"/>
          <w:color w:val="auto"/>
        </w:rPr>
        <w:t>, any right of a counterparty of the Project Companies to receive Delay Damages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expired or been terminated,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as to item 2 in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until the Tax Equity Guaranty has expired or been terminated and any claims thereunder are fully and finally resolved and no longer subject to appeal or rehearing,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as to item 3 in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xml:space="preserve">, until the period during which any such tariffs can be imposed under applicable Law has expired.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a written notice of claim prior to the applicable survival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written notice for a claim of indemnification has been provided by the Indemnified Party pursuant to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 xml:space="preserve"> on or prior to the applicable survival expiration date, then the obligation of the Indemnifying Party to indemnify the Indemnified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shall survive with respect to such claim until such claim is finally resolved.</w:t>
      </w:r>
    </w:p>
    <w:p>
      <w:pPr>
        <w:spacing w:after="0" w:line="19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6.04.</w:t>
      </w:r>
      <w:r>
        <w:rPr>
          <w:sz w:val="20"/>
          <w:szCs w:val="20"/>
          <w:color w:val="auto"/>
        </w:rPr>
        <w:tab/>
      </w:r>
      <w:r>
        <w:rPr>
          <w:rFonts w:ascii="Times New Roman" w:cs="Times New Roman" w:eastAsia="Times New Roman" w:hAnsi="Times New Roman"/>
          <w:sz w:val="18"/>
          <w:szCs w:val="18"/>
          <w:b w:val="1"/>
          <w:bCs w:val="1"/>
          <w:i w:val="1"/>
          <w:iCs w:val="1"/>
          <w:color w:val="auto"/>
        </w:rPr>
        <w:t>Limitations on Claims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5" w:lineRule="auto"/>
        <w:tabs>
          <w:tab w:leader="none" w:pos="214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equal or exceed [***] of the Purchase Price (the “</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in which event the Indemnifying Party shall be liable for Losses only to the extent they are in excess of the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Deductible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any Fraudulent Action, (ii) the matters referenced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or</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Fundamental Representations.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firstLine="1304"/>
        <w:spacing w:after="0" w:line="255" w:lineRule="auto"/>
        <w:tabs>
          <w:tab w:leader="none" w:pos="20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liability of the Seller Indemnifying Parties and the Purchaser Indemnifying Parties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resulting from any claims under any breaches of representations or warranties herein and in any certificates delivered pursuant hereto shall be limited to an amount equal to [***] of the Purchase Price (the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Fraudulent Action;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 breach of the Fundamental Representations;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shall be limited to an amount equal to the Purchase Price. For the avoidance of doubt, the foregoing limitation will not apply to Losses resulting from, arising out of or relating to the matter referenced as item 2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will be reduced by the amount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actual recovery under insurance policies that provide coverage,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any actual recovery of reimbursement, indemnification or payment from any third Person,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 shall not exceed the amount of the indemnity payment.</w:t>
      </w:r>
    </w:p>
    <w:p>
      <w:pPr>
        <w:spacing w:after="0" w:line="190"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neither Purchaser nor Seller shall be obligated to indemnify any Seller Indemnified Party or Purchaser Indemnified Party, as applicable, for any Losses to the extent such Loss, or the economic effect of the event or circumstance giving rise to such Loss, is accounted for in the determination of the Adjusted Purchase Price pursuant to the Adjusted Purchase Price Model.</w:t>
      </w:r>
    </w:p>
    <w:p>
      <w:pPr>
        <w:spacing w:after="0" w:line="17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6.05.</w:t>
      </w:r>
      <w:r>
        <w:rPr>
          <w:sz w:val="20"/>
          <w:szCs w:val="20"/>
          <w:color w:val="auto"/>
        </w:rPr>
        <w:tab/>
      </w:r>
      <w:r>
        <w:rPr>
          <w:rFonts w:ascii="Times New Roman" w:cs="Times New Roman" w:eastAsia="Times New Roman" w:hAnsi="Times New Roman"/>
          <w:sz w:val="18"/>
          <w:szCs w:val="18"/>
          <w:b w:val="1"/>
          <w:bCs w:val="1"/>
          <w:i w:val="1"/>
          <w:iCs w:val="1"/>
          <w:color w:val="auto"/>
        </w:rPr>
        <w:t>Procedure for Indemnification of Third Party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7" w:lineRule="auto"/>
        <w:tabs>
          <w:tab w:leader="none" w:pos="21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Whenever any claim by a third party shall arise for indemnification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If the Indemnified Party has assumed the defense of any claim by a third party which may give rise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indemnity hereunder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7" w:name="page48"/>
    <w:bookmarkEnd w:id="47"/>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6.06.</w:t>
      </w:r>
      <w:r>
        <w:rPr>
          <w:sz w:val="20"/>
          <w:szCs w:val="20"/>
          <w:color w:val="auto"/>
        </w:rPr>
        <w:tab/>
      </w:r>
      <w:r>
        <w:rPr>
          <w:rFonts w:ascii="Times New Roman" w:cs="Times New Roman" w:eastAsia="Times New Roman" w:hAnsi="Times New Roman"/>
          <w:sz w:val="17"/>
          <w:szCs w:val="17"/>
          <w:b w:val="1"/>
          <w:bCs w:val="1"/>
          <w:i w:val="1"/>
          <w:iCs w:val="1"/>
          <w:color w:val="auto"/>
        </w:rPr>
        <w:t>Rights of the Indemnifying Party in the Defense of Third Party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2" w:lineRule="auto"/>
        <w:tabs>
          <w:tab w:leader="none" w:pos="207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Assume the Defense</w:t>
      </w:r>
      <w:r>
        <w:rPr>
          <w:rFonts w:ascii="Times New Roman" w:cs="Times New Roman" w:eastAsia="Times New Roman" w:hAnsi="Times New Roman"/>
          <w:sz w:val="18"/>
          <w:szCs w:val="18"/>
          <w:color w:val="auto"/>
        </w:rPr>
        <w:t>. In connection with any claim by a third party which may give rise to indemnity hereunder,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7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If the Indemnifying Party assumes the defense of any such claim, the Indemnifying Party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select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acceptable to the Indemnified Party to conduct the defense of such claim;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The Indemnifying Party shall not consent to a settlement of or the entry of any judgment arising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claim or legal proceeding, without the prior written consent of the Indemnified Party (which consent shall not be unreasonably withheld or delayed).</w:t>
      </w:r>
    </w:p>
    <w:p>
      <w:pPr>
        <w:spacing w:after="0" w:line="170"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Decline to Assume the Defense</w:t>
      </w:r>
      <w:r>
        <w:rPr>
          <w:rFonts w:ascii="Times New Roman" w:cs="Times New Roman" w:eastAsia="Times New Roman" w:hAnsi="Times New Roman"/>
          <w:sz w:val="18"/>
          <w:szCs w:val="18"/>
          <w:color w:val="auto"/>
        </w:rPr>
        <w:t>. The Indemnified Party may defend against any such claim, at the sole cost and expense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in such manner as it may deem reasonably appropriate, including settling such claim in accordance with the terms hereof, if: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Indemnified Party reasonably concludes that the Indemnifying Party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not diligently defending the Indemnified Party;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not contesting such claim in good faith through appropriate proceedings;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6.07. </w:t>
      </w:r>
      <w:r>
        <w:rPr>
          <w:rFonts w:ascii="Times New Roman" w:cs="Times New Roman" w:eastAsia="Times New Roman" w:hAnsi="Times New Roman"/>
          <w:sz w:val="18"/>
          <w:szCs w:val="18"/>
          <w:b w:val="1"/>
          <w:bCs w:val="1"/>
          <w:i w:val="1"/>
          <w:iCs w:val="1"/>
          <w:color w:val="auto"/>
        </w:rPr>
        <w:t>Direct Claims</w:t>
      </w:r>
      <w:r>
        <w:rPr>
          <w:rFonts w:ascii="Times New Roman" w:cs="Times New Roman" w:eastAsia="Times New Roman" w:hAnsi="Times New Roman"/>
          <w:sz w:val="18"/>
          <w:szCs w:val="18"/>
          <w:color w:val="auto"/>
        </w:rPr>
        <w:t>. In the event that any Indemnified Party has a claim against any Indemnifying Party which may give rise to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against the Indemnifying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6.08. </w:t>
      </w:r>
      <w:r>
        <w:rPr>
          <w:rFonts w:ascii="Times New Roman" w:cs="Times New Roman" w:eastAsia="Times New Roman" w:hAnsi="Times New Roman"/>
          <w:sz w:val="18"/>
          <w:szCs w:val="18"/>
          <w:b w:val="1"/>
          <w:bCs w:val="1"/>
          <w:i w:val="1"/>
          <w:iCs w:val="1"/>
          <w:color w:val="auto"/>
        </w:rPr>
        <w:t>Exclusive Remedy</w:t>
      </w:r>
      <w:r>
        <w:rPr>
          <w:rFonts w:ascii="Times New Roman" w:cs="Times New Roman" w:eastAsia="Times New Roman" w:hAnsi="Times New Roman"/>
          <w:sz w:val="18"/>
          <w:szCs w:val="18"/>
          <w:color w:val="auto"/>
        </w:rPr>
        <w:t>. Absent any Fraudulent Action, the indemnities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exclusive remedies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6.09.</w:t>
      </w:r>
      <w:r>
        <w:rPr>
          <w:sz w:val="20"/>
          <w:szCs w:val="20"/>
          <w:color w:val="auto"/>
        </w:rPr>
        <w:tab/>
      </w:r>
      <w:r>
        <w:rPr>
          <w:rFonts w:ascii="Times New Roman" w:cs="Times New Roman" w:eastAsia="Times New Roman" w:hAnsi="Times New Roman"/>
          <w:sz w:val="17"/>
          <w:szCs w:val="17"/>
          <w:b w:val="1"/>
          <w:bCs w:val="1"/>
          <w:i w:val="1"/>
          <w:iCs w:val="1"/>
          <w:color w:val="auto"/>
        </w:rPr>
        <w:t>Mitigations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33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59" w:lineRule="exact"/>
        <w:rPr>
          <w:rFonts w:ascii="Times New Roman" w:cs="Times New Roman" w:eastAsia="Times New Roman" w:hAnsi="Times New Roman"/>
          <w:sz w:val="18"/>
          <w:szCs w:val="18"/>
          <w:color w:val="auto"/>
        </w:rPr>
      </w:pPr>
    </w:p>
    <w:p>
      <w:pPr>
        <w:jc w:val="both"/>
        <w:ind w:firstLine="1304"/>
        <w:spacing w:after="0" w:line="267" w:lineRule="auto"/>
        <w:tabs>
          <w:tab w:leader="none" w:pos="207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making any payment to the Indemnified Party for any indemnification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i w:val="1"/>
          <w:iCs w:val="1"/>
          <w:color w:val="auto"/>
        </w:rPr>
        <w:t>Indemnity Treatment</w:t>
      </w:r>
      <w:r>
        <w:rPr>
          <w:rFonts w:ascii="Times New Roman" w:cs="Times New Roman" w:eastAsia="Times New Roman" w:hAnsi="Times New Roman"/>
          <w:sz w:val="18"/>
          <w:szCs w:val="18"/>
          <w:color w:val="auto"/>
        </w:rPr>
        <w:t>. Any amount of indemnification payable pursuant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law, be treated as an adjustment to the Purchase Price (as determined for all relevant Tax purposes).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7.01.</w:t>
      </w:r>
      <w:r>
        <w:rPr>
          <w:sz w:val="20"/>
          <w:szCs w:val="20"/>
          <w:color w:val="auto"/>
        </w:rPr>
        <w:tab/>
      </w:r>
      <w:r>
        <w:rPr>
          <w:rFonts w:ascii="Times New Roman" w:cs="Times New Roman" w:eastAsia="Times New Roman" w:hAnsi="Times New Roman"/>
          <w:sz w:val="17"/>
          <w:szCs w:val="17"/>
          <w:b w:val="1"/>
          <w:bCs w:val="1"/>
          <w:i w:val="1"/>
          <w:iCs w:val="1"/>
          <w:color w:val="auto"/>
        </w:rPr>
        <w:t>Termination</w:t>
      </w:r>
      <w:r>
        <w:rPr>
          <w:rFonts w:ascii="Times New Roman" w:cs="Times New Roman" w:eastAsia="Times New Roman" w:hAnsi="Times New Roman"/>
          <w:sz w:val="17"/>
          <w:szCs w:val="17"/>
          <w:color w:val="auto"/>
        </w:rPr>
        <w:t>. This Agreement may be terminated at any time prior to the Closing Date as follows:</w:t>
      </w:r>
    </w:p>
    <w:p>
      <w:pPr>
        <w:spacing w:after="0" w:line="229" w:lineRule="exact"/>
        <w:rPr>
          <w:sz w:val="20"/>
          <w:szCs w:val="20"/>
          <w:color w:val="auto"/>
        </w:rPr>
      </w:pPr>
    </w:p>
    <w:p>
      <w:pPr>
        <w:ind w:left="2040" w:hanging="736"/>
        <w:spacing w:after="0"/>
        <w:tabs>
          <w:tab w:leader="none" w:pos="2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Seller and Purchaser;</w:t>
      </w:r>
    </w:p>
    <w:p>
      <w:pPr>
        <w:spacing w:after="0" w:line="223" w:lineRule="exact"/>
        <w:rPr>
          <w:rFonts w:ascii="Times New Roman" w:cs="Times New Roman" w:eastAsia="Times New Roman" w:hAnsi="Times New Roman"/>
          <w:sz w:val="18"/>
          <w:szCs w:val="18"/>
          <w:color w:val="auto"/>
        </w:rPr>
      </w:pPr>
    </w:p>
    <w:p>
      <w:pPr>
        <w:ind w:firstLine="1304"/>
        <w:spacing w:after="0" w:line="284" w:lineRule="auto"/>
        <w:tabs>
          <w:tab w:leader="none" w:pos="215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 the Closing has not occurred on or before June 30, 2024 (the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and the failure to reach the Closing Date was not caused by a breach of this Agreement by the terminating Party;</w:t>
      </w:r>
    </w:p>
    <w:p>
      <w:pPr>
        <w:spacing w:after="0" w:line="160"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9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if there has been a breach by Seller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is a breach of Seller’s obligations to transfer the Acquired Interests at Closing in accordance with this Agreement;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end of such thirty (30) day period, Seller is endeavoring in good faith, and proceeding diligently, to cure such breach, Seller shall have an additional thirty (30) days in which to effect such cure;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0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 if there has been a breach by Purchaser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end of such thirty (30) day period, Purchaser is endeavoring in good faith, and proceeding diligently, to cure such breach, Purchaser shall have an additional thirty (30) days in which to effect such cure.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7.02.</w:t>
      </w:r>
      <w:r>
        <w:rPr>
          <w:sz w:val="20"/>
          <w:szCs w:val="20"/>
          <w:color w:val="auto"/>
        </w:rPr>
        <w:tab/>
      </w:r>
      <w:r>
        <w:rPr>
          <w:rFonts w:ascii="Times New Roman" w:cs="Times New Roman" w:eastAsia="Times New Roman" w:hAnsi="Times New Roman"/>
          <w:sz w:val="17"/>
          <w:szCs w:val="17"/>
          <w:b w:val="1"/>
          <w:bCs w:val="1"/>
          <w:i w:val="1"/>
          <w:iCs w:val="1"/>
          <w:color w:val="auto"/>
        </w:rPr>
        <w:t>Effect of Termination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1304"/>
        <w:spacing w:after="0" w:line="258" w:lineRule="auto"/>
        <w:tabs>
          <w:tab w:leader="none" w:pos="20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pursuant to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and the entirety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Article 8</w:t>
      </w:r>
      <w:r>
        <w:rPr>
          <w:rFonts w:ascii="Times New Roman" w:cs="Times New Roman" w:eastAsia="Times New Roman" w:hAnsi="Times New Roman"/>
          <w:sz w:val="18"/>
          <w:szCs w:val="18"/>
          <w:color w:val="auto"/>
        </w:rPr>
        <w:t xml:space="preserve"> will continue to apply following any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9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this Agreement by a Party for any reason: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Times New Roman" w:cs="Times New Roman" w:eastAsia="Times New Roman" w:hAnsi="Times New Roman"/>
          <w:sz w:val="18"/>
          <w:szCs w:val="18"/>
          <w:i w:val="1"/>
          <w:iCs w:val="1"/>
          <w:color w:val="auto"/>
        </w:rPr>
        <w:t>Section 8.06</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notices, requests and other communications hereunder must be in writing and will be deemed to have been duly given only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by email, by reputable national overnight courier service or by registered or certified mail (postage prepaid) to the Parties at the following addresses or email addresses, as applicable:</w:t>
      </w:r>
    </w:p>
    <w:p>
      <w:pPr>
        <w:sectPr>
          <w:pgSz w:w="11900" w:h="16838" w:orient="portrait"/>
          <w:cols w:equalWidth="0" w:num="1">
            <w:col w:w="11240"/>
          </w:cols>
          <w:pgMar w:left="320" w:top="900" w:right="339" w:bottom="1440" w:gutter="0" w:footer="0" w:header="0"/>
        </w:sectPr>
      </w:pPr>
    </w:p>
    <w:p>
      <w:pPr>
        <w:spacing w:after="0" w:line="175"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7"/>
          <w:szCs w:val="17"/>
          <w:color w:val="auto"/>
        </w:rPr>
        <w:t>If to Purchaser, 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VP-Arica Parent Holdco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300 Carnegie Center Drive, Suite 300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180" w:space="720"/>
            <w:col w:w="7340"/>
          </w:cols>
          <w:pgMar w:left="320" w:top="900"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If to Seller,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VP-Arica CE Seller LLC</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160" w:space="720"/>
            <w:col w:w="7360"/>
          </w:cols>
          <w:pgMar w:left="320" w:top="900"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VP-Arica CE Seller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180" w:space="720"/>
            <w:col w:w="7340"/>
          </w:cols>
          <w:pgMar w:left="320" w:top="900" w:right="339" w:bottom="1440" w:gutter="0" w:footer="0" w:header="0"/>
          <w:type w:val="continuous"/>
        </w:sectPr>
      </w:pPr>
    </w:p>
    <w:p>
      <w:pPr>
        <w:spacing w:after="0" w:line="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Notices, requests and other communications will be deemed given upon the first to occur of such item having been: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delivered personally (or refusal of delivery)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delivered by confirmed email transmission to the email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delivered (or refusal of such delivery) by registered or certified mail (postage prepaid) or by reputable national overnight courier service in the manner described above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Any Party from time to time may change its address, email address or other information for the purpose of notices to that Party by giving notice specifying such change to the other Party.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0" w:name="page51"/>
    <w:bookmarkEnd w:id="5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8.02.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and the documents referenced herein supersede all prior discussions and agreements, whether oral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between the Parties with respect to the subject matter hereof, and contains the entire agreement between the Parties with respect to the subject matter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8.03. </w:t>
      </w:r>
      <w:r>
        <w:rPr>
          <w:rFonts w:ascii="Times New Roman" w:cs="Times New Roman" w:eastAsia="Times New Roman" w:hAnsi="Times New Roman"/>
          <w:sz w:val="18"/>
          <w:szCs w:val="18"/>
          <w:b w:val="1"/>
          <w:bCs w:val="1"/>
          <w:i w:val="1"/>
          <w:iCs w:val="1"/>
          <w:color w:val="auto"/>
        </w:rPr>
        <w:t>Specific Performance</w:t>
      </w:r>
      <w:r>
        <w:rPr>
          <w:rFonts w:ascii="Times New Roman" w:cs="Times New Roman" w:eastAsia="Times New Roman" w:hAnsi="Times New Roman"/>
          <w:sz w:val="18"/>
          <w:szCs w:val="18"/>
          <w:color w:val="auto"/>
        </w:rPr>
        <w:t>. The Parties to this Agreement agree that if any of the provisions of this Agreement were not performed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8.04.</w:t>
      </w:r>
      <w:r>
        <w:rPr>
          <w:sz w:val="20"/>
          <w:szCs w:val="20"/>
          <w:color w:val="auto"/>
        </w:rPr>
        <w:tab/>
      </w:r>
      <w:r>
        <w:rPr>
          <w:rFonts w:ascii="Times New Roman" w:cs="Times New Roman" w:eastAsia="Times New Roman" w:hAnsi="Times New Roman"/>
          <w:sz w:val="17"/>
          <w:szCs w:val="17"/>
          <w:b w:val="1"/>
          <w:bCs w:val="1"/>
          <w:i w:val="1"/>
          <w:iCs w:val="1"/>
          <w:color w:val="auto"/>
        </w:rPr>
        <w:t>Time of the Essence</w:t>
      </w:r>
      <w:r>
        <w:rPr>
          <w:rFonts w:ascii="Times New Roman" w:cs="Times New Roman" w:eastAsia="Times New Roman" w:hAnsi="Times New Roman"/>
          <w:sz w:val="17"/>
          <w:szCs w:val="17"/>
          <w:color w:val="auto"/>
        </w:rPr>
        <w:t>. Time is of the essence with regard to all duties and time periods set forth in this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8.05.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Except as otherwise expressly provided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will pay its own costs and expenses incurred in connection with the negotiation, execution and performance of this Agreement.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8.06. </w:t>
      </w:r>
      <w:r>
        <w:rPr>
          <w:rFonts w:ascii="Times New Roman" w:cs="Times New Roman" w:eastAsia="Times New Roman" w:hAnsi="Times New Roman"/>
          <w:sz w:val="18"/>
          <w:szCs w:val="18"/>
          <w:b w:val="1"/>
          <w:bCs w:val="1"/>
          <w:i w:val="1"/>
          <w:iCs w:val="1"/>
          <w:color w:val="auto"/>
        </w:rPr>
        <w:t>Confidentiality; Disclosures</w:t>
      </w:r>
      <w:r>
        <w:rPr>
          <w:rFonts w:ascii="Times New Roman" w:cs="Times New Roman" w:eastAsia="Times New Roman" w:hAnsi="Times New Roman"/>
          <w:sz w:val="18"/>
          <w:szCs w:val="18"/>
          <w:color w:val="auto"/>
        </w:rPr>
        <w:t>. This Agreement is confidential, and neither Party shall disclose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8.07.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waiver shall be effective unless set forth in a written instrument duly executed by or on behalf of the Party waiving such term or condition and delivered pursuant to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8.08.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This Agreement may be amended, supplemented or modified only by a written instrument duly executed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8.09. </w:t>
      </w:r>
      <w:r>
        <w:rPr>
          <w:rFonts w:ascii="Times New Roman" w:cs="Times New Roman" w:eastAsia="Times New Roman" w:hAnsi="Times New Roman"/>
          <w:sz w:val="18"/>
          <w:szCs w:val="18"/>
          <w:b w:val="1"/>
          <w:bCs w:val="1"/>
          <w:i w:val="1"/>
          <w:iCs w:val="1"/>
          <w:color w:val="auto"/>
        </w:rPr>
        <w:t>No Third Party Beneficiary</w:t>
      </w:r>
      <w:r>
        <w:rPr>
          <w:rFonts w:ascii="Times New Roman" w:cs="Times New Roman" w:eastAsia="Times New Roman" w:hAnsi="Times New Roman"/>
          <w:sz w:val="18"/>
          <w:szCs w:val="18"/>
          <w:color w:val="auto"/>
        </w:rPr>
        <w:t>. The terms and provisions of this Agreement are intended solely for the benefit of each Party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8.10. Assignment</w:t>
      </w:r>
      <w:r>
        <w:rPr>
          <w:rFonts w:ascii="Times New Roman" w:cs="Times New Roman" w:eastAsia="Times New Roman" w:hAnsi="Times New Roman"/>
          <w:sz w:val="18"/>
          <w:szCs w:val="18"/>
          <w:color w:val="auto"/>
        </w:rPr>
        <w:t>. The obligations of the Parties under this Agreement are not assignable without the prior written consent of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Party may withhold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 may assign this Agreement, including the right to acquire the Acquired Interests, without the prior written consent of Seller,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Affiliate of Purchaser,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financial institution providing purchase money or other financing to Purchaser from time to time as collateral security for such financing, in each case so long as Purchaser remains fully liable for its obligations under this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8.11. 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or obligations of any Party under this Agreement shall not be materially and adversely affected thereby: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such provision shall be fully severable;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this Agreement shall be construed and enforced as if such illegal, invalid or unenforceable provision had never comprised a part hereof;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remaining provisions of this Agreement shall remain in full force and effect and shall not be affected by the illegal, invalid or unenforceable provision or by its severance here from.</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8.12. Governing Law</w:t>
      </w:r>
      <w:r>
        <w:rPr>
          <w:rFonts w:ascii="Times New Roman" w:cs="Times New Roman" w:eastAsia="Times New Roman" w:hAnsi="Times New Roman"/>
          <w:sz w:val="18"/>
          <w:szCs w:val="18"/>
          <w:color w:val="auto"/>
        </w:rPr>
        <w:t>. THIS AGREEMENT AND ALL DISPUTES AND CONTROVERSIES ARISING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ALL RESPECTS IN ACCORDANCE WITH THE LAWS OF THE STATE OF NEW YORK WITHOUT GIVING EFFECT TO THE CONFLICTS OF LAWS PRINCIPLES THEREOF EXCEPT FOR SECTIONS 5-1401 AND 5-1402 OF THE NEW YORK GENERAL OBLIGATIONS LAW.</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7"/>
          <w:szCs w:val="17"/>
          <w:b w:val="1"/>
          <w:bCs w:val="1"/>
          <w:i w:val="1"/>
          <w:iCs w:val="1"/>
          <w:color w:val="auto"/>
        </w:rPr>
        <w:t>Consent to Jurisdiction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33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88"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and unconditionally waives, to the fullest extent it may legally and effectively do so:</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61"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an inconvenient forum to the maintenance of such Action or Proceeding in any such court.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irrevocably consents to service of process by registered mail, return receipt requested, as provided in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Nothing in this Agreement will affect the right of any Party hereto to serve process in any other manner permitted by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TO THE FULLEST EXTENT PERMITTED BY LAW, EACH PARTY HEREBY WAIVES ALL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TRIAL BY JURY IN ANY LEGAL ACTION TO ENFORCE OR INTERPRET THE PROVISIONS OF THIS AGREEMENT OR THAT OTHERWISE RELATES TO THIS AGREEMENT.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8.15. </w:t>
      </w:r>
      <w:r>
        <w:rPr>
          <w:rFonts w:ascii="Times New Roman" w:cs="Times New Roman" w:eastAsia="Times New Roman" w:hAnsi="Times New Roman"/>
          <w:sz w:val="18"/>
          <w:szCs w:val="18"/>
          <w:b w:val="1"/>
          <w:bCs w:val="1"/>
          <w:i w:val="1"/>
          <w:iCs w:val="1"/>
          <w:color w:val="auto"/>
        </w:rPr>
        <w:t>Limitation on Certain Damages</w:t>
      </w:r>
      <w:r>
        <w:rPr>
          <w:rFonts w:ascii="Times New Roman" w:cs="Times New Roman" w:eastAsia="Times New Roman" w:hAnsi="Times New Roman"/>
          <w:sz w:val="18"/>
          <w:szCs w:val="18"/>
          <w:color w:val="auto"/>
        </w:rPr>
        <w:t>. NOTWITHSTANDING ANYTHING IN THIS AGREEMENT TO THE CONTRARY, NO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LIABLE TO ANY OTHER PARTY FOR ANY CONSEQUENTIAL, SPECIAL, INDIRECT, SPECULATIVE, EXEMPLARY, OR PUNITIVE DAMAGES (COLLECTIVELY, “</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LOSSES ARISING OUT OF THIRD PARTY CLAIMS FOR WHICH A PARTY IS ENTITLED TO 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SHALL NOT CONSTITUTE CONSEQUENTIAL DAMAGES. FOR THE AVOIDANCE OF DOUBT, AN ACTION FOR THE PAYMENT OF THE PURCHASE PRICE SHALL NOT BE CONSIDERED CONSEQUENTIAL DAMAGES.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8.16. </w:t>
      </w:r>
      <w:r>
        <w:rPr>
          <w:rFonts w:ascii="Times New Roman" w:cs="Times New Roman" w:eastAsia="Times New Roman" w:hAnsi="Times New Roman"/>
          <w:sz w:val="18"/>
          <w:szCs w:val="18"/>
          <w:b w:val="1"/>
          <w:bCs w:val="1"/>
          <w:i w:val="1"/>
          <w:iCs w:val="1"/>
          <w:color w:val="auto"/>
        </w:rPr>
        <w:t>Disclosures</w:t>
      </w:r>
      <w:r>
        <w:rPr>
          <w:rFonts w:ascii="Times New Roman" w:cs="Times New Roman" w:eastAsia="Times New Roman" w:hAnsi="Times New Roman"/>
          <w:sz w:val="18"/>
          <w:szCs w:val="18"/>
          <w:color w:val="auto"/>
        </w:rPr>
        <w:t>. Seller or Purchaser may, at its option, include in the Disclosure Schedules items that are not material in order to avoid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8.17. </w:t>
      </w:r>
      <w:r>
        <w:rPr>
          <w:rFonts w:ascii="Times New Roman" w:cs="Times New Roman" w:eastAsia="Times New Roman" w:hAnsi="Times New Roman"/>
          <w:sz w:val="18"/>
          <w:szCs w:val="18"/>
          <w:b w:val="1"/>
          <w:bCs w:val="1"/>
          <w:i w:val="1"/>
          <w:iCs w:val="1"/>
          <w:color w:val="auto"/>
        </w:rPr>
        <w:t>PDF Signature; 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by PDF signature in any number of counterparts, each of which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an original, but all of which together will constitute one and the same instrument.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Membership Interest Purchase Agreement to be executed and delivered by their duly authorized officers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VP-ARICA CE SELLER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[Lorax – CWEN MIPSA]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VP-ARICA PARENT HOLDCO LLC,</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52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Christopher Sotos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Lorax – CWEN MIPSA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lvl w:ilvl="1">
      <w:lvlJc w:val="left"/>
      <w:lvlText w:val="☐"/>
      <w:numFmt w:val="bullet"/>
      <w:start w:val="1"/>
    </w:lvl>
  </w:abstractNum>
  <w:abstractNum w:abstractNumId="1">
    <w:nsid w:val="419AC241"/>
    <w:multiLevelType w:val="hybridMultilevel"/>
    <w:lvl w:ilvl="0">
      <w:lvlJc w:val="left"/>
      <w:lvlText w:val="(%1)"/>
      <w:numFmt w:val="lowerLetter"/>
      <w:start w:val="4"/>
    </w:lvl>
  </w:abstractNum>
  <w:abstractNum w:abstractNumId="2">
    <w:nsid w:val="5577F8E1"/>
    <w:multiLevelType w:val="hybridMultilevel"/>
    <w:lvl w:ilvl="0">
      <w:lvlJc w:val="left"/>
      <w:lvlText w:val="%1"/>
      <w:numFmt w:val="decimal"/>
      <w:start w:val="104"/>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lowerRoman"/>
      <w:start w:val="1"/>
    </w:lvl>
  </w:abstractNum>
  <w:abstractNum w:abstractNumId="6">
    <w:nsid w:val="77465F01"/>
    <w:multiLevelType w:val="hybridMultilevel"/>
    <w:lvl w:ilvl="0">
      <w:lvlJc w:val="left"/>
      <w:lvlText w:val="(%1)"/>
      <w:numFmt w:val="lowerLetter"/>
      <w:start w:val="5"/>
    </w:lvl>
  </w:abstractNum>
  <w:abstractNum w:abstractNumId="7">
    <w:nsid w:val="7724C67E"/>
    <w:multiLevelType w:val="hybridMultilevel"/>
    <w:lvl w:ilvl="0">
      <w:lvlJc w:val="left"/>
      <w:lvlText w:val="(%1)"/>
      <w:numFmt w:val="lowerLetter"/>
      <w:start w:val="6"/>
    </w:lvl>
  </w:abstractNum>
  <w:abstractNum w:abstractNumId="8">
    <w:nsid w:val="5C482A97"/>
    <w:multiLevelType w:val="hybridMultilevel"/>
    <w:lvl w:ilvl="0">
      <w:lvlJc w:val="left"/>
      <w:lvlText w:val="(%1)"/>
      <w:numFmt w:val="lowerLetter"/>
      <w:start w:val="1"/>
    </w:lvl>
  </w:abstractNum>
  <w:abstractNum w:abstractNumId="9">
    <w:nsid w:val="2463B9EA"/>
    <w:multiLevelType w:val="hybridMultilevel"/>
    <w:lvl w:ilvl="0">
      <w:lvlJc w:val="left"/>
      <w:lvlText w:val="(%1)"/>
      <w:numFmt w:val="lowerLetter"/>
      <w:start w:val="8"/>
    </w:lvl>
  </w:abstractNum>
  <w:abstractNum w:abstractNumId="10">
    <w:nsid w:val="5E884ADC"/>
    <w:multiLevelType w:val="hybridMultilevel"/>
    <w:lvl w:ilvl="0">
      <w:lvlJc w:val="left"/>
      <w:lvlText w:val="(%1)"/>
      <w:numFmt w:val="lowerLetter"/>
      <w:start w:val="1"/>
    </w:lvl>
  </w:abstractNum>
  <w:abstractNum w:abstractNumId="11">
    <w:nsid w:val="51EAD36B"/>
    <w:multiLevelType w:val="hybridMultilevel"/>
    <w:lvl w:ilvl="0">
      <w:lvlJc w:val="left"/>
      <w:lvlText w:val="(%1)"/>
      <w:numFmt w:val="lowerLetter"/>
      <w:start w:val="4"/>
    </w:lvl>
  </w:abstractNum>
  <w:abstractNum w:abstractNumId="12">
    <w:nsid w:val="2D517796"/>
    <w:multiLevelType w:val="hybridMultilevel"/>
    <w:lvl w:ilvl="0">
      <w:lvlJc w:val="left"/>
      <w:lvlText w:val="(%1)"/>
      <w:numFmt w:val="lowerLetter"/>
      <w:start w:val="1"/>
    </w:lvl>
  </w:abstractNum>
  <w:abstractNum w:abstractNumId="13">
    <w:nsid w:val="580BD78F"/>
    <w:multiLevelType w:val="hybridMultilevel"/>
    <w:lvl w:ilvl="0">
      <w:lvlJc w:val="left"/>
      <w:lvlText w:val="(%1)"/>
      <w:numFmt w:val="lowerLetter"/>
      <w:start w:val="1"/>
    </w:lvl>
  </w:abstractNum>
  <w:abstractNum w:abstractNumId="14">
    <w:nsid w:val="153EA438"/>
    <w:multiLevelType w:val="hybridMultilevel"/>
    <w:lvl w:ilvl="0">
      <w:lvlJc w:val="left"/>
      <w:lvlText w:val="(%1)"/>
      <w:numFmt w:val="lowerLetter"/>
      <w:start w:val="1"/>
    </w:lvl>
    <w:lvl w:ilvl="1">
      <w:lvlJc w:val="left"/>
      <w:lvlText w:val="(%2)"/>
      <w:numFmt w:val="lowerRoman"/>
      <w:start w:val="1"/>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lowerLetter"/>
      <w:start w:val="2"/>
    </w:lvl>
  </w:abstractNum>
  <w:abstractNum w:abstractNumId="17">
    <w:nsid w:val="6A2342EC"/>
    <w:multiLevelType w:val="hybridMultilevel"/>
    <w:lvl w:ilvl="0">
      <w:lvlJc w:val="left"/>
      <w:lvlText w:val="(%1)"/>
      <w:numFmt w:val="lowerLetter"/>
      <w:start w:val="1"/>
    </w:lvl>
  </w:abstractNum>
  <w:abstractNum w:abstractNumId="18">
    <w:nsid w:val="2A487CB0"/>
    <w:multiLevelType w:val="hybridMultilevel"/>
    <w:lvl w:ilvl="0">
      <w:lvlJc w:val="left"/>
      <w:lvlText w:val="%1"/>
      <w:numFmt w:val="lowerLetter"/>
      <w:start w:val="1"/>
    </w:lvl>
    <w:lvl w:ilvl="1">
      <w:lvlJc w:val="left"/>
      <w:lvlText w:val="(%2)"/>
      <w:numFmt w:val="lowerLetter"/>
      <w:start w:val="1"/>
    </w:lvl>
  </w:abstractNum>
  <w:abstractNum w:abstractNumId="19">
    <w:nsid w:val="1D4ED43B"/>
    <w:multiLevelType w:val="hybridMultilevel"/>
    <w:lvl w:ilvl="0">
      <w:lvlJc w:val="left"/>
      <w:lvlText w:val="(%1)"/>
      <w:numFmt w:val="lowerLetter"/>
      <w:start w:val="35"/>
    </w:lvl>
    <w:lvl w:ilvl="1">
      <w:lvlJc w:val="left"/>
      <w:lvlText w:val="(%2)"/>
      <w:numFmt w:val="lowerLetter"/>
      <w:start w:val="4"/>
    </w:lvl>
  </w:abstractNum>
  <w:abstractNum w:abstractNumId="20">
    <w:nsid w:val="725A06FB"/>
    <w:multiLevelType w:val="hybridMultilevel"/>
    <w:lvl w:ilvl="0">
      <w:lvlJc w:val="left"/>
      <w:lvlText w:val="(%1)"/>
      <w:numFmt w:val="lowerLetter"/>
      <w:start w:val="1"/>
    </w:lvl>
  </w:abstractNum>
  <w:abstractNum w:abstractNumId="21">
    <w:nsid w:val="2CD89A32"/>
    <w:multiLevelType w:val="hybridMultilevel"/>
    <w:lvl w:ilvl="0">
      <w:lvlJc w:val="left"/>
      <w:lvlText w:val="(%1)"/>
      <w:numFmt w:val="lowerLetter"/>
      <w:start w:val="5"/>
    </w:lvl>
    <w:lvl w:ilvl="1">
      <w:lvlJc w:val="left"/>
      <w:lvlText w:val="(%2)"/>
      <w:numFmt w:val="lowerRoman"/>
      <w:start w:val="1"/>
    </w:lvl>
  </w:abstractNum>
  <w:abstractNum w:abstractNumId="22">
    <w:nsid w:val="57E4CCAF"/>
    <w:multiLevelType w:val="hybridMultilevel"/>
    <w:lvl w:ilvl="0">
      <w:lvlJc w:val="left"/>
      <w:lvlText w:val="%1"/>
      <w:numFmt w:val="lowerLetter"/>
      <w:start w:val="1"/>
    </w:lvl>
    <w:lvl w:ilvl="1">
      <w:lvlJc w:val="left"/>
      <w:lvlText w:val="(%2)"/>
      <w:numFmt w:val="lowerRoman"/>
      <w:start w:val="3"/>
    </w:lvl>
  </w:abstractNum>
  <w:abstractNum w:abstractNumId="23">
    <w:nsid w:val="7A6D8D3C"/>
    <w:multiLevelType w:val="hybridMultilevel"/>
    <w:lvl w:ilvl="0">
      <w:lvlJc w:val="left"/>
      <w:lvlText w:val="(%1)"/>
      <w:numFmt w:val="lowerLetter"/>
      <w:start w:val="10"/>
    </w:lvl>
    <w:lvl w:ilvl="1">
      <w:lvlJc w:val="left"/>
      <w:lvlText w:val="(%2)"/>
      <w:numFmt w:val="lowerRoman"/>
      <w:start w:val="1"/>
    </w:lvl>
  </w:abstractNum>
  <w:abstractNum w:abstractNumId="24">
    <w:nsid w:val="4B588F54"/>
    <w:multiLevelType w:val="hybridMultilevel"/>
    <w:lvl w:ilvl="0">
      <w:lvlJc w:val="left"/>
      <w:lvlText w:val="%1"/>
      <w:numFmt w:val="lowerLetter"/>
      <w:start w:val="1"/>
    </w:lvl>
    <w:lvl w:ilvl="1">
      <w:lvlJc w:val="left"/>
      <w:lvlText w:val="(%2)"/>
      <w:numFmt w:val="lowerLetter"/>
      <w:start w:val="35"/>
    </w:lvl>
  </w:abstractNum>
  <w:abstractNum w:abstractNumId="25">
    <w:nsid w:val="542289EC"/>
    <w:multiLevelType w:val="hybridMultilevel"/>
    <w:lvl w:ilvl="0">
      <w:lvlJc w:val="left"/>
      <w:lvlText w:val="(%1)"/>
      <w:numFmt w:val="lowerLetter"/>
      <w:start w:val="11"/>
    </w:lvl>
    <w:lvl w:ilvl="1">
      <w:lvlJc w:val="left"/>
      <w:lvlText w:val="(%2)"/>
      <w:numFmt w:val="lowerLetter"/>
      <w:start w:val="9"/>
    </w:lvl>
  </w:abstractNum>
  <w:abstractNum w:abstractNumId="26">
    <w:nsid w:val="6DE91B18"/>
    <w:multiLevelType w:val="hybridMultilevel"/>
    <w:lvl w:ilvl="0">
      <w:lvlJc w:val="left"/>
      <w:lvlText w:val="(%1)"/>
      <w:numFmt w:val="lowerRoman"/>
      <w:start w:val="2"/>
    </w:lvl>
  </w:abstractNum>
  <w:abstractNum w:abstractNumId="27">
    <w:nsid w:val="38437FDB"/>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28">
    <w:nsid w:val="7644A45C"/>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29">
    <w:nsid w:val="32FFF902"/>
    <w:multiLevelType w:val="hybridMultilevel"/>
    <w:lvl w:ilvl="0">
      <w:lvlJc w:val="left"/>
      <w:lvlText w:val="%1"/>
      <w:numFmt w:val="lowerLetter"/>
      <w:start w:val="1"/>
    </w:lvl>
    <w:lvl w:ilvl="1">
      <w:lvlJc w:val="left"/>
      <w:lvlText w:val="(%2)"/>
      <w:numFmt w:val="lowerRoman"/>
      <w:start w:val="4"/>
    </w:lvl>
  </w:abstractNum>
  <w:abstractNum w:abstractNumId="30">
    <w:nsid w:val="684A481A"/>
    <w:multiLevelType w:val="hybridMultilevel"/>
    <w:lvl w:ilvl="0">
      <w:lvlJc w:val="left"/>
      <w:lvlText w:val="(%1)"/>
      <w:numFmt w:val="lowerLetter"/>
      <w:start w:val="14"/>
    </w:lvl>
    <w:lvl w:ilvl="1">
      <w:lvlJc w:val="left"/>
      <w:lvlText w:val="(%2)"/>
      <w:numFmt w:val="lowerRoman"/>
      <w:start w:val="1"/>
    </w:lvl>
  </w:abstractNum>
  <w:abstractNum w:abstractNumId="31">
    <w:nsid w:val="579478FE"/>
    <w:multiLevelType w:val="hybridMultilevel"/>
    <w:lvl w:ilvl="0">
      <w:lvlJc w:val="left"/>
      <w:lvlText w:val="(%1)"/>
      <w:numFmt w:val="lowerLetter"/>
      <w:start w:val="16"/>
    </w:lvl>
    <w:lvl w:ilvl="1">
      <w:lvlJc w:val="left"/>
      <w:lvlText w:val="(%2)"/>
      <w:numFmt w:val="lowerRoman"/>
      <w:start w:val="1"/>
    </w:lvl>
  </w:abstractNum>
  <w:abstractNum w:abstractNumId="32">
    <w:nsid w:val="749ABB43"/>
    <w:multiLevelType w:val="hybridMultilevel"/>
    <w:lvl w:ilvl="0">
      <w:lvlJc w:val="left"/>
      <w:lvlText w:val="%1"/>
      <w:numFmt w:val="lowerLetter"/>
      <w:start w:val="1"/>
    </w:lvl>
    <w:lvl w:ilvl="1">
      <w:lvlJc w:val="left"/>
      <w:lvlText w:val="(%2)"/>
      <w:numFmt w:val="lowerLetter"/>
      <w:start w:val="61"/>
    </w:lvl>
  </w:abstractNum>
  <w:abstractNum w:abstractNumId="33">
    <w:nsid w:val="3DC240FB"/>
    <w:multiLevelType w:val="hybridMultilevel"/>
    <w:lvl w:ilvl="0">
      <w:lvlJc w:val="left"/>
      <w:lvlText w:val="(%1)"/>
      <w:numFmt w:val="lowerLetter"/>
      <w:start w:val="18"/>
    </w:lvl>
    <w:lvl w:ilvl="1">
      <w:lvlJc w:val="left"/>
      <w:lvlText w:val="(%2)"/>
      <w:numFmt w:val="lowerLetter"/>
      <w:start w:val="9"/>
    </w:lvl>
  </w:abstractNum>
  <w:abstractNum w:abstractNumId="34">
    <w:nsid w:val="1BA026FA"/>
    <w:multiLevelType w:val="hybridMultilevel"/>
    <w:lvl w:ilvl="0">
      <w:lvlJc w:val="left"/>
      <w:lvlText w:val="%1"/>
      <w:numFmt w:val="lowerLetter"/>
      <w:start w:val="1"/>
    </w:lvl>
    <w:lvl w:ilvl="1">
      <w:lvlJc w:val="left"/>
      <w:lvlText w:val="(%2)"/>
      <w:numFmt w:val="lowerRoman"/>
      <w:start w:val="2"/>
    </w:lvl>
  </w:abstractNum>
  <w:abstractNum w:abstractNumId="35">
    <w:nsid w:val="79A1DEAA"/>
    <w:multiLevelType w:val="hybridMultilevel"/>
    <w:lvl w:ilvl="0">
      <w:lvlJc w:val="left"/>
      <w:lvlText w:val="(%1)"/>
      <w:numFmt w:val="lowerLetter"/>
      <w:start w:val="20"/>
    </w:lvl>
    <w:lvl w:ilvl="1">
      <w:lvlJc w:val="left"/>
      <w:lvlText w:val="%2"/>
      <w:numFmt w:val="lowerRoman"/>
      <w:start w:val="1"/>
    </w:lvl>
  </w:abstractNum>
  <w:abstractNum w:abstractNumId="36">
    <w:nsid w:val="75C6C33A"/>
    <w:multiLevelType w:val="hybridMultilevel"/>
    <w:lvl w:ilvl="0">
      <w:lvlJc w:val="left"/>
      <w:lvlText w:val="(%1)"/>
      <w:numFmt w:val="lowerLetter"/>
      <w:start w:val="21"/>
    </w:lvl>
    <w:lvl w:ilvl="1">
      <w:lvlJc w:val="left"/>
      <w:lvlText w:val="(%2)"/>
      <w:numFmt w:val="lowerRoman"/>
      <w:start w:val="1"/>
    </w:lvl>
  </w:abstractNum>
  <w:abstractNum w:abstractNumId="37">
    <w:nsid w:val="12E685FB"/>
    <w:multiLevelType w:val="hybridMultilevel"/>
    <w:lvl w:ilvl="0">
      <w:lvlJc w:val="left"/>
      <w:lvlText w:val="%1"/>
      <w:numFmt w:val="lowerLetter"/>
      <w:start w:val="1"/>
    </w:lvl>
    <w:lvl w:ilvl="1">
      <w:lvlJc w:val="left"/>
      <w:lvlText w:val="(%2)"/>
      <w:numFmt w:val="lowerRoman"/>
      <w:start w:val="7"/>
    </w:lvl>
  </w:abstractNum>
  <w:abstractNum w:abstractNumId="38">
    <w:nsid w:val="70C6A529"/>
    <w:multiLevelType w:val="hybridMultilevel"/>
    <w:lvl w:ilvl="0">
      <w:lvlJc w:val="left"/>
      <w:lvlText w:val="(%1)"/>
      <w:numFmt w:val="lowerLetter"/>
      <w:start w:val="23"/>
    </w:lvl>
    <w:lvl w:ilvl="1">
      <w:lvlJc w:val="left"/>
      <w:lvlText w:val="(%2)"/>
      <w:numFmt w:val="lowerRoman"/>
      <w:start w:val="1"/>
    </w:lvl>
  </w:abstractNum>
  <w:abstractNum w:abstractNumId="39">
    <w:nsid w:val="520EEDD1"/>
    <w:multiLevelType w:val="hybridMultilevel"/>
    <w:lvl w:ilvl="0">
      <w:lvlJc w:val="left"/>
      <w:lvlText w:val="(%1)"/>
      <w:numFmt w:val="lowerLetter"/>
      <w:start w:val="26"/>
    </w:lvl>
  </w:abstractNum>
  <w:abstractNum w:abstractNumId="40">
    <w:nsid w:val="374A3FE6"/>
    <w:multiLevelType w:val="hybridMultilevel"/>
    <w:lvl w:ilvl="0">
      <w:lvlJc w:val="left"/>
      <w:lvlText w:val="(%1)"/>
      <w:numFmt w:val="lowerLetter"/>
      <w:start w:val="27"/>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lowerLetter"/>
      <w:start w:val="3"/>
    </w:lvl>
  </w:abstractNum>
  <w:abstractNum w:abstractNumId="43">
    <w:nsid w:val="649BB77C"/>
    <w:multiLevelType w:val="hybridMultilevel"/>
    <w:lvl w:ilvl="0">
      <w:lvlJc w:val="left"/>
      <w:lvlText w:val="(%1)"/>
      <w:numFmt w:val="lowerLetter"/>
      <w:start w:val="10"/>
    </w:lvl>
  </w:abstractNum>
  <w:abstractNum w:abstractNumId="44">
    <w:nsid w:val="275AC794"/>
    <w:multiLevelType w:val="hybridMultilevel"/>
    <w:lvl w:ilvl="0">
      <w:lvlJc w:val="left"/>
      <w:lvlText w:val="(%1)"/>
      <w:numFmt w:val="lowerLetter"/>
      <w:start w:val="1"/>
    </w:lvl>
  </w:abstractNum>
  <w:abstractNum w:abstractNumId="45">
    <w:nsid w:val="39386575"/>
    <w:multiLevelType w:val="hybridMultilevel"/>
    <w:lvl w:ilvl="0">
      <w:lvlJc w:val="left"/>
      <w:lvlText w:val="(%1)"/>
      <w:numFmt w:val="lowerLetter"/>
      <w:start w:val="1"/>
    </w:lvl>
  </w:abstractNum>
  <w:abstractNum w:abstractNumId="46">
    <w:nsid w:val="1CF10FD8"/>
    <w:multiLevelType w:val="hybridMultilevel"/>
    <w:lvl w:ilvl="0">
      <w:lvlJc w:val="left"/>
      <w:lvlText w:val="(%1)"/>
      <w:numFmt w:val="lowerLetter"/>
      <w:start w:val="2"/>
    </w:lvl>
  </w:abstractNum>
  <w:abstractNum w:abstractNumId="47">
    <w:nsid w:val="180115BE"/>
    <w:multiLevelType w:val="hybridMultilevel"/>
    <w:lvl w:ilvl="0">
      <w:lvlJc w:val="left"/>
      <w:lvlText w:val="%1"/>
      <w:numFmt w:val="lowerLetter"/>
      <w:start w:val="1"/>
    </w:lvl>
    <w:lvl w:ilvl="1">
      <w:lvlJc w:val="left"/>
      <w:lvlText w:val="(%2)"/>
      <w:numFmt w:val="lowerLetter"/>
      <w:start w:val="1"/>
    </w:lvl>
  </w:abstractNum>
  <w:abstractNum w:abstractNumId="48">
    <w:nsid w:val="235BA861"/>
    <w:multiLevelType w:val="hybridMultilevel"/>
    <w:lvl w:ilvl="0">
      <w:lvlJc w:val="left"/>
      <w:lvlText w:val="(%1)"/>
      <w:numFmt w:val="lowerLetter"/>
      <w:start w:val="35"/>
    </w:lvl>
    <w:lvl w:ilvl="1">
      <w:lvlJc w:val="left"/>
      <w:lvlText w:val="(%2)"/>
      <w:numFmt w:val="lowerLetter"/>
      <w:start w:val="2"/>
    </w:lvl>
  </w:abstractNum>
  <w:abstractNum w:abstractNumId="49">
    <w:nsid w:val="47398C89"/>
    <w:multiLevelType w:val="hybridMultilevel"/>
    <w:lvl w:ilvl="0">
      <w:lvlJc w:val="left"/>
      <w:lvlText w:val="(%1)"/>
      <w:numFmt w:val="decimal"/>
      <w:start w:val="10"/>
    </w:lvl>
  </w:abstractNum>
  <w:abstractNum w:abstractNumId="50">
    <w:nsid w:val="354FE9F9"/>
    <w:multiLevelType w:val="hybridMultilevel"/>
    <w:lvl w:ilvl="0">
      <w:lvlJc w:val="left"/>
      <w:lvlText w:val="(%1)"/>
      <w:numFmt w:val="decimal"/>
      <w:start w:val="10"/>
    </w:lvl>
  </w:abstractNum>
  <w:abstractNum w:abstractNumId="51">
    <w:nsid w:val="15B5AF5C"/>
    <w:multiLevelType w:val="hybridMultilevel"/>
    <w:lvl w:ilvl="0">
      <w:lvlJc w:val="left"/>
      <w:lvlText w:val="(%1)"/>
      <w:numFmt w:val="lowerLetter"/>
      <w:start w:val="1"/>
    </w:lvl>
    <w:lvl w:ilvl="1">
      <w:lvlJc w:val="left"/>
      <w:lvlText w:val="(%2)"/>
      <w:numFmt w:val="upperLetter"/>
      <w:start w:val="1"/>
    </w:lvl>
  </w:abstractNum>
  <w:abstractNum w:abstractNumId="52">
    <w:nsid w:val="741226BB"/>
    <w:multiLevelType w:val="hybridMultilevel"/>
    <w:lvl w:ilvl="0">
      <w:lvlJc w:val="left"/>
      <w:lvlText w:val="(%1)"/>
      <w:numFmt w:val="upperLetter"/>
      <w:start w:val="6"/>
    </w:lvl>
  </w:abstractNum>
  <w:abstractNum w:abstractNumId="53">
    <w:nsid w:val="D34B6A8"/>
    <w:multiLevelType w:val="hybridMultilevel"/>
    <w:lvl w:ilvl="0">
      <w:lvlJc w:val="left"/>
      <w:lvlText w:val="(%1)"/>
      <w:numFmt w:val="upperLetter"/>
      <w:start w:val="17"/>
    </w:lvl>
  </w:abstractNum>
  <w:abstractNum w:abstractNumId="54">
    <w:nsid w:val="10233C99"/>
    <w:multiLevelType w:val="hybridMultilevel"/>
    <w:lvl w:ilvl="0">
      <w:lvlJc w:val="left"/>
      <w:lvlText w:val="(%1)"/>
      <w:numFmt w:val="lowerLetter"/>
      <w:start w:val="3"/>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lowerLetter"/>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lowerLetter"/>
      <w:start w:val="1"/>
    </w:lvl>
    <w:lvl w:ilvl="1">
      <w:lvlJc w:val="left"/>
      <w:lvlText w:val="(%2)"/>
      <w:numFmt w:val="lowerLetter"/>
      <w:start w:val="1"/>
    </w:lvl>
  </w:abstractNum>
  <w:abstractNum w:abstractNumId="59">
    <w:nsid w:val="579BE4F1"/>
    <w:multiLevelType w:val="hybridMultilevel"/>
    <w:lvl w:ilvl="0">
      <w:lvlJc w:val="left"/>
      <w:lvlText w:val="(%1)"/>
      <w:numFmt w:val="lowerLetter"/>
      <w:start w:val="61"/>
    </w:lvl>
    <w:lvl w:ilvl="1">
      <w:lvlJc w:val="left"/>
      <w:lvlText w:val="%2"/>
      <w:numFmt w:val="lowerLetter"/>
      <w:start w:val="1"/>
    </w:lvl>
  </w:abstractNum>
  <w:abstractNum w:abstractNumId="60">
    <w:nsid w:val="310C50B3"/>
    <w:multiLevelType w:val="hybridMultilevel"/>
    <w:lvl w:ilvl="0">
      <w:lvlJc w:val="left"/>
      <w:lvlText w:val="(%1)"/>
      <w:numFmt w:val="lowerLetter"/>
      <w:start w:val="2"/>
    </w:lvl>
  </w:abstractNum>
  <w:abstractNum w:abstractNumId="61">
    <w:nsid w:val="5FF87E05"/>
    <w:multiLevelType w:val="hybridMultilevel"/>
    <w:lvl w:ilvl="0">
      <w:lvlJc w:val="left"/>
      <w:lvlText w:val="(%1)"/>
      <w:numFmt w:val="lowerLetter"/>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lowerLetter"/>
      <w:start w:val="1"/>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lowerLetter"/>
      <w:start w:val="1"/>
    </w:lvl>
  </w:abstractNum>
  <w:abstractNum w:abstractNumId="66">
    <w:nsid w:val="1F48EAA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2022-12-29T15:19:33Z</dcterms:created>
  <dcterms:modified xsi:type="dcterms:W3CDTF">2022-12-29T15:19:33Z</dcterms:modified>
</cp:coreProperties>
</file>