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119"/>
              <w:spacing w:after="0"/>
              <w:rPr>
                <w:sz w:val="20"/>
                <w:szCs w:val="20"/>
                <w:color w:val="auto"/>
              </w:rPr>
            </w:pPr>
            <w:r>
              <w:rPr>
                <w:rFonts w:ascii="Arial" w:cs="Arial" w:eastAsia="Arial" w:hAnsi="Arial"/>
                <w:sz w:val="18"/>
                <w:szCs w:val="18"/>
                <w:color w:val="0000FF"/>
              </w:rPr>
              <w:t>01/04/2019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vMerge w:val="restart"/>
          </w:tcPr>
          <w:p>
            <w:pPr>
              <w:ind w:left="200"/>
              <w:spacing w:after="0"/>
              <w:rPr>
                <w:sz w:val="20"/>
                <w:szCs w:val="20"/>
                <w:color w:val="auto"/>
              </w:rPr>
            </w:pPr>
            <w:r>
              <w:rPr>
                <w:rFonts w:ascii="Arial" w:cs="Arial" w:eastAsia="Arial" w:hAnsi="Arial"/>
                <w:sz w:val="14"/>
                <w:szCs w:val="14"/>
                <w:color w:val="0000FF"/>
              </w:rPr>
              <w:t>F</w:t>
            </w:r>
          </w:p>
        </w:tc>
        <w:tc>
          <w:tcPr>
            <w:tcW w:w="740" w:type="dxa"/>
            <w:vAlign w:val="bottom"/>
            <w:vMerge w:val="restart"/>
          </w:tcPr>
          <w:p>
            <w:pPr>
              <w:ind w:left="260"/>
              <w:spacing w:after="0"/>
              <w:rPr>
                <w:sz w:val="20"/>
                <w:szCs w:val="20"/>
                <w:color w:val="auto"/>
              </w:rPr>
            </w:pPr>
            <w:r>
              <w:rPr>
                <w:rFonts w:ascii="Arial" w:cs="Arial" w:eastAsia="Arial" w:hAnsi="Arial"/>
                <w:sz w:val="18"/>
                <w:szCs w:val="18"/>
                <w:color w:val="0000FF"/>
                <w:w w:val="83"/>
              </w:rPr>
              <w:t>38,165</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125,406</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8, 2016, Mr. Sotos was issued 80,192 Restricted Stock Units ("RSUs") by Clearway Energy, Inc. (f/k/a NRG Yield, Inc.) under Clearway Energy Inc.'s Amended and Restated 2013 Equity Incentive Plan (the "LTIP"). These RSUs vest ratably over a three-year period beginning on January 2, 2017. Each RSU is equivalent in value to one share of Class C Common Stock of Clearway Energy Inc., par value $.01 per share. On January 4, 2019, 66,559 shares vested. Mr. Sotos elected to satisfy his tax obligation upon the exchange of common stock for RSUs having a value on the date of the exchange equal to the withholding obligation. This form reflects the surrender of 38,165 shares of Class C Common Stock to satisfy the grantee's tax withholding obligation.</w:t>
      </w:r>
    </w:p>
    <w:p>
      <w:pPr>
        <w:spacing w:after="0" w:line="8" w:lineRule="exact"/>
        <w:rPr>
          <w:rFonts w:ascii="Arial" w:cs="Arial" w:eastAsia="Arial" w:hAnsi="Arial"/>
          <w:sz w:val="12"/>
          <w:szCs w:val="12"/>
          <w:color w:val="008000"/>
        </w:rPr>
      </w:pPr>
    </w:p>
    <w:p>
      <w:pPr>
        <w:jc w:val="both"/>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11,524 DERs converted to Class C Common Stock, resulting in the reporting person holding 10,520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01/08/2019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2019-12-23T22:32:34Z</dcterms:created>
  <dcterms:modified xsi:type="dcterms:W3CDTF">2019-12-23T22:32:34Z</dcterms:modified>
</cp:coreProperties>
</file>