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4, 2018</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4"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84" w:orient="portrait"/>
          <w:cols w:equalWidth="0" w:num="3">
            <w:col w:w="4220" w:space="720"/>
            <w:col w:w="2700" w:space="720"/>
            <w:col w:w="3100"/>
          </w:cols>
          <w:pgMar w:left="240" w:top="544" w:right="199" w:bottom="0" w:gutter="0" w:footer="0" w:header="0"/>
          <w:type w:val="continuous"/>
        </w:sectPr>
      </w:pPr>
    </w:p>
    <w:p>
      <w:pPr>
        <w:spacing w:after="0" w:line="1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60" w:firstLine="648"/>
        <w:spacing w:after="0" w:line="290" w:lineRule="auto"/>
        <w:rPr>
          <w:sz w:val="20"/>
          <w:szCs w:val="20"/>
          <w:color w:val="auto"/>
        </w:rPr>
      </w:pPr>
      <w:r>
        <w:rPr>
          <w:rFonts w:ascii="Arial" w:cs="Arial" w:eastAsia="Arial" w:hAnsi="Arial"/>
          <w:sz w:val="16"/>
          <w:szCs w:val="16"/>
          <w:color w:val="auto"/>
        </w:rPr>
        <w:t>On May 4, 2018, in connection with the expiration of its universal shelf registration statement on Form S-3 (File No. 333-205140) that was filed with the Securities and Exchange Commission (the “SEC”) on June 22, 2015 (the “Expiring Registration Statement”), NRG Yield, Inc. (the “Company”) filed a new shelf registration statement (the “Registration Statement”) on Form S-3 (File No. 333-224684) which became effective upon filing with the SEC on May 4, 2018. In connection with the filing of the Registration Statement, on May 4, 2018, the Company filed with the SEC a prospectus supplement (the “Prospectus Supplement”) relating to the Company’s existing “at the market offering” program (the “ATM Program”) which was previously registered under the Expiring Registration Statement. The Prospectus Supplement covers the offering of shares of the Company’s Class C common stock in the aggregate amount of $99,309,116 that remain unsold under the ATM Program. A copy of the opinion of Ballard Spahr LLP, relating to the legality of the shares, is filed as Exhibit 5.1 to this Current Report on Form 8-K and is filed with reference to, and is hereby incorporated by reference into, the Registration Statement.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980" w:hanging="97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5"/>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Opinion of Ballard Spahr LLP</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Consent of Ballard Spahr LLP (included in Exhibit 5.1)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3980" w:type="dxa"/>
            <w:vAlign w:val="bottom"/>
            <w:tcBorders>
              <w:top w:val="single" w:sz="8" w:color="0000EE"/>
            </w:tcBorders>
            <w:gridSpan w:val="3"/>
          </w:tcPr>
          <w:p>
            <w:pPr>
              <w:spacing w:after="0"/>
              <w:rPr>
                <w:sz w:val="24"/>
                <w:szCs w:val="24"/>
                <w:color w:val="auto"/>
              </w:rPr>
            </w:pPr>
          </w:p>
        </w:tc>
        <w:tc>
          <w:tcPr>
            <w:tcW w:w="800" w:type="dxa"/>
            <w:vAlign w:val="bottom"/>
          </w:tcPr>
          <w:p>
            <w:pPr>
              <w:jc w:val="right"/>
              <w:ind w:right="459"/>
              <w:spacing w:after="0"/>
              <w:rPr>
                <w:sz w:val="20"/>
                <w:szCs w:val="20"/>
                <w:color w:val="auto"/>
              </w:rPr>
            </w:pPr>
            <w:r>
              <w:rPr>
                <w:rFonts w:ascii="Arial" w:cs="Arial" w:eastAsia="Arial" w:hAnsi="Arial"/>
                <w:sz w:val="18"/>
                <w:szCs w:val="18"/>
                <w:color w:val="auto"/>
              </w:rPr>
              <w:t>2</w:t>
            </w: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SIGNATURES</w:t>
            </w: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-507365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-507365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544" w:right="199" w:bottom="0" w:gutter="0" w:footer="0" w:header="0"/>
          <w:type w:val="continuous"/>
        </w:sectPr>
      </w:pPr>
    </w:p>
    <w:bookmarkStart w:id="1" w:name="page2"/>
    <w:bookmarkEnd w:id="1"/>
    <w:p>
      <w:pPr>
        <w:ind w:firstLine="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78330" cy="1560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833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NRG Yield,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NRG Yield,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have acted as counsel to NRG Yield,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a prospectus supplement, dated May 4,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relating to the offering by the Company of shares of the Company’s Class C common stock, par value $0.01 per share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having an aggregate gross sales price to the public of up to $99,309,116 (the “</w:t>
      </w:r>
      <w:r>
        <w:rPr>
          <w:rFonts w:ascii="Arial" w:cs="Arial" w:eastAsia="Arial" w:hAnsi="Arial"/>
          <w:sz w:val="17"/>
          <w:szCs w:val="17"/>
          <w:u w:val="single" w:color="auto"/>
          <w:color w:val="auto"/>
        </w:rPr>
        <w:t>Shares</w:t>
      </w:r>
      <w:r>
        <w:rPr>
          <w:rFonts w:ascii="Arial" w:cs="Arial" w:eastAsia="Arial" w:hAnsi="Arial"/>
          <w:sz w:val="17"/>
          <w:szCs w:val="17"/>
          <w:color w:val="auto"/>
        </w:rPr>
        <w:t>”), which Shares are registered under the Registration Statement on Form S-3 (File No. 333-224684) filed on May 4, 2018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Shares are to be sold by the Company pursuant to an Equity Distribution Agreement dated August 9, 2016 (the “</w:t>
      </w:r>
      <w:r>
        <w:rPr>
          <w:rFonts w:ascii="Arial" w:cs="Arial" w:eastAsia="Arial" w:hAnsi="Arial"/>
          <w:sz w:val="18"/>
          <w:szCs w:val="18"/>
          <w:u w:val="single" w:color="auto"/>
          <w:color w:val="auto"/>
        </w:rPr>
        <w:t>Distribution Agreement</w:t>
      </w:r>
      <w:r>
        <w:rPr>
          <w:rFonts w:ascii="Arial" w:cs="Arial" w:eastAsia="Arial" w:hAnsi="Arial"/>
          <w:sz w:val="18"/>
          <w:szCs w:val="18"/>
          <w:color w:val="auto"/>
        </w:rPr>
        <w:t>”) entered into by and among the Company, NRG Yield LLC, Barclays Capital Inc., Credit Suisse Securities (USA) LLC, J.P. Morgan Securities LLC and RBC Capital Markets, LLC, which has been filed as Exhibit 1.1 to the Company’s Current Report on Form 8-K filed on August 9, 2016. Capitalized terms not otherwise defined herein shall have the meaning given in the Distribution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have examined originals or copies (certified or otherwise identified to our satisfaction) of (i) the Restated Certificate of Incorporation of the Company;</w:t>
      </w:r>
    </w:p>
    <w:p>
      <w:pPr>
        <w:spacing w:after="0" w:line="46" w:lineRule="exact"/>
        <w:rPr>
          <w:sz w:val="20"/>
          <w:szCs w:val="20"/>
          <w:color w:val="auto"/>
        </w:rPr>
      </w:pPr>
    </w:p>
    <w:p>
      <w:pPr>
        <w:ind w:right="200" w:firstLine="8"/>
        <w:spacing w:after="0" w:line="253"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Third Amended and Restated Bylaws of the Company; (iii) the Registration Statement and the exhibits thereto; (iv) the prospectus contained within the Registration Statement; (v) the Prospectus Supplement; (vi) the Distribution Agreement; (vii) such other corporate records, agreements, documents and instruments; and (viii) such certificates or comparable documents of public officials and other sources, believed by us to be reliable, and of officers and representatives of the Company, and have made such inquiries of such officers and representatives, as we have deemed relevant and necessary as a basis for the opinions hereinafter set forth.</w:t>
      </w:r>
    </w:p>
    <w:p>
      <w:pPr>
        <w:spacing w:after="0" w:line="19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w:t>
      </w:r>
    </w:p>
    <w:p>
      <w:pPr>
        <w:spacing w:after="0" w:line="177"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Atlanta | Baltimore | Bethesda | Denver | Las Vegas | Los Angeles | New Jersey | New York | Philadelphia | Phoenix | Salt Lake City | San Diego | Washington, DC | Wilmington | www.ballardspahr.com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that have not been independently established, we have relied upon certificates or comparable documents of officers and representatives of the Company.</w:t>
      </w:r>
    </w:p>
    <w:p>
      <w:pPr>
        <w:spacing w:after="0" w:line="248"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 xml:space="preserve">Based on the foregoing, and subject to the qualifications stated herein, </w:t>
      </w:r>
      <w:r>
        <w:rPr>
          <w:rFonts w:ascii="Arial" w:cs="Arial" w:eastAsia="Arial" w:hAnsi="Arial"/>
          <w:sz w:val="17"/>
          <w:szCs w:val="17"/>
          <w:color w:val="auto"/>
        </w:rPr>
        <w:t>we are of the opinion that the Shares to be issued and sold by the Company pursuant to</w:t>
      </w:r>
      <w:r>
        <w:rPr>
          <w:rFonts w:ascii="Arial" w:cs="Arial" w:eastAsia="Arial" w:hAnsi="Arial"/>
          <w:sz w:val="18"/>
          <w:szCs w:val="18"/>
          <w:color w:val="auto"/>
        </w:rPr>
        <w:t xml:space="preserve"> </w:t>
      </w:r>
      <w:r>
        <w:rPr>
          <w:rFonts w:ascii="Arial" w:cs="Arial" w:eastAsia="Arial" w:hAnsi="Arial"/>
          <w:sz w:val="17"/>
          <w:szCs w:val="17"/>
          <w:color w:val="auto"/>
        </w:rPr>
        <w:t>the Distribution Agreement have been duly authorized for issuance and, when issued and paid for in accordance with the terms and conditions of the Distribution Agreement, will be validly issued, fully paid and non-assessable.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express no opinion as to the laws of any jurisdiction other than the federal laws of the United States of America and the laws of the State of Delaware.</w:t>
      </w:r>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a Current Report on Form 8-K (and its incorporation by reference into the Registration Statement and the Prospectus Supplement) in accordance with the requirements of Item 601(b)(5) of Regulation S-K promulgated under the Securities Act, and to the use of this firm’s name therein and in the Prospectus Supplement under the caption “Legal Matters.” In giving this consent, we do not admit that we are within the category of persons whose consent is required by Section 7 of the Securities Act and the rules and regulations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Ballard Spahr LLP</w:t>
      </w:r>
    </w:p>
    <w:p>
      <w:pPr>
        <w:sectPr>
          <w:pgSz w:w="11900" w:h="16838" w:orient="portrait"/>
          <w:cols w:equalWidth="0" w:num="1">
            <w:col w:w="11420"/>
          </w:cols>
          <w:pgMar w:left="240" w:top="121" w:right="239" w:bottom="81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8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2019-12-28T22:10:25Z</dcterms:created>
  <dcterms:modified xsi:type="dcterms:W3CDTF">2019-12-28T22:10:25Z</dcterms:modified>
</cp:coreProperties>
</file>