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UNITED STATES</w:t>
      </w:r>
    </w:p>
    <w:p>
      <w:pPr>
        <w:ind w:left="2666"/>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ind w:left="3106"/>
        <w:spacing w:after="0"/>
        <w:tabs>
          <w:tab w:leader="none" w:pos="5106" w:val="left"/>
        </w:tabs>
        <w:rPr>
          <w:sz w:val="20"/>
          <w:szCs w:val="20"/>
          <w:color w:val="auto"/>
        </w:rPr>
      </w:pPr>
      <w:r>
        <w:rPr>
          <w:rFonts w:ascii="Courier New" w:cs="Courier New" w:eastAsia="Courier New" w:hAnsi="Courier New"/>
          <w:sz w:val="19"/>
          <w:szCs w:val="19"/>
          <w:color w:val="auto"/>
        </w:rPr>
        <w:t>Washington, D.C.</w:t>
      </w:r>
      <w:r>
        <w:rPr>
          <w:sz w:val="20"/>
          <w:szCs w:val="20"/>
          <w:color w:val="auto"/>
        </w:rPr>
        <w:tab/>
      </w:r>
      <w:r>
        <w:rPr>
          <w:rFonts w:ascii="Courier New" w:cs="Courier New" w:eastAsia="Courier New" w:hAnsi="Courier New"/>
          <w:sz w:val="18"/>
          <w:szCs w:val="18"/>
          <w:color w:val="auto"/>
        </w:rPr>
        <w:t>20549</w:t>
      </w:r>
    </w:p>
    <w:p>
      <w:pPr>
        <w:spacing w:after="0" w:line="212"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jc w:val="center"/>
        <w:ind w:right="1674"/>
        <w:spacing w:after="0"/>
        <w:rPr>
          <w:sz w:val="20"/>
          <w:szCs w:val="20"/>
          <w:color w:val="auto"/>
        </w:rPr>
      </w:pPr>
      <w:r>
        <w:rPr>
          <w:rFonts w:ascii="Courier New" w:cs="Courier New" w:eastAsia="Courier New" w:hAnsi="Courier New"/>
          <w:sz w:val="19"/>
          <w:szCs w:val="19"/>
          <w:color w:val="auto"/>
        </w:rPr>
        <w:t>Under the Securities Exchange Act of 1934</w:t>
      </w:r>
    </w:p>
    <w:p>
      <w:pPr>
        <w:jc w:val="center"/>
        <w:ind w:right="1674"/>
        <w:spacing w:after="0" w:line="238" w:lineRule="auto"/>
        <w:rPr>
          <w:sz w:val="20"/>
          <w:szCs w:val="20"/>
          <w:color w:val="auto"/>
        </w:rPr>
      </w:pPr>
      <w:r>
        <w:rPr>
          <w:rFonts w:ascii="Courier New" w:cs="Courier New" w:eastAsia="Courier New" w:hAnsi="Courier New"/>
          <w:sz w:val="19"/>
          <w:szCs w:val="19"/>
          <w:color w:val="auto"/>
        </w:rPr>
        <w:t>(Amendment No.4)*</w:t>
      </w:r>
    </w:p>
    <w:p>
      <w:pPr>
        <w:spacing w:after="0" w:line="213" w:lineRule="exact"/>
        <w:rPr>
          <w:sz w:val="24"/>
          <w:szCs w:val="24"/>
          <w:color w:val="auto"/>
        </w:rPr>
      </w:pPr>
    </w:p>
    <w:p>
      <w:pPr>
        <w:ind w:left="6"/>
        <w:spacing w:after="0"/>
        <w:tabs>
          <w:tab w:leader="none" w:pos="2646" w:val="left"/>
        </w:tabs>
        <w:rPr>
          <w:sz w:val="20"/>
          <w:szCs w:val="20"/>
          <w:color w:val="auto"/>
        </w:rPr>
      </w:pPr>
      <w:r>
        <w:rPr>
          <w:rFonts w:ascii="Courier New" w:cs="Courier New" w:eastAsia="Courier New" w:hAnsi="Courier New"/>
          <w:sz w:val="19"/>
          <w:szCs w:val="19"/>
          <w:color w:val="auto"/>
        </w:rPr>
        <w:t>NAME OF ISSUER:</w:t>
      </w:r>
      <w:r>
        <w:rPr>
          <w:sz w:val="20"/>
          <w:szCs w:val="20"/>
          <w:color w:val="auto"/>
        </w:rPr>
        <w:tab/>
      </w:r>
      <w:r>
        <w:rPr>
          <w:rFonts w:ascii="Courier New" w:cs="Courier New" w:eastAsia="Courier New" w:hAnsi="Courier New"/>
          <w:sz w:val="18"/>
          <w:szCs w:val="18"/>
          <w:color w:val="auto"/>
        </w:rPr>
        <w:t>Clearway Energy Inc.</w:t>
      </w:r>
    </w:p>
    <w:p>
      <w:pPr>
        <w:spacing w:after="0" w:line="213" w:lineRule="exact"/>
        <w:rPr>
          <w:sz w:val="24"/>
          <w:szCs w:val="24"/>
          <w:color w:val="auto"/>
        </w:rPr>
      </w:pPr>
    </w:p>
    <w:p>
      <w:pPr>
        <w:ind w:left="6"/>
        <w:spacing w:after="0"/>
        <w:tabs>
          <w:tab w:leader="none" w:pos="3546" w:val="left"/>
        </w:tabs>
        <w:rPr>
          <w:sz w:val="20"/>
          <w:szCs w:val="20"/>
          <w:color w:val="auto"/>
        </w:rPr>
      </w:pPr>
      <w:r>
        <w:rPr>
          <w:rFonts w:ascii="Courier New" w:cs="Courier New" w:eastAsia="Courier New" w:hAnsi="Courier New"/>
          <w:sz w:val="19"/>
          <w:szCs w:val="19"/>
          <w:color w:val="auto"/>
        </w:rPr>
        <w:t>TITLE OF CLASS OF SECURITIES:</w:t>
      </w:r>
      <w:r>
        <w:rPr>
          <w:sz w:val="20"/>
          <w:szCs w:val="20"/>
          <w:color w:val="auto"/>
        </w:rPr>
        <w:tab/>
      </w:r>
      <w:r>
        <w:rPr>
          <w:rFonts w:ascii="Courier New" w:cs="Courier New" w:eastAsia="Courier New" w:hAnsi="Courier New"/>
          <w:sz w:val="18"/>
          <w:szCs w:val="18"/>
          <w:color w:val="auto"/>
        </w:rPr>
        <w:t>Common Stock</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CUSIP NUMBER:</w:t>
      </w:r>
      <w:r>
        <w:rPr>
          <w:sz w:val="20"/>
          <w:szCs w:val="20"/>
          <w:color w:val="auto"/>
        </w:rPr>
        <w:tab/>
      </w:r>
      <w:r>
        <w:rPr>
          <w:rFonts w:ascii="Courier New" w:cs="Courier New" w:eastAsia="Courier New" w:hAnsi="Courier New"/>
          <w:sz w:val="18"/>
          <w:szCs w:val="18"/>
          <w:color w:val="auto"/>
        </w:rPr>
        <w:t>18539C204</w:t>
      </w:r>
    </w:p>
    <w:p>
      <w:pPr>
        <w:spacing w:after="0" w:line="213" w:lineRule="exact"/>
        <w:rPr>
          <w:sz w:val="24"/>
          <w:szCs w:val="24"/>
          <w:color w:val="auto"/>
        </w:rPr>
      </w:pPr>
    </w:p>
    <w:p>
      <w:pPr>
        <w:ind w:left="6"/>
        <w:spacing w:after="0"/>
        <w:tabs>
          <w:tab w:leader="none" w:pos="6206" w:val="left"/>
        </w:tabs>
        <w:rPr>
          <w:sz w:val="20"/>
          <w:szCs w:val="20"/>
          <w:color w:val="auto"/>
        </w:rPr>
      </w:pPr>
      <w:r>
        <w:rPr>
          <w:rFonts w:ascii="Courier New" w:cs="Courier New" w:eastAsia="Courier New" w:hAnsi="Courier New"/>
          <w:sz w:val="19"/>
          <w:szCs w:val="19"/>
          <w:color w:val="auto"/>
        </w:rPr>
        <w:t>DATE OF EVENT WHICH REQUIRES FILING OF THIS STATEMENT:</w:t>
      </w:r>
      <w:r>
        <w:rPr>
          <w:sz w:val="20"/>
          <w:szCs w:val="20"/>
          <w:color w:val="auto"/>
        </w:rPr>
        <w:tab/>
      </w:r>
      <w:r>
        <w:rPr>
          <w:rFonts w:ascii="Courier New" w:cs="Courier New" w:eastAsia="Courier New" w:hAnsi="Courier New"/>
          <w:sz w:val="18"/>
          <w:szCs w:val="18"/>
          <w:color w:val="auto"/>
        </w:rPr>
        <w:t>February 28, 2019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8" w:lineRule="auto"/>
        <w:rPr>
          <w:sz w:val="20"/>
          <w:szCs w:val="20"/>
          <w:color w:val="auto"/>
        </w:rPr>
      </w:pPr>
      <w:r>
        <w:rPr>
          <w:rFonts w:ascii="Courier New" w:cs="Courier New" w:eastAsia="Courier New" w:hAnsi="Courier New"/>
          <w:sz w:val="19"/>
          <w:szCs w:val="19"/>
          <w:color w:val="auto"/>
        </w:rPr>
        <w:t>Schedule is filed:</w:t>
      </w:r>
    </w:p>
    <w:p>
      <w:pPr>
        <w:spacing w:after="0" w:line="220" w:lineRule="exact"/>
        <w:rPr>
          <w:sz w:val="24"/>
          <w:szCs w:val="24"/>
          <w:color w:val="auto"/>
        </w:rPr>
      </w:pPr>
    </w:p>
    <w:p>
      <w:pPr>
        <w:jc w:val="both"/>
        <w:ind w:left="1786" w:right="7020" w:hanging="6"/>
        <w:spacing w:after="0" w:line="254" w:lineRule="auto"/>
        <w:tabs>
          <w:tab w:leader="none" w:pos="223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8" w:lineRule="exact"/>
        <w:rPr>
          <w:sz w:val="24"/>
          <w:szCs w:val="24"/>
          <w:color w:val="auto"/>
        </w:rPr>
      </w:pPr>
    </w:p>
    <w:p>
      <w:pPr>
        <w:jc w:val="both"/>
        <w:ind w:left="6" w:right="2900"/>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left="6" w:right="278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4"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CUSIP NUMBER:</w:t>
      </w:r>
      <w:r>
        <w:rPr>
          <w:sz w:val="20"/>
          <w:szCs w:val="20"/>
          <w:color w:val="auto"/>
        </w:rPr>
        <w:tab/>
      </w:r>
      <w:r>
        <w:rPr>
          <w:rFonts w:ascii="Courier New" w:cs="Courier New" w:eastAsia="Courier New" w:hAnsi="Courier New"/>
          <w:sz w:val="18"/>
          <w:szCs w:val="18"/>
          <w:color w:val="auto"/>
        </w:rPr>
        <w:t>18539C204</w:t>
      </w:r>
    </w:p>
    <w:p>
      <w:pPr>
        <w:spacing w:after="0" w:line="219" w:lineRule="exact"/>
        <w:rPr>
          <w:sz w:val="24"/>
          <w:szCs w:val="24"/>
          <w:color w:val="auto"/>
        </w:rPr>
      </w:pPr>
    </w:p>
    <w:p>
      <w:pPr>
        <w:ind w:left="886" w:hanging="886"/>
        <w:spacing w:after="0"/>
        <w:tabs>
          <w:tab w:leader="none" w:pos="8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The Bank of New York Mellon Corporation</w:t>
      </w:r>
    </w:p>
    <w:p>
      <w:pPr>
        <w:spacing w:after="0" w:line="3" w:lineRule="exact"/>
        <w:rPr>
          <w:sz w:val="24"/>
          <w:szCs w:val="24"/>
          <w:color w:val="auto"/>
        </w:rPr>
      </w:pPr>
    </w:p>
    <w:p>
      <w:pPr>
        <w:jc w:val="right"/>
        <w:ind w:right="2340"/>
        <w:spacing w:after="0"/>
        <w:tabs>
          <w:tab w:leader="none" w:pos="1880" w:val="left"/>
        </w:tabs>
        <w:rPr>
          <w:sz w:val="20"/>
          <w:szCs w:val="20"/>
          <w:color w:val="auto"/>
        </w:rPr>
      </w:pPr>
      <w:r>
        <w:rPr>
          <w:rFonts w:ascii="Courier New" w:cs="Courier New" w:eastAsia="Courier New" w:hAnsi="Courier New"/>
          <w:sz w:val="19"/>
          <w:szCs w:val="19"/>
          <w:color w:val="auto"/>
        </w:rPr>
        <w:t>IRS Identification Nos. of Above Persons</w:t>
      </w:r>
      <w:r>
        <w:rPr>
          <w:sz w:val="20"/>
          <w:szCs w:val="20"/>
          <w:color w:val="auto"/>
        </w:rPr>
        <w:tab/>
      </w:r>
      <w:r>
        <w:rPr>
          <w:rFonts w:ascii="Courier New" w:cs="Courier New" w:eastAsia="Courier New" w:hAnsi="Courier New"/>
          <w:sz w:val="18"/>
          <w:szCs w:val="18"/>
          <w:color w:val="auto"/>
        </w:rPr>
        <w:t>IRS No.13-2614959</w:t>
      </w:r>
    </w:p>
    <w:p>
      <w:pPr>
        <w:spacing w:after="0" w:line="219" w:lineRule="exact"/>
        <w:rPr>
          <w:sz w:val="24"/>
          <w:szCs w:val="24"/>
          <w:color w:val="auto"/>
        </w:rPr>
      </w:pPr>
    </w:p>
    <w:p>
      <w:pPr>
        <w:ind w:left="886" w:hanging="886"/>
        <w:spacing w:after="0"/>
        <w:tabs>
          <w:tab w:leader="none" w:pos="8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4"/>
          <w:szCs w:val="24"/>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3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New York</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2,820,489</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2,898,357</w:t>
            </w:r>
          </w:p>
        </w:tc>
      </w:tr>
      <w:tr>
        <w:trPr>
          <w:trHeight w:val="428"/>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Shared Dispositive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9,900</w:t>
            </w:r>
          </w:p>
        </w:tc>
      </w:tr>
    </w:tbl>
    <w:p>
      <w:pPr>
        <w:spacing w:after="0" w:line="213" w:lineRule="exact"/>
        <w:rPr>
          <w:sz w:val="24"/>
          <w:szCs w:val="24"/>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2,908,257</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3.97%</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HC</w:t>
            </w:r>
          </w:p>
        </w:tc>
      </w:tr>
    </w:tbl>
    <w:p>
      <w:pPr>
        <w:spacing w:after="0" w:line="200" w:lineRule="exact"/>
        <w:rPr>
          <w:sz w:val="24"/>
          <w:szCs w:val="24"/>
          <w:color w:val="auto"/>
        </w:rPr>
      </w:pPr>
    </w:p>
    <w:p>
      <w:pPr>
        <w:sectPr>
          <w:pgSz w:w="12240" w:h="15926" w:orient="portrait"/>
          <w:cols w:equalWidth="0" w:num="1">
            <w:col w:w="10686"/>
          </w:cols>
          <w:pgMar w:left="114" w:top="109" w:right="1440" w:bottom="0" w:gutter="0" w:footer="0" w:header="0"/>
        </w:sectPr>
      </w:pPr>
    </w:p>
    <w:p>
      <w:pPr>
        <w:spacing w:after="0" w:line="233"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4"/>
          <w:szCs w:val="24"/>
          <w:color w:val="auto"/>
        </w:rPr>
      </w:pPr>
    </w:p>
    <w:p>
      <w:pPr>
        <w:sectPr>
          <w:pgSz w:w="12240" w:h="15926" w:orient="portrait"/>
          <w:cols w:equalWidth="0" w:num="2">
            <w:col w:w="1446" w:space="340"/>
            <w:col w:w="8900"/>
          </w:cols>
          <w:pgMar w:left="114" w:top="109" w:right="1440" w:bottom="0" w:gutter="0" w:footer="0" w:header="0"/>
          <w:type w:val="continuous"/>
        </w:sectPr>
      </w:pPr>
    </w:p>
    <w:p>
      <w:pPr>
        <w:spacing w:after="0" w:line="17" w:lineRule="exact"/>
        <w:rPr>
          <w:sz w:val="24"/>
          <w:szCs w:val="24"/>
          <w:color w:val="auto"/>
        </w:rPr>
      </w:pPr>
    </w:p>
    <w:p>
      <w:pPr>
        <w:ind w:left="6"/>
        <w:spacing w:after="0"/>
        <w:tabs>
          <w:tab w:leader="none" w:pos="866" w:val="left"/>
        </w:tabs>
        <w:rPr>
          <w:sz w:val="20"/>
          <w:szCs w:val="20"/>
          <w:color w:val="auto"/>
        </w:rPr>
      </w:pPr>
      <w:r>
        <w:rPr>
          <w:rFonts w:ascii="Courier New" w:cs="Courier New" w:eastAsia="Courier New" w:hAnsi="Courier New"/>
          <w:sz w:val="19"/>
          <w:szCs w:val="19"/>
          <w:color w:val="auto"/>
        </w:rPr>
        <w:t>(1)</w:t>
      </w:r>
      <w:r>
        <w:rPr>
          <w:sz w:val="20"/>
          <w:szCs w:val="20"/>
          <w:color w:val="auto"/>
        </w:rPr>
        <w:tab/>
      </w:r>
      <w:r>
        <w:rPr>
          <w:rFonts w:ascii="Courier New" w:cs="Courier New" w:eastAsia="Courier New" w:hAnsi="Courier New"/>
          <w:sz w:val="19"/>
          <w:szCs w:val="19"/>
          <w:color w:val="auto"/>
        </w:rPr>
        <w:t>Names of Reporting Persons</w:t>
      </w:r>
    </w:p>
    <w:p>
      <w:pPr>
        <w:spacing w:after="0" w:line="5" w:lineRule="exact"/>
        <w:rPr>
          <w:sz w:val="24"/>
          <w:szCs w:val="24"/>
          <w:color w:val="auto"/>
        </w:rPr>
      </w:pPr>
    </w:p>
    <w:p>
      <w:pPr>
        <w:ind w:left="886"/>
        <w:spacing w:after="0"/>
        <w:rPr>
          <w:sz w:val="20"/>
          <w:szCs w:val="20"/>
          <w:color w:val="auto"/>
        </w:rPr>
      </w:pPr>
      <w:r>
        <w:rPr>
          <w:rFonts w:ascii="Courier New" w:cs="Courier New" w:eastAsia="Courier New" w:hAnsi="Courier New"/>
          <w:sz w:val="18"/>
          <w:szCs w:val="18"/>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40"/>
        <w:spacing w:after="0"/>
        <w:rPr>
          <w:sz w:val="20"/>
          <w:szCs w:val="20"/>
          <w:color w:val="auto"/>
        </w:rPr>
      </w:pPr>
      <w:r>
        <w:rPr>
          <w:rFonts w:ascii="Courier New" w:cs="Courier New" w:eastAsia="Courier New" w:hAnsi="Courier New"/>
          <w:sz w:val="18"/>
          <w:szCs w:val="18"/>
          <w:color w:val="auto"/>
        </w:rPr>
        <w:t>BNY Mellon IHC, LLC</w:t>
      </w:r>
    </w:p>
    <w:p>
      <w:pPr>
        <w:spacing w:after="0" w:line="3" w:lineRule="exact"/>
        <w:rPr>
          <w:sz w:val="24"/>
          <w:szCs w:val="24"/>
          <w:color w:val="auto"/>
        </w:rPr>
      </w:pPr>
    </w:p>
    <w:p>
      <w:pPr>
        <w:jc w:val="right"/>
        <w:ind w:right="2340"/>
        <w:spacing w:after="0"/>
        <w:rPr>
          <w:sz w:val="20"/>
          <w:szCs w:val="20"/>
          <w:color w:val="auto"/>
        </w:rPr>
      </w:pPr>
      <w:r>
        <w:rPr>
          <w:rFonts w:ascii="Courier New" w:cs="Courier New" w:eastAsia="Courier New" w:hAnsi="Courier New"/>
          <w:sz w:val="19"/>
          <w:szCs w:val="19"/>
          <w:color w:val="auto"/>
        </w:rPr>
        <w:t>IRS No.82-2121983</w:t>
      </w:r>
    </w:p>
    <w:p>
      <w:pPr>
        <w:spacing w:after="0" w:line="200" w:lineRule="exact"/>
        <w:rPr>
          <w:sz w:val="24"/>
          <w:szCs w:val="24"/>
          <w:color w:val="auto"/>
        </w:rPr>
      </w:pPr>
    </w:p>
    <w:p>
      <w:pPr>
        <w:sectPr>
          <w:pgSz w:w="12240" w:h="15926" w:orient="portrait"/>
          <w:cols w:equalWidth="0" w:num="2">
            <w:col w:w="5506" w:space="720"/>
            <w:col w:w="4460"/>
          </w:cols>
          <w:pgMar w:left="114" w:top="109" w:right="1440" w:bottom="0" w:gutter="0" w:footer="0" w:header="0"/>
          <w:type w:val="continuous"/>
        </w:sectPr>
      </w:pPr>
    </w:p>
    <w:p>
      <w:pPr>
        <w:spacing w:after="0" w:line="19" w:lineRule="exact"/>
        <w:rPr>
          <w:sz w:val="24"/>
          <w:szCs w:val="24"/>
          <w:color w:val="auto"/>
        </w:rPr>
      </w:pPr>
    </w:p>
    <w:p>
      <w:pPr>
        <w:ind w:left="886" w:hanging="886"/>
        <w:spacing w:after="0"/>
        <w:tabs>
          <w:tab w:leader="none" w:pos="8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ectPr>
          <w:pgSz w:w="12240" w:h="15926" w:orient="portrait"/>
          <w:cols w:equalWidth="0" w:num="1">
            <w:col w:w="10686"/>
          </w:cols>
          <w:pgMar w:left="114" w:top="109" w:right="1440" w:bottom="0" w:gutter="0" w:footer="0" w:header="0"/>
          <w:type w:val="continuous"/>
        </w:sectPr>
      </w:pPr>
    </w:p>
    <w:bookmarkStart w:id="1" w:name="page2"/>
    <w:bookmarkEnd w:id="1"/>
    <w:p>
      <w:pPr>
        <w:ind w:left="886" w:hanging="886"/>
        <w:spacing w:after="0"/>
        <w:tabs>
          <w:tab w:leader="none" w:pos="88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3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New York</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2,536,069</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2,623,762</w:t>
            </w:r>
          </w:p>
        </w:tc>
      </w:tr>
      <w:tr>
        <w:trPr>
          <w:trHeight w:val="428"/>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Shared Dispositive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0</w:t>
            </w:r>
          </w:p>
        </w:tc>
      </w:tr>
    </w:tbl>
    <w:p>
      <w:pPr>
        <w:spacing w:after="0" w:line="213" w:lineRule="exact"/>
        <w:rPr>
          <w:sz w:val="20"/>
          <w:szCs w:val="20"/>
          <w:color w:val="auto"/>
        </w:rPr>
      </w:pPr>
    </w:p>
    <w:p>
      <w:pPr>
        <w:ind w:left="566" w:hanging="566"/>
        <w:spacing w:after="0"/>
        <w:tabs>
          <w:tab w:leader="none" w:pos="566"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2,623,762</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3.58%</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HC</w:t>
            </w:r>
          </w:p>
        </w:tc>
      </w:tr>
    </w:tbl>
    <w:p>
      <w:pPr>
        <w:spacing w:after="0" w:line="200" w:lineRule="exact"/>
        <w:rPr>
          <w:sz w:val="20"/>
          <w:szCs w:val="20"/>
          <w:color w:val="auto"/>
        </w:rPr>
      </w:pPr>
    </w:p>
    <w:p>
      <w:pPr>
        <w:sectPr>
          <w:pgSz w:w="12240" w:h="15840" w:orient="portrait"/>
          <w:cols w:equalWidth="0" w:num="1">
            <w:col w:w="10686"/>
          </w:cols>
          <w:pgMar w:left="114" w:top="209" w:right="1440" w:bottom="0" w:gutter="0" w:footer="0" w:header="0"/>
        </w:sectPr>
      </w:pPr>
    </w:p>
    <w:p>
      <w:pPr>
        <w:spacing w:after="0" w:line="233"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0"/>
          <w:szCs w:val="20"/>
          <w:color w:val="auto"/>
        </w:rPr>
      </w:pPr>
    </w:p>
    <w:p>
      <w:pPr>
        <w:sectPr>
          <w:pgSz w:w="12240" w:h="15840" w:orient="portrait"/>
          <w:cols w:equalWidth="0" w:num="2">
            <w:col w:w="1446" w:space="340"/>
            <w:col w:w="8900"/>
          </w:cols>
          <w:pgMar w:left="114" w:top="209" w:right="1440" w:bottom="0" w:gutter="0" w:footer="0" w:header="0"/>
          <w:type w:val="continuous"/>
        </w:sectPr>
      </w:pPr>
    </w:p>
    <w:p>
      <w:pPr>
        <w:spacing w:after="0" w:line="17" w:lineRule="exact"/>
        <w:rPr>
          <w:sz w:val="20"/>
          <w:szCs w:val="20"/>
          <w:color w:val="auto"/>
        </w:rPr>
      </w:pPr>
    </w:p>
    <w:p>
      <w:pPr>
        <w:ind w:left="6"/>
        <w:spacing w:after="0"/>
        <w:tabs>
          <w:tab w:leader="none" w:pos="866" w:val="left"/>
        </w:tabs>
        <w:rPr>
          <w:sz w:val="20"/>
          <w:szCs w:val="20"/>
          <w:color w:val="auto"/>
        </w:rPr>
      </w:pPr>
      <w:r>
        <w:rPr>
          <w:rFonts w:ascii="Courier New" w:cs="Courier New" w:eastAsia="Courier New" w:hAnsi="Courier New"/>
          <w:sz w:val="19"/>
          <w:szCs w:val="19"/>
          <w:color w:val="auto"/>
        </w:rPr>
        <w:t>(1)</w:t>
      </w:r>
      <w:r>
        <w:rPr>
          <w:sz w:val="20"/>
          <w:szCs w:val="20"/>
          <w:color w:val="auto"/>
        </w:rPr>
        <w:tab/>
      </w:r>
      <w:r>
        <w:rPr>
          <w:rFonts w:ascii="Courier New" w:cs="Courier New" w:eastAsia="Courier New" w:hAnsi="Courier New"/>
          <w:sz w:val="19"/>
          <w:szCs w:val="19"/>
          <w:color w:val="auto"/>
        </w:rPr>
        <w:t>Names of Reporting Persons</w:t>
      </w:r>
    </w:p>
    <w:p>
      <w:pPr>
        <w:spacing w:after="0" w:line="5" w:lineRule="exact"/>
        <w:rPr>
          <w:sz w:val="20"/>
          <w:szCs w:val="20"/>
          <w:color w:val="auto"/>
        </w:rPr>
      </w:pPr>
    </w:p>
    <w:p>
      <w:pPr>
        <w:ind w:left="886"/>
        <w:spacing w:after="0"/>
        <w:rPr>
          <w:sz w:val="20"/>
          <w:szCs w:val="20"/>
          <w:color w:val="auto"/>
        </w:rPr>
      </w:pPr>
      <w:r>
        <w:rPr>
          <w:rFonts w:ascii="Courier New" w:cs="Courier New" w:eastAsia="Courier New" w:hAnsi="Courier New"/>
          <w:sz w:val="18"/>
          <w:szCs w:val="18"/>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40"/>
        <w:spacing w:after="0"/>
        <w:rPr>
          <w:sz w:val="20"/>
          <w:szCs w:val="20"/>
          <w:color w:val="auto"/>
        </w:rPr>
      </w:pPr>
      <w:r>
        <w:rPr>
          <w:rFonts w:ascii="Courier New" w:cs="Courier New" w:eastAsia="Courier New" w:hAnsi="Courier New"/>
          <w:sz w:val="18"/>
          <w:szCs w:val="18"/>
          <w:color w:val="auto"/>
        </w:rPr>
        <w:t>MBC Investments Corporation</w:t>
      </w:r>
    </w:p>
    <w:p>
      <w:pPr>
        <w:spacing w:after="0" w:line="3" w:lineRule="exact"/>
        <w:rPr>
          <w:sz w:val="20"/>
          <w:szCs w:val="20"/>
          <w:color w:val="auto"/>
        </w:rPr>
      </w:pPr>
    </w:p>
    <w:p>
      <w:pPr>
        <w:jc w:val="right"/>
        <w:ind w:right="2340"/>
        <w:spacing w:after="0"/>
        <w:rPr>
          <w:sz w:val="20"/>
          <w:szCs w:val="20"/>
          <w:color w:val="auto"/>
        </w:rPr>
      </w:pPr>
      <w:r>
        <w:rPr>
          <w:rFonts w:ascii="Courier New" w:cs="Courier New" w:eastAsia="Courier New" w:hAnsi="Courier New"/>
          <w:sz w:val="19"/>
          <w:szCs w:val="19"/>
          <w:color w:val="auto"/>
        </w:rPr>
        <w:t>IRS No.51-0301132</w:t>
      </w:r>
    </w:p>
    <w:p>
      <w:pPr>
        <w:spacing w:after="0" w:line="200" w:lineRule="exact"/>
        <w:rPr>
          <w:sz w:val="20"/>
          <w:szCs w:val="20"/>
          <w:color w:val="auto"/>
        </w:rPr>
      </w:pPr>
    </w:p>
    <w:p>
      <w:pPr>
        <w:sectPr>
          <w:pgSz w:w="12240" w:h="15840" w:orient="portrait"/>
          <w:cols w:equalWidth="0" w:num="2">
            <w:col w:w="5346" w:space="0"/>
            <w:col w:w="5340"/>
          </w:cols>
          <w:pgMar w:left="114" w:top="209" w:right="1440" w:bottom="0" w:gutter="0" w:footer="0" w:header="0"/>
          <w:type w:val="continuous"/>
        </w:sectPr>
      </w:pPr>
    </w:p>
    <w:p>
      <w:pPr>
        <w:spacing w:after="0" w:line="19" w:lineRule="exact"/>
        <w:rPr>
          <w:sz w:val="20"/>
          <w:szCs w:val="20"/>
          <w:color w:val="auto"/>
        </w:rPr>
      </w:pPr>
    </w:p>
    <w:p>
      <w:pPr>
        <w:ind w:left="886" w:hanging="886"/>
        <w:spacing w:after="0"/>
        <w:tabs>
          <w:tab w:leader="none" w:pos="88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3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Delaware</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2,536,069</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30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2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2,623,762</w:t>
            </w:r>
          </w:p>
        </w:tc>
      </w:tr>
      <w:tr>
        <w:trPr>
          <w:trHeight w:val="428"/>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3000" w:type="dxa"/>
            <w:vAlign w:val="bottom"/>
          </w:tcPr>
          <w:p>
            <w:pPr>
              <w:ind w:left="120"/>
              <w:spacing w:after="0"/>
              <w:rPr>
                <w:sz w:val="20"/>
                <w:szCs w:val="20"/>
                <w:color w:val="auto"/>
              </w:rPr>
            </w:pPr>
            <w:r>
              <w:rPr>
                <w:rFonts w:ascii="Courier New" w:cs="Courier New" w:eastAsia="Courier New" w:hAnsi="Courier New"/>
                <w:sz w:val="19"/>
                <w:szCs w:val="19"/>
                <w:color w:val="auto"/>
              </w:rPr>
              <w:t>Shared Dispositive Power</w:t>
            </w:r>
          </w:p>
        </w:tc>
        <w:tc>
          <w:tcPr>
            <w:tcW w:w="1220" w:type="dxa"/>
            <w:vAlign w:val="bottom"/>
          </w:tcPr>
          <w:p>
            <w:pPr>
              <w:jc w:val="right"/>
              <w:spacing w:after="0"/>
              <w:rPr>
                <w:sz w:val="20"/>
                <w:szCs w:val="20"/>
                <w:color w:val="auto"/>
              </w:rPr>
            </w:pPr>
            <w:r>
              <w:rPr>
                <w:rFonts w:ascii="Courier New" w:cs="Courier New" w:eastAsia="Courier New" w:hAnsi="Courier New"/>
                <w:sz w:val="19"/>
                <w:szCs w:val="19"/>
                <w:color w:val="auto"/>
              </w:rPr>
              <w:t>0</w:t>
            </w:r>
          </w:p>
        </w:tc>
      </w:tr>
    </w:tbl>
    <w:p>
      <w:pPr>
        <w:spacing w:after="0" w:line="213" w:lineRule="exact"/>
        <w:rPr>
          <w:sz w:val="20"/>
          <w:szCs w:val="20"/>
          <w:color w:val="auto"/>
        </w:rPr>
      </w:pPr>
    </w:p>
    <w:p>
      <w:pPr>
        <w:ind w:left="566" w:hanging="566"/>
        <w:spacing w:after="0"/>
        <w:tabs>
          <w:tab w:leader="none" w:pos="566"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2,623,762</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3.58%</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HC</w:t>
            </w:r>
          </w:p>
        </w:tc>
      </w:tr>
    </w:tbl>
    <w:p>
      <w:pPr>
        <w:spacing w:after="0" w:line="200" w:lineRule="exact"/>
        <w:rPr>
          <w:sz w:val="20"/>
          <w:szCs w:val="20"/>
          <w:color w:val="auto"/>
        </w:rPr>
      </w:pPr>
    </w:p>
    <w:p>
      <w:pPr>
        <w:sectPr>
          <w:pgSz w:w="12240" w:h="15840" w:orient="portrait"/>
          <w:cols w:equalWidth="0" w:num="1">
            <w:col w:w="10686"/>
          </w:cols>
          <w:pgMar w:left="114" w:top="209" w:right="1440" w:bottom="0" w:gutter="0" w:footer="0" w:header="0"/>
          <w:type w:val="continuous"/>
        </w:sectPr>
      </w:pPr>
    </w:p>
    <w:p>
      <w:pPr>
        <w:spacing w:after="0" w:line="233"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0"/>
          <w:szCs w:val="20"/>
          <w:color w:val="auto"/>
        </w:rPr>
      </w:pPr>
    </w:p>
    <w:p>
      <w:pPr>
        <w:sectPr>
          <w:pgSz w:w="12240" w:h="15840" w:orient="portrait"/>
          <w:cols w:equalWidth="0" w:num="2">
            <w:col w:w="1446" w:space="340"/>
            <w:col w:w="8900"/>
          </w:cols>
          <w:pgMar w:left="114" w:top="209" w:right="1440" w:bottom="0" w:gutter="0" w:footer="0" w:header="0"/>
          <w:type w:val="continuous"/>
        </w:sectPr>
      </w:pPr>
    </w:p>
    <w:p>
      <w:pPr>
        <w:spacing w:after="0" w:line="24" w:lineRule="exact"/>
        <w:rPr>
          <w:sz w:val="20"/>
          <w:szCs w:val="20"/>
          <w:color w:val="auto"/>
        </w:rPr>
      </w:pPr>
    </w:p>
    <w:p>
      <w:pPr>
        <w:jc w:val="both"/>
        <w:ind w:left="886" w:right="2340" w:hanging="879"/>
        <w:spacing w:after="0" w:line="257" w:lineRule="auto"/>
        <w:tabs>
          <w:tab w:leader="none" w:pos="866"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           Mellon Investments Corporation IRS Identification Nos. of Above Persons          IRS No.25-1442864</w:t>
      </w:r>
    </w:p>
    <w:p>
      <w:pPr>
        <w:sectPr>
          <w:pgSz w:w="12240" w:h="15840" w:orient="portrait"/>
          <w:cols w:equalWidth="0" w:num="1">
            <w:col w:w="10686"/>
          </w:cols>
          <w:pgMar w:left="114" w:top="209" w:right="1440" w:bottom="0" w:gutter="0" w:footer="0" w:header="0"/>
          <w:type w:val="continuous"/>
        </w:sectPr>
      </w:pPr>
    </w:p>
    <w:p>
      <w:pPr>
        <w:spacing w:after="0" w:line="205" w:lineRule="exact"/>
        <w:rPr>
          <w:sz w:val="20"/>
          <w:szCs w:val="20"/>
          <w:color w:val="auto"/>
        </w:rPr>
      </w:pPr>
    </w:p>
    <w:p>
      <w:pPr>
        <w:ind w:left="886" w:hanging="886"/>
        <w:spacing w:after="0"/>
        <w:tabs>
          <w:tab w:leader="none" w:pos="88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rFonts w:ascii="Courier New" w:cs="Courier New" w:eastAsia="Courier New" w:hAnsi="Courier New"/>
          <w:sz w:val="18"/>
          <w:szCs w:val="18"/>
          <w:color w:val="auto"/>
        </w:rPr>
      </w:pPr>
    </w:p>
    <w:p>
      <w:pPr>
        <w:ind w:left="1326" w:hanging="436"/>
        <w:spacing w:after="0" w:line="238" w:lineRule="auto"/>
        <w:tabs>
          <w:tab w:leader="none" w:pos="1326" w:val="left"/>
        </w:tabs>
        <w:numPr>
          <w:ilvl w:val="1"/>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 (   )</w:t>
      </w:r>
    </w:p>
    <w:p>
      <w:pPr>
        <w:spacing w:after="0" w:line="213" w:lineRule="exact"/>
        <w:rPr>
          <w:rFonts w:ascii="Courier New" w:cs="Courier New" w:eastAsia="Courier New" w:hAnsi="Courier New"/>
          <w:sz w:val="19"/>
          <w:szCs w:val="19"/>
          <w:color w:val="auto"/>
        </w:rPr>
      </w:pPr>
    </w:p>
    <w:p>
      <w:pPr>
        <w:ind w:left="886" w:hanging="886"/>
        <w:spacing w:after="0"/>
        <w:tabs>
          <w:tab w:leader="none" w:pos="886"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Courier New" w:cs="Courier New" w:eastAsia="Courier New" w:hAnsi="Courier New"/>
                <w:sz w:val="19"/>
                <w:szCs w:val="19"/>
                <w:color w:val="auto"/>
              </w:rPr>
              <w:t>(4)</w:t>
            </w:r>
          </w:p>
        </w:tc>
        <w:tc>
          <w:tcPr>
            <w:tcW w:w="6240" w:type="dxa"/>
            <w:vAlign w:val="bottom"/>
            <w:gridSpan w:val="3"/>
          </w:tcPr>
          <w:p>
            <w:pPr>
              <w:ind w:left="220"/>
              <w:spacing w:after="0"/>
              <w:rPr>
                <w:sz w:val="20"/>
                <w:szCs w:val="20"/>
                <w:color w:val="auto"/>
              </w:rPr>
            </w:pPr>
            <w:r>
              <w:rPr>
                <w:rFonts w:ascii="Courier New" w:cs="Courier New" w:eastAsia="Courier New" w:hAnsi="Courier New"/>
                <w:sz w:val="19"/>
                <w:szCs w:val="19"/>
                <w:color w:val="auto"/>
              </w:rPr>
              <w:t>Citizenship or Place of Organization</w:t>
            </w:r>
          </w:p>
        </w:tc>
        <w:tc>
          <w:tcPr>
            <w:tcW w:w="1320" w:type="dxa"/>
            <w:vAlign w:val="bottom"/>
          </w:tcPr>
          <w:p>
            <w:pPr>
              <w:jc w:val="right"/>
              <w:spacing w:after="0"/>
              <w:rPr>
                <w:sz w:val="20"/>
                <w:szCs w:val="20"/>
                <w:color w:val="auto"/>
              </w:rPr>
            </w:pPr>
            <w:r>
              <w:rPr>
                <w:rFonts w:ascii="Courier New" w:cs="Courier New" w:eastAsia="Courier New" w:hAnsi="Courier New"/>
                <w:sz w:val="19"/>
                <w:szCs w:val="19"/>
                <w:color w:val="auto"/>
              </w:rPr>
              <w:t>Delaware</w:t>
            </w:r>
          </w:p>
        </w:tc>
      </w:tr>
      <w:tr>
        <w:trPr>
          <w:trHeight w:val="428"/>
        </w:trPr>
        <w:tc>
          <w:tcPr>
            <w:tcW w:w="2660" w:type="dxa"/>
            <w:vAlign w:val="bottom"/>
            <w:gridSpan w:val="2"/>
          </w:tcPr>
          <w:p>
            <w:pPr>
              <w:spacing w:after="0"/>
              <w:rPr>
                <w:sz w:val="20"/>
                <w:szCs w:val="20"/>
                <w:color w:val="auto"/>
              </w:rPr>
            </w:pPr>
            <w:r>
              <w:rPr>
                <w:rFonts w:ascii="Courier New" w:cs="Courier New" w:eastAsia="Courier New" w:hAnsi="Courier New"/>
                <w:sz w:val="19"/>
                <w:szCs w:val="19"/>
                <w:color w:val="auto"/>
              </w:rPr>
              <w:t>Number of Shares</w:t>
            </w:r>
          </w:p>
        </w:tc>
        <w:tc>
          <w:tcPr>
            <w:tcW w:w="1340" w:type="dxa"/>
            <w:vAlign w:val="bottom"/>
          </w:tcPr>
          <w:p>
            <w:pPr>
              <w:jc w:val="right"/>
              <w:ind w:right="27"/>
              <w:spacing w:after="0"/>
              <w:rPr>
                <w:sz w:val="20"/>
                <w:szCs w:val="20"/>
                <w:color w:val="auto"/>
              </w:rPr>
            </w:pPr>
            <w:r>
              <w:rPr>
                <w:rFonts w:ascii="Courier New" w:cs="Courier New" w:eastAsia="Courier New" w:hAnsi="Courier New"/>
                <w:sz w:val="19"/>
                <w:szCs w:val="19"/>
                <w:color w:val="auto"/>
              </w:rPr>
              <w:t>(5)</w:t>
            </w:r>
          </w:p>
        </w:tc>
        <w:tc>
          <w:tcPr>
            <w:tcW w:w="2900" w:type="dxa"/>
            <w:vAlign w:val="bottom"/>
          </w:tcPr>
          <w:p>
            <w:pPr>
              <w:ind w:left="120"/>
              <w:spacing w:after="0"/>
              <w:rPr>
                <w:sz w:val="20"/>
                <w:szCs w:val="20"/>
                <w:color w:val="auto"/>
              </w:rPr>
            </w:pPr>
            <w:r>
              <w:rPr>
                <w:rFonts w:ascii="Courier New" w:cs="Courier New" w:eastAsia="Courier New" w:hAnsi="Courier New"/>
                <w:sz w:val="19"/>
                <w:szCs w:val="19"/>
                <w:color w:val="auto"/>
              </w:rPr>
              <w:t>Sole Voting Power</w:t>
            </w:r>
          </w:p>
        </w:tc>
        <w:tc>
          <w:tcPr>
            <w:tcW w:w="1320" w:type="dxa"/>
            <w:vAlign w:val="bottom"/>
          </w:tcPr>
          <w:p>
            <w:pPr>
              <w:jc w:val="right"/>
              <w:spacing w:after="0"/>
              <w:rPr>
                <w:sz w:val="20"/>
                <w:szCs w:val="20"/>
                <w:color w:val="auto"/>
              </w:rPr>
            </w:pPr>
            <w:r>
              <w:rPr>
                <w:rFonts w:ascii="Courier New" w:cs="Courier New" w:eastAsia="Courier New" w:hAnsi="Courier New"/>
                <w:sz w:val="19"/>
                <w:szCs w:val="19"/>
                <w:color w:val="auto"/>
              </w:rPr>
              <w:t>2,536,069</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Beneficially</w:t>
            </w:r>
          </w:p>
        </w:tc>
        <w:tc>
          <w:tcPr>
            <w:tcW w:w="1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Owned by Each</w:t>
            </w: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(6)</w:t>
            </w:r>
          </w:p>
        </w:tc>
        <w:tc>
          <w:tcPr>
            <w:tcW w:w="29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Shared Voting Power</w:t>
            </w:r>
          </w:p>
        </w:tc>
        <w:tc>
          <w:tcPr>
            <w:tcW w:w="1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26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Reporting Person</w:t>
            </w:r>
          </w:p>
        </w:tc>
        <w:tc>
          <w:tcPr>
            <w:tcW w:w="1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660" w:type="dxa"/>
            <w:vAlign w:val="bottom"/>
          </w:tcPr>
          <w:p>
            <w:pPr>
              <w:spacing w:after="0" w:line="214" w:lineRule="exact"/>
              <w:rPr>
                <w:sz w:val="20"/>
                <w:szCs w:val="20"/>
                <w:color w:val="auto"/>
              </w:rPr>
            </w:pPr>
            <w:r>
              <w:rPr>
                <w:rFonts w:ascii="Courier New" w:cs="Courier New" w:eastAsia="Courier New" w:hAnsi="Courier New"/>
                <w:sz w:val="19"/>
                <w:szCs w:val="19"/>
                <w:color w:val="auto"/>
              </w:rPr>
              <w:t>With</w:t>
            </w:r>
          </w:p>
        </w:tc>
        <w:tc>
          <w:tcPr>
            <w:tcW w:w="2000" w:type="dxa"/>
            <w:vAlign w:val="bottom"/>
          </w:tcPr>
          <w:p>
            <w:pPr>
              <w:spacing w:after="0"/>
              <w:rPr>
                <w:sz w:val="18"/>
                <w:szCs w:val="18"/>
                <w:color w:val="auto"/>
              </w:rPr>
            </w:pPr>
          </w:p>
        </w:tc>
        <w:tc>
          <w:tcPr>
            <w:tcW w:w="134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(7)</w:t>
            </w:r>
          </w:p>
        </w:tc>
        <w:tc>
          <w:tcPr>
            <w:tcW w:w="290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Sole Dispositive Power</w:t>
            </w:r>
          </w:p>
        </w:tc>
        <w:tc>
          <w:tcPr>
            <w:tcW w:w="1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2,623,762</w:t>
            </w:r>
          </w:p>
        </w:tc>
      </w:tr>
    </w:tbl>
    <w:p>
      <w:pPr>
        <w:sectPr>
          <w:pgSz w:w="12240" w:h="15840" w:orient="portrait"/>
          <w:cols w:equalWidth="0" w:num="1">
            <w:col w:w="10686"/>
          </w:cols>
          <w:pgMar w:left="114" w:top="209"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3566" w:type="dxa"/>
        <w:tblCellMar>
          <w:top w:w="0" w:type="dxa"/>
          <w:left w:w="0" w:type="dxa"/>
          <w:bottom w:w="0" w:type="dxa"/>
          <w:right w:w="0" w:type="dxa"/>
        </w:tblCellMar>
      </w:tblPr>
      <w:tr>
        <w:trPr>
          <w:trHeight w:val="211"/>
        </w:trPr>
        <w:tc>
          <w:tcPr>
            <w:tcW w:w="3880" w:type="dxa"/>
            <w:vAlign w:val="bottom"/>
          </w:tcPr>
          <w:p>
            <w:pPr>
              <w:spacing w:after="0" w:line="211" w:lineRule="exact"/>
              <w:rPr>
                <w:sz w:val="20"/>
                <w:szCs w:val="20"/>
                <w:color w:val="auto"/>
              </w:rPr>
            </w:pPr>
            <w:r>
              <w:rPr>
                <w:rFonts w:ascii="Courier New" w:cs="Courier New" w:eastAsia="Courier New" w:hAnsi="Courier New"/>
                <w:sz w:val="19"/>
                <w:szCs w:val="19"/>
                <w:color w:val="auto"/>
              </w:rPr>
              <w:t>(8)  Shared Dispositive Power</w:t>
            </w:r>
          </w:p>
        </w:tc>
        <w:tc>
          <w:tcPr>
            <w:tcW w:w="780" w:type="dxa"/>
            <w:vAlign w:val="bottom"/>
          </w:tcPr>
          <w:p>
            <w:pPr>
              <w:jc w:val="right"/>
              <w:spacing w:after="0" w:line="211" w:lineRule="exact"/>
              <w:rPr>
                <w:sz w:val="20"/>
                <w:szCs w:val="20"/>
                <w:color w:val="auto"/>
              </w:rPr>
            </w:pPr>
            <w:r>
              <w:rPr>
                <w:rFonts w:ascii="Courier New" w:cs="Courier New" w:eastAsia="Courier New" w:hAnsi="Courier New"/>
                <w:sz w:val="19"/>
                <w:szCs w:val="19"/>
                <w:color w:val="auto"/>
              </w:rPr>
              <w:t>0</w:t>
            </w:r>
          </w:p>
        </w:tc>
      </w:tr>
    </w:tbl>
    <w:p>
      <w:pPr>
        <w:spacing w:after="0" w:line="213" w:lineRule="exact"/>
        <w:rPr>
          <w:sz w:val="20"/>
          <w:szCs w:val="20"/>
          <w:color w:val="auto"/>
        </w:rPr>
      </w:pPr>
    </w:p>
    <w:p>
      <w:pPr>
        <w:ind w:left="566" w:hanging="566"/>
        <w:spacing w:after="0"/>
        <w:tabs>
          <w:tab w:leader="none" w:pos="566"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w:t>
      </w:r>
    </w:p>
    <w:tbl>
      <w:tblPr>
        <w:tblLayout w:type="fixed"/>
        <w:tblInd w:w="6"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by Each Reporting Person</w:t>
            </w:r>
          </w:p>
        </w:tc>
        <w:tc>
          <w:tcPr>
            <w:tcW w:w="110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rPr>
              <w:t>2,623,762</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(10)</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w w:val="98"/>
              </w:rPr>
              <w:t>Check if the Aggregated Amount in Row (9) Excludes Certain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4"/>
        </w:trPr>
        <w:tc>
          <w:tcPr>
            <w:tcW w:w="500" w:type="dxa"/>
            <w:vAlign w:val="bottom"/>
          </w:tcPr>
          <w:p>
            <w:pPr>
              <w:spacing w:after="0"/>
              <w:rPr>
                <w:sz w:val="18"/>
                <w:szCs w:val="18"/>
                <w:color w:val="auto"/>
              </w:rPr>
            </w:pPr>
          </w:p>
        </w:tc>
        <w:tc>
          <w:tcPr>
            <w:tcW w:w="66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Shares (see Instructions)</w:t>
            </w:r>
          </w:p>
        </w:tc>
        <w:tc>
          <w:tcPr>
            <w:tcW w:w="780" w:type="dxa"/>
            <w:vAlign w:val="bottom"/>
          </w:tcPr>
          <w:p>
            <w:pPr>
              <w:jc w:val="right"/>
              <w:ind w:right="27"/>
              <w:spacing w:after="0" w:line="214" w:lineRule="exact"/>
              <w:rPr>
                <w:sz w:val="20"/>
                <w:szCs w:val="20"/>
                <w:color w:val="auto"/>
              </w:rPr>
            </w:pPr>
            <w:r>
              <w:rPr>
                <w:rFonts w:ascii="Courier New" w:cs="Courier New" w:eastAsia="Courier New" w:hAnsi="Courier New"/>
                <w:sz w:val="19"/>
                <w:szCs w:val="19"/>
                <w:color w:val="auto"/>
              </w:rPr>
              <w:t>(</w:t>
            </w:r>
          </w:p>
        </w:tc>
        <w:tc>
          <w:tcPr>
            <w:tcW w:w="32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(11)</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Percent of Class Represented by Amount in Row (9)</w:t>
            </w:r>
          </w:p>
        </w:tc>
        <w:tc>
          <w:tcPr>
            <w:tcW w:w="110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3.58%</w:t>
            </w:r>
          </w:p>
        </w:tc>
      </w:tr>
      <w:tr>
        <w:trPr>
          <w:trHeight w:val="428"/>
        </w:trPr>
        <w:tc>
          <w:tcPr>
            <w:tcW w:w="500" w:type="dxa"/>
            <w:vAlign w:val="bottom"/>
          </w:tcPr>
          <w:p>
            <w:pPr>
              <w:jc w:val="right"/>
              <w:spacing w:after="0"/>
              <w:rPr>
                <w:sz w:val="20"/>
                <w:szCs w:val="20"/>
                <w:color w:val="auto"/>
              </w:rPr>
            </w:pPr>
            <w:r>
              <w:rPr>
                <w:rFonts w:ascii="Courier New" w:cs="Courier New" w:eastAsia="Courier New" w:hAnsi="Courier New"/>
                <w:sz w:val="19"/>
                <w:szCs w:val="19"/>
                <w:color w:val="auto"/>
                <w:w w:val="91"/>
              </w:rPr>
              <w:t>(12)</w:t>
            </w:r>
          </w:p>
        </w:tc>
        <w:tc>
          <w:tcPr>
            <w:tcW w:w="6620" w:type="dxa"/>
            <w:vAlign w:val="bottom"/>
          </w:tcPr>
          <w:p>
            <w:pPr>
              <w:ind w:left="60"/>
              <w:spacing w:after="0"/>
              <w:rPr>
                <w:sz w:val="20"/>
                <w:szCs w:val="20"/>
                <w:color w:val="auto"/>
              </w:rPr>
            </w:pPr>
            <w:r>
              <w:rPr>
                <w:rFonts w:ascii="Courier New" w:cs="Courier New" w:eastAsia="Courier New" w:hAnsi="Courier New"/>
                <w:sz w:val="19"/>
                <w:szCs w:val="19"/>
                <w:color w:val="auto"/>
              </w:rPr>
              <w:t>Type of Reporting Person (See Instructions)</w:t>
            </w:r>
          </w:p>
        </w:tc>
        <w:tc>
          <w:tcPr>
            <w:tcW w:w="7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9"/>
                <w:szCs w:val="19"/>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320" w:type="dxa"/>
            <w:vAlign w:val="bottom"/>
          </w:tcPr>
          <w:p>
            <w:pPr>
              <w:jc w:val="right"/>
              <w:ind w:right="1687"/>
              <w:spacing w:after="0"/>
              <w:rPr>
                <w:sz w:val="20"/>
                <w:szCs w:val="20"/>
                <w:color w:val="auto"/>
              </w:rPr>
            </w:pPr>
            <w:r>
              <w:rPr>
                <w:rFonts w:ascii="Courier New" w:cs="Courier New" w:eastAsia="Courier New" w:hAnsi="Courier New"/>
                <w:sz w:val="19"/>
                <w:szCs w:val="19"/>
                <w:color w:val="auto"/>
              </w:rPr>
              <w:t>SCHEDULE 13G</w:t>
            </w: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720" w:type="dxa"/>
            <w:vAlign w:val="bottom"/>
          </w:tcPr>
          <w:p>
            <w:pPr>
              <w:ind w:left="60"/>
              <w:spacing w:after="0"/>
              <w:rPr>
                <w:sz w:val="20"/>
                <w:szCs w:val="20"/>
                <w:color w:val="auto"/>
              </w:rPr>
            </w:pPr>
            <w:r>
              <w:rPr>
                <w:rFonts w:ascii="Courier New" w:cs="Courier New" w:eastAsia="Courier New" w:hAnsi="Courier New"/>
                <w:sz w:val="19"/>
                <w:szCs w:val="19"/>
                <w:color w:val="auto"/>
              </w:rPr>
              <w:t>1(a)</w:t>
            </w:r>
          </w:p>
        </w:tc>
        <w:tc>
          <w:tcPr>
            <w:tcW w:w="2120" w:type="dxa"/>
            <w:vAlign w:val="bottom"/>
          </w:tcPr>
          <w:p>
            <w:pPr>
              <w:ind w:left="220"/>
              <w:spacing w:after="0"/>
              <w:rPr>
                <w:sz w:val="20"/>
                <w:szCs w:val="20"/>
                <w:color w:val="auto"/>
              </w:rPr>
            </w:pPr>
            <w:r>
              <w:rPr>
                <w:rFonts w:ascii="Courier New" w:cs="Courier New" w:eastAsia="Courier New" w:hAnsi="Courier New"/>
                <w:sz w:val="19"/>
                <w:szCs w:val="19"/>
                <w:color w:val="auto"/>
              </w:rPr>
              <w:t>Name of Issuer:</w:t>
            </w:r>
          </w:p>
        </w:tc>
        <w:tc>
          <w:tcPr>
            <w:tcW w:w="3320" w:type="dxa"/>
            <w:vAlign w:val="bottom"/>
          </w:tcPr>
          <w:p>
            <w:pPr>
              <w:jc w:val="right"/>
              <w:spacing w:after="0"/>
              <w:rPr>
                <w:sz w:val="20"/>
                <w:szCs w:val="20"/>
                <w:color w:val="auto"/>
              </w:rPr>
            </w:pPr>
            <w:r>
              <w:rPr>
                <w:rFonts w:ascii="Courier New" w:cs="Courier New" w:eastAsia="Courier New" w:hAnsi="Courier New"/>
                <w:sz w:val="19"/>
                <w:szCs w:val="19"/>
                <w:color w:val="auto"/>
              </w:rPr>
              <w:t>Clearway Energy Inc.</w:t>
            </w: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720" w:type="dxa"/>
            <w:vAlign w:val="bottom"/>
          </w:tcPr>
          <w:p>
            <w:pPr>
              <w:ind w:left="60"/>
              <w:spacing w:after="0"/>
              <w:rPr>
                <w:sz w:val="20"/>
                <w:szCs w:val="20"/>
                <w:color w:val="auto"/>
              </w:rPr>
            </w:pPr>
            <w:r>
              <w:rPr>
                <w:rFonts w:ascii="Courier New" w:cs="Courier New" w:eastAsia="Courier New" w:hAnsi="Courier New"/>
                <w:sz w:val="19"/>
                <w:szCs w:val="19"/>
                <w:color w:val="auto"/>
              </w:rPr>
              <w:t>1(b)</w:t>
            </w:r>
          </w:p>
        </w:tc>
        <w:tc>
          <w:tcPr>
            <w:tcW w:w="5440" w:type="dxa"/>
            <w:vAlign w:val="bottom"/>
            <w:gridSpan w:val="2"/>
          </w:tcPr>
          <w:p>
            <w:pPr>
              <w:jc w:val="right"/>
              <w:spacing w:after="0"/>
              <w:rPr>
                <w:sz w:val="20"/>
                <w:szCs w:val="20"/>
                <w:color w:val="auto"/>
              </w:rPr>
            </w:pPr>
            <w:r>
              <w:rPr>
                <w:rFonts w:ascii="Courier New" w:cs="Courier New" w:eastAsia="Courier New" w:hAnsi="Courier New"/>
                <w:sz w:val="19"/>
                <w:szCs w:val="19"/>
                <w:color w:val="auto"/>
              </w:rPr>
              <w:t>Address of Issuer's Principal Executive Office:</w:t>
            </w:r>
          </w:p>
        </w:tc>
      </w:tr>
    </w:tbl>
    <w:p>
      <w:pPr>
        <w:spacing w:after="0" w:line="213" w:lineRule="exact"/>
        <w:rPr>
          <w:sz w:val="20"/>
          <w:szCs w:val="20"/>
          <w:color w:val="auto"/>
        </w:rPr>
      </w:pPr>
    </w:p>
    <w:p>
      <w:pPr>
        <w:ind w:left="3446"/>
        <w:spacing w:after="0"/>
        <w:rPr>
          <w:sz w:val="20"/>
          <w:szCs w:val="20"/>
          <w:color w:val="auto"/>
        </w:rPr>
      </w:pPr>
      <w:r>
        <w:rPr>
          <w:rFonts w:ascii="Courier New" w:cs="Courier New" w:eastAsia="Courier New" w:hAnsi="Courier New"/>
          <w:sz w:val="19"/>
          <w:szCs w:val="19"/>
          <w:color w:val="auto"/>
        </w:rPr>
        <w:t>300 Carnegie Center, Suite 300</w:t>
      </w:r>
    </w:p>
    <w:p>
      <w:pPr>
        <w:ind w:left="3446"/>
        <w:spacing w:after="0"/>
        <w:tabs>
          <w:tab w:leader="none" w:pos="5986" w:val="left"/>
        </w:tabs>
        <w:rPr>
          <w:sz w:val="20"/>
          <w:szCs w:val="20"/>
          <w:color w:val="auto"/>
        </w:rPr>
      </w:pPr>
      <w:r>
        <w:rPr>
          <w:rFonts w:ascii="Courier New" w:cs="Courier New" w:eastAsia="Courier New" w:hAnsi="Courier New"/>
          <w:sz w:val="19"/>
          <w:szCs w:val="19"/>
          <w:color w:val="auto"/>
        </w:rPr>
        <w:t>Princeton, New Jersey</w:t>
      </w:r>
      <w:r>
        <w:rPr>
          <w:sz w:val="20"/>
          <w:szCs w:val="20"/>
          <w:color w:val="auto"/>
        </w:rPr>
        <w:tab/>
      </w:r>
      <w:r>
        <w:rPr>
          <w:rFonts w:ascii="Courier New" w:cs="Courier New" w:eastAsia="Courier New" w:hAnsi="Courier New"/>
          <w:sz w:val="18"/>
          <w:szCs w:val="18"/>
          <w:color w:val="auto"/>
        </w:rPr>
        <w:t>08540</w:t>
      </w:r>
    </w:p>
    <w:p>
      <w:pPr>
        <w:ind w:left="3446"/>
        <w:spacing w:after="0"/>
        <w:rPr>
          <w:sz w:val="20"/>
          <w:szCs w:val="20"/>
          <w:color w:val="auto"/>
        </w:rPr>
      </w:pPr>
      <w:r>
        <w:rPr>
          <w:rFonts w:ascii="Courier New" w:cs="Courier New" w:eastAsia="Courier New" w:hAnsi="Courier New"/>
          <w:sz w:val="19"/>
          <w:szCs w:val="19"/>
          <w:color w:val="auto"/>
        </w:rPr>
        <w:t>United States</w:t>
      </w:r>
    </w:p>
    <w:p>
      <w:pPr>
        <w:spacing w:after="0" w:line="212" w:lineRule="exact"/>
        <w:rPr>
          <w:sz w:val="20"/>
          <w:szCs w:val="20"/>
          <w:color w:val="auto"/>
        </w:rPr>
      </w:pPr>
    </w:p>
    <w:p>
      <w:pPr>
        <w:ind w:left="6"/>
        <w:spacing w:after="0"/>
        <w:tabs>
          <w:tab w:leader="none" w:pos="1426" w:val="left"/>
          <w:tab w:leader="none" w:pos="4206" w:val="left"/>
        </w:tabs>
        <w:rPr>
          <w:sz w:val="20"/>
          <w:szCs w:val="20"/>
          <w:color w:val="auto"/>
        </w:rPr>
      </w:pPr>
      <w:r>
        <w:rPr>
          <w:rFonts w:ascii="Courier New" w:cs="Courier New" w:eastAsia="Courier New" w:hAnsi="Courier New"/>
          <w:sz w:val="19"/>
          <w:szCs w:val="19"/>
          <w:color w:val="auto"/>
        </w:rPr>
        <w:t>Item 2(a)</w:t>
      </w:r>
      <w:r>
        <w:rPr>
          <w:sz w:val="20"/>
          <w:szCs w:val="20"/>
          <w:color w:val="auto"/>
        </w:rPr>
        <w:tab/>
      </w:r>
      <w:r>
        <w:rPr>
          <w:rFonts w:ascii="Courier New" w:cs="Courier New" w:eastAsia="Courier New" w:hAnsi="Courier New"/>
          <w:sz w:val="19"/>
          <w:szCs w:val="19"/>
          <w:color w:val="auto"/>
        </w:rPr>
        <w:t>Name of Person Filing:</w:t>
      </w:r>
      <w:r>
        <w:rPr>
          <w:sz w:val="20"/>
          <w:szCs w:val="20"/>
          <w:color w:val="auto"/>
        </w:rPr>
        <w:tab/>
      </w:r>
      <w:r>
        <w:rPr>
          <w:rFonts w:ascii="Courier New" w:cs="Courier New" w:eastAsia="Courier New" w:hAnsi="Courier New"/>
          <w:sz w:val="18"/>
          <w:szCs w:val="18"/>
          <w:color w:val="auto"/>
        </w:rPr>
        <w:t>The Bank of New York Mellon Corporation</w:t>
      </w:r>
    </w:p>
    <w:p>
      <w:pPr>
        <w:ind w:left="4226"/>
        <w:spacing w:after="0" w:line="238" w:lineRule="auto"/>
        <w:rPr>
          <w:sz w:val="20"/>
          <w:szCs w:val="20"/>
          <w:color w:val="auto"/>
        </w:rPr>
      </w:pPr>
      <w:r>
        <w:rPr>
          <w:rFonts w:ascii="Courier New" w:cs="Courier New" w:eastAsia="Courier New" w:hAnsi="Courier New"/>
          <w:sz w:val="19"/>
          <w:szCs w:val="19"/>
          <w:color w:val="auto"/>
        </w:rPr>
        <w:t>and any other reporting person(s)</w:t>
      </w:r>
    </w:p>
    <w:p>
      <w:pPr>
        <w:ind w:left="4226"/>
        <w:spacing w:after="0"/>
        <w:rPr>
          <w:sz w:val="20"/>
          <w:szCs w:val="20"/>
          <w:color w:val="auto"/>
        </w:rPr>
      </w:pPr>
      <w:r>
        <w:rPr>
          <w:rFonts w:ascii="Courier New" w:cs="Courier New" w:eastAsia="Courier New" w:hAnsi="Courier New"/>
          <w:sz w:val="19"/>
          <w:szCs w:val="19"/>
          <w:color w:val="auto"/>
        </w:rPr>
        <w:t>identified on the second part of the</w:t>
      </w:r>
    </w:p>
    <w:p>
      <w:pPr>
        <w:ind w:left="4226"/>
        <w:spacing w:after="0" w:line="237" w:lineRule="auto"/>
        <w:rPr>
          <w:sz w:val="20"/>
          <w:szCs w:val="20"/>
          <w:color w:val="auto"/>
        </w:rPr>
      </w:pPr>
      <w:r>
        <w:rPr>
          <w:rFonts w:ascii="Courier New" w:cs="Courier New" w:eastAsia="Courier New" w:hAnsi="Courier New"/>
          <w:sz w:val="19"/>
          <w:szCs w:val="19"/>
          <w:color w:val="auto"/>
        </w:rPr>
        <w:t>cover page(s) and Exhibit I</w:t>
      </w:r>
    </w:p>
    <w:p>
      <w:pPr>
        <w:sectPr>
          <w:pgSz w:w="12240" w:h="15840" w:orient="portrait"/>
          <w:cols w:equalWidth="0" w:num="1">
            <w:col w:w="10686"/>
          </w:cols>
          <w:pgMar w:left="114" w:top="0" w:right="1440" w:bottom="0" w:gutter="0" w:footer="0" w:header="0"/>
        </w:sectPr>
      </w:pPr>
    </w:p>
    <w:p>
      <w:pPr>
        <w:spacing w:after="0" w:line="220"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Item 2(b)</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Address of Principal Business Office, or if None, Residence:</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 The Bank of New York Mellon Corporation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9"/>
          <w:szCs w:val="19"/>
          <w:color w:val="auto"/>
        </w:rPr>
        <w:t>240 Greenwich Street</w:t>
      </w:r>
    </w:p>
    <w:p>
      <w:pPr>
        <w:ind w:left="2780"/>
        <w:spacing w:after="0" w:line="238" w:lineRule="auto"/>
        <w:rPr>
          <w:sz w:val="20"/>
          <w:szCs w:val="20"/>
          <w:color w:val="auto"/>
        </w:rPr>
      </w:pPr>
      <w:r>
        <w:rPr>
          <w:rFonts w:ascii="Courier New" w:cs="Courier New" w:eastAsia="Courier New" w:hAnsi="Courier New"/>
          <w:sz w:val="19"/>
          <w:szCs w:val="19"/>
          <w:color w:val="auto"/>
        </w:rPr>
        <w:t>New York, New York 10286</w:t>
      </w:r>
    </w:p>
    <w:p>
      <w:pPr>
        <w:ind w:left="2780"/>
        <w:spacing w:after="0"/>
        <w:rPr>
          <w:sz w:val="20"/>
          <w:szCs w:val="20"/>
          <w:color w:val="auto"/>
        </w:rPr>
      </w:pPr>
      <w:r>
        <w:rPr>
          <w:rFonts w:ascii="Courier New" w:cs="Courier New" w:eastAsia="Courier New" w:hAnsi="Courier New"/>
          <w:sz w:val="19"/>
          <w:szCs w:val="19"/>
          <w:color w:val="auto"/>
        </w:rPr>
        <w:t>(for all reporting persons)</w:t>
      </w:r>
    </w:p>
    <w:p>
      <w:pPr>
        <w:spacing w:after="0" w:line="200" w:lineRule="exact"/>
        <w:rPr>
          <w:sz w:val="20"/>
          <w:szCs w:val="20"/>
          <w:color w:val="auto"/>
        </w:rPr>
      </w:pPr>
    </w:p>
    <w:p>
      <w:pPr>
        <w:sectPr>
          <w:pgSz w:w="12240" w:h="15840" w:orient="portrait"/>
          <w:cols w:equalWidth="0" w:num="2">
            <w:col w:w="1006" w:space="560"/>
            <w:col w:w="9120"/>
          </w:cols>
          <w:pgMar w:left="114" w:top="0" w:right="1440" w:bottom="0" w:gutter="0" w:footer="0" w:header="0"/>
          <w:type w:val="continuous"/>
        </w:sectPr>
      </w:pPr>
    </w:p>
    <w:p>
      <w:pPr>
        <w:spacing w:after="0" w:line="19"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See cover page and Exhibit I</w:t>
      </w:r>
    </w:p>
    <w:p>
      <w:pPr>
        <w:spacing w:after="0" w:line="200" w:lineRule="exact"/>
        <w:rPr>
          <w:sz w:val="20"/>
          <w:szCs w:val="20"/>
          <w:color w:val="auto"/>
        </w:rPr>
      </w:pPr>
    </w:p>
    <w:p>
      <w:pPr>
        <w:sectPr>
          <w:pgSz w:w="12240" w:h="15840" w:orient="portrait"/>
          <w:cols w:equalWidth="0" w:num="3">
            <w:col w:w="1006" w:space="560"/>
            <w:col w:w="1820" w:space="720"/>
            <w:col w:w="6580"/>
          </w:cols>
          <w:pgMar w:left="114" w:top="0" w:right="1440" w:bottom="0" w:gutter="0" w:footer="0" w:header="0"/>
          <w:type w:val="continuous"/>
        </w:sectPr>
      </w:pPr>
    </w:p>
    <w:p>
      <w:pPr>
        <w:spacing w:after="0" w:line="24"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ectPr>
          <w:pgSz w:w="12240" w:h="15840" w:orient="portrait"/>
          <w:cols w:equalWidth="0" w:num="3">
            <w:col w:w="1006" w:space="560"/>
            <w:col w:w="3220" w:space="560"/>
            <w:col w:w="5340"/>
          </w:cols>
          <w:pgMar w:left="114" w:top="0" w:right="1440" w:bottom="0" w:gutter="0" w:footer="0" w:header="0"/>
          <w:type w:val="continuous"/>
        </w:sectPr>
      </w:pPr>
    </w:p>
    <w:p>
      <w:pPr>
        <w:spacing w:after="0" w:line="24"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0" w:lineRule="exact"/>
        <w:rPr>
          <w:sz w:val="20"/>
          <w:szCs w:val="20"/>
          <w:color w:val="auto"/>
        </w:rPr>
      </w:pPr>
    </w:p>
    <w:p>
      <w:pPr>
        <w:sectPr>
          <w:pgSz w:w="12240" w:h="15840" w:orient="portrait"/>
          <w:cols w:equalWidth="0" w:num="2">
            <w:col w:w="1326" w:space="460"/>
            <w:col w:w="8900"/>
          </w:cols>
          <w:pgMar w:left="114" w:top="0" w:right="1440" w:bottom="0" w:gutter="0" w:footer="0" w:header="0"/>
          <w:type w:val="continuous"/>
        </w:sectPr>
      </w:pPr>
    </w:p>
    <w:p>
      <w:pPr>
        <w:spacing w:after="0" w:line="17" w:lineRule="exact"/>
        <w:rPr>
          <w:sz w:val="20"/>
          <w:szCs w:val="20"/>
          <w:color w:val="auto"/>
        </w:rPr>
      </w:pPr>
    </w:p>
    <w:p>
      <w:pPr>
        <w:jc w:val="center"/>
        <w:ind w:right="4114"/>
        <w:spacing w:after="0"/>
        <w:tabs>
          <w:tab w:leader="none" w:pos="540" w:val="left"/>
        </w:tabs>
        <w:rPr>
          <w:sz w:val="20"/>
          <w:szCs w:val="20"/>
          <w:color w:val="auto"/>
        </w:rPr>
      </w:pPr>
      <w:r>
        <w:rPr>
          <w:rFonts w:ascii="Courier New" w:cs="Courier New" w:eastAsia="Courier New" w:hAnsi="Courier New"/>
          <w:sz w:val="19"/>
          <w:szCs w:val="19"/>
          <w:color w:val="auto"/>
        </w:rPr>
        <w:t>Item 3</w:t>
      </w:r>
      <w:r>
        <w:rPr>
          <w:sz w:val="20"/>
          <w:szCs w:val="20"/>
          <w:color w:val="auto"/>
        </w:rPr>
        <w:tab/>
      </w:r>
      <w:r>
        <w:rPr>
          <w:rFonts w:ascii="Courier New" w:cs="Courier New" w:eastAsia="Courier New" w:hAnsi="Courier New"/>
          <w:sz w:val="18"/>
          <w:szCs w:val="18"/>
          <w:color w:val="auto"/>
        </w:rPr>
        <w:t>See Item 12 of cover page(s) ("Type of Reporting</w:t>
      </w:r>
    </w:p>
    <w:p>
      <w:pPr>
        <w:jc w:val="center"/>
        <w:ind w:right="4234"/>
        <w:spacing w:after="0" w:line="238" w:lineRule="auto"/>
        <w:rPr>
          <w:sz w:val="20"/>
          <w:szCs w:val="20"/>
          <w:color w:val="auto"/>
        </w:rPr>
      </w:pPr>
      <w:r>
        <w:rPr>
          <w:rFonts w:ascii="Courier New" w:cs="Courier New" w:eastAsia="Courier New" w:hAnsi="Courier New"/>
          <w:sz w:val="19"/>
          <w:szCs w:val="19"/>
          <w:color w:val="auto"/>
        </w:rPr>
        <w:t>Person ") for each reporting person.</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Symbol Category</w:t>
      </w:r>
    </w:p>
    <w:p>
      <w:pPr>
        <w:sectPr>
          <w:pgSz w:w="12240" w:h="15840" w:orient="portrait"/>
          <w:cols w:equalWidth="0" w:num="1">
            <w:col w:w="10686"/>
          </w:cols>
          <w:pgMar w:left="114" w:top="0" w:right="1440" w:bottom="0" w:gutter="0" w:footer="0" w:header="0"/>
          <w:type w:val="continuous"/>
        </w:sectPr>
      </w:pPr>
    </w:p>
    <w:p>
      <w:pPr>
        <w:spacing w:after="0" w:line="2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BD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680"/>
        <w:spacing w:after="0" w:line="235" w:lineRule="auto"/>
        <w:rPr>
          <w:sz w:val="20"/>
          <w:szCs w:val="20"/>
          <w:color w:val="auto"/>
        </w:rPr>
      </w:pPr>
      <w:r>
        <w:rPr>
          <w:rFonts w:ascii="Courier New" w:cs="Courier New" w:eastAsia="Courier New" w:hAnsi="Courier New"/>
          <w:sz w:val="19"/>
          <w:szCs w:val="19"/>
          <w:color w:val="auto"/>
        </w:rPr>
        <w:t>Broker or Dealer registered under Section 15 of the Securities Exchange Act of 1934</w:t>
      </w:r>
    </w:p>
    <w:p>
      <w:pPr>
        <w:spacing w:after="0" w:line="200" w:lineRule="exact"/>
        <w:rPr>
          <w:sz w:val="20"/>
          <w:szCs w:val="20"/>
          <w:color w:val="auto"/>
        </w:rPr>
      </w:pPr>
    </w:p>
    <w:p>
      <w:pPr>
        <w:sectPr>
          <w:pgSz w:w="12240" w:h="15840" w:orient="portrait"/>
          <w:cols w:equalWidth="0" w:num="3">
            <w:col w:w="1566" w:space="320"/>
            <w:col w:w="120" w:space="340"/>
            <w:col w:w="8340"/>
          </w:cols>
          <w:pgMar w:left="114" w:top="0"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BK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560"/>
        <w:spacing w:after="0" w:line="235" w:lineRule="auto"/>
        <w:rPr>
          <w:sz w:val="20"/>
          <w:szCs w:val="20"/>
          <w:color w:val="auto"/>
        </w:rPr>
      </w:pPr>
      <w:r>
        <w:rPr>
          <w:rFonts w:ascii="Courier New" w:cs="Courier New" w:eastAsia="Courier New" w:hAnsi="Courier New"/>
          <w:sz w:val="19"/>
          <w:szCs w:val="19"/>
          <w:color w:val="auto"/>
        </w:rPr>
        <w:t>Bank as defined in Section 3(a)(6) of the Securities Exchange Act of 1934</w:t>
      </w:r>
    </w:p>
    <w:p>
      <w:pPr>
        <w:spacing w:after="0" w:line="200" w:lineRule="exact"/>
        <w:rPr>
          <w:sz w:val="20"/>
          <w:szCs w:val="20"/>
          <w:color w:val="auto"/>
        </w:rPr>
      </w:pPr>
    </w:p>
    <w:p>
      <w:pPr>
        <w:sectPr>
          <w:pgSz w:w="12240" w:h="15840" w:orient="portrait"/>
          <w:cols w:equalWidth="0" w:num="3">
            <w:col w:w="1566" w:space="320"/>
            <w:col w:w="120" w:space="340"/>
            <w:col w:w="8340"/>
          </w:cols>
          <w:pgMar w:left="114" w:top="0"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IV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560"/>
        <w:spacing w:after="0" w:line="235" w:lineRule="auto"/>
        <w:rPr>
          <w:sz w:val="20"/>
          <w:szCs w:val="20"/>
          <w:color w:val="auto"/>
        </w:rPr>
      </w:pPr>
      <w:r>
        <w:rPr>
          <w:rFonts w:ascii="Courier New" w:cs="Courier New" w:eastAsia="Courier New" w:hAnsi="Courier New"/>
          <w:sz w:val="19"/>
          <w:szCs w:val="19"/>
          <w:color w:val="auto"/>
        </w:rPr>
        <w:t>Investment Company registered under Section 8 of the Investment Company Act of 1940</w:t>
      </w:r>
    </w:p>
    <w:p>
      <w:pPr>
        <w:spacing w:after="0" w:line="200" w:lineRule="exact"/>
        <w:rPr>
          <w:sz w:val="20"/>
          <w:szCs w:val="20"/>
          <w:color w:val="auto"/>
        </w:rPr>
      </w:pPr>
    </w:p>
    <w:p>
      <w:pPr>
        <w:sectPr>
          <w:pgSz w:w="12240" w:h="15840" w:orient="portrait"/>
          <w:cols w:equalWidth="0" w:num="3">
            <w:col w:w="1566" w:space="320"/>
            <w:col w:w="120" w:space="340"/>
            <w:col w:w="8340"/>
          </w:cols>
          <w:pgMar w:left="114" w:top="0"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IA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340"/>
        <w:spacing w:after="0" w:line="235" w:lineRule="auto"/>
        <w:rPr>
          <w:sz w:val="20"/>
          <w:szCs w:val="20"/>
          <w:color w:val="auto"/>
        </w:rPr>
      </w:pPr>
      <w:r>
        <w:rPr>
          <w:rFonts w:ascii="Courier New" w:cs="Courier New" w:eastAsia="Courier New" w:hAnsi="Courier New"/>
          <w:sz w:val="19"/>
          <w:szCs w:val="19"/>
          <w:color w:val="auto"/>
        </w:rPr>
        <w:t>Investment Advisor registered under Section 203 of the Investment Advisors Act of 1940</w:t>
      </w:r>
    </w:p>
    <w:p>
      <w:pPr>
        <w:spacing w:after="0" w:line="200" w:lineRule="exact"/>
        <w:rPr>
          <w:sz w:val="20"/>
          <w:szCs w:val="20"/>
          <w:color w:val="auto"/>
        </w:rPr>
      </w:pPr>
    </w:p>
    <w:p>
      <w:pPr>
        <w:sectPr>
          <w:pgSz w:w="12240" w:h="15840" w:orient="portrait"/>
          <w:cols w:equalWidth="0" w:num="3">
            <w:col w:w="1566" w:space="320"/>
            <w:col w:w="120" w:space="340"/>
            <w:col w:w="8340"/>
          </w:cols>
          <w:pgMar w:left="114" w:top="0" w:right="1440" w:bottom="0" w:gutter="0" w:footer="0" w:header="0"/>
          <w:type w:val="continuous"/>
        </w:sectPr>
      </w:pPr>
    </w:p>
    <w:p>
      <w:pPr>
        <w:spacing w:after="0" w:line="1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EP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560"/>
        <w:spacing w:after="0" w:line="253" w:lineRule="auto"/>
        <w:rPr>
          <w:sz w:val="20"/>
          <w:szCs w:val="20"/>
          <w:color w:val="auto"/>
        </w:rPr>
      </w:pPr>
      <w:r>
        <w:rPr>
          <w:rFonts w:ascii="Courier New" w:cs="Courier New" w:eastAsia="Courier New" w:hAnsi="Courier New"/>
          <w:sz w:val="18"/>
          <w:szCs w:val="18"/>
          <w:color w:val="auto"/>
        </w:rPr>
        <w:t>Employee Benefit Plan, Pension Fund which is subject to the provisions of the Employee Retirement Income Security Act of 1974 or Endowment Fund; see Section 240.13 - d(1)(b)(1)(ii)(F)</w:t>
      </w:r>
    </w:p>
    <w:p>
      <w:pPr>
        <w:spacing w:after="0" w:line="200" w:lineRule="exact"/>
        <w:rPr>
          <w:sz w:val="20"/>
          <w:szCs w:val="20"/>
          <w:color w:val="auto"/>
        </w:rPr>
      </w:pPr>
    </w:p>
    <w:p>
      <w:pPr>
        <w:sectPr>
          <w:pgSz w:w="12240" w:h="15840" w:orient="portrait"/>
          <w:cols w:equalWidth="0" w:num="3">
            <w:col w:w="1566" w:space="320"/>
            <w:col w:w="120" w:space="340"/>
            <w:col w:w="8340"/>
          </w:cols>
          <w:pgMar w:left="114" w:top="0" w:right="1440" w:bottom="0" w:gutter="0" w:footer="0" w:header="0"/>
          <w:type w:val="continuous"/>
        </w:sectPr>
      </w:pPr>
    </w:p>
    <w:p>
      <w:pPr>
        <w:spacing w:after="0" w:line="3" w:lineRule="exact"/>
        <w:rPr>
          <w:sz w:val="20"/>
          <w:szCs w:val="20"/>
          <w:color w:val="auto"/>
        </w:rPr>
      </w:pPr>
    </w:p>
    <w:p>
      <w:pPr>
        <w:ind w:left="1326"/>
        <w:spacing w:after="0"/>
        <w:rPr>
          <w:sz w:val="20"/>
          <w:szCs w:val="20"/>
          <w:color w:val="auto"/>
        </w:rPr>
      </w:pPr>
      <w:r>
        <w:rPr>
          <w:rFonts w:ascii="Courier New" w:cs="Courier New" w:eastAsia="Courier New" w:hAnsi="Courier New"/>
          <w:sz w:val="19"/>
          <w:szCs w:val="19"/>
          <w:color w:val="auto"/>
        </w:rPr>
        <w:t>HC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9"/>
          <w:szCs w:val="19"/>
          <w:color w:val="auto"/>
        </w:rPr>
        <w:t>=</w:t>
      </w:r>
    </w:p>
    <w:p>
      <w:pPr>
        <w:spacing w:after="0" w:line="20" w:lineRule="exact"/>
        <w:rPr>
          <w:sz w:val="20"/>
          <w:szCs w:val="20"/>
          <w:color w:val="auto"/>
        </w:rPr>
      </w:pPr>
      <w:r>
        <w:rPr>
          <w:sz w:val="20"/>
          <w:szCs w:val="20"/>
          <w:color w:val="auto"/>
        </w:rPr>
        <w:br w:type="column"/>
      </w:r>
    </w:p>
    <w:p>
      <w:pPr>
        <w:ind w:right="2780"/>
        <w:spacing w:after="0" w:line="235" w:lineRule="auto"/>
        <w:rPr>
          <w:sz w:val="20"/>
          <w:szCs w:val="20"/>
          <w:color w:val="auto"/>
        </w:rPr>
      </w:pPr>
      <w:r>
        <w:rPr>
          <w:rFonts w:ascii="Courier New" w:cs="Courier New" w:eastAsia="Courier New" w:hAnsi="Courier New"/>
          <w:sz w:val="19"/>
          <w:szCs w:val="19"/>
          <w:color w:val="auto"/>
        </w:rPr>
        <w:t>Parent Holding Company, in accordance with Section 240.13-d(1)(b)(1)(ii)(G)</w:t>
      </w:r>
    </w:p>
    <w:p>
      <w:pPr>
        <w:spacing w:after="0" w:line="200" w:lineRule="exact"/>
        <w:rPr>
          <w:sz w:val="20"/>
          <w:szCs w:val="20"/>
          <w:color w:val="auto"/>
        </w:rPr>
      </w:pPr>
    </w:p>
    <w:p>
      <w:pPr>
        <w:sectPr>
          <w:pgSz w:w="12240" w:h="15840" w:orient="portrait"/>
          <w:cols w:equalWidth="0" w:num="3">
            <w:col w:w="1566" w:space="320"/>
            <w:col w:w="120" w:space="340"/>
            <w:col w:w="8340"/>
          </w:cols>
          <w:pgMar w:left="114" w:top="0" w:right="1440" w:bottom="0" w:gutter="0" w:footer="0" w:header="0"/>
          <w:type w:val="continuous"/>
        </w:sectPr>
      </w:pPr>
    </w:p>
    <w:p>
      <w:pPr>
        <w:spacing w:after="0" w:line="13" w:lineRule="exact"/>
        <w:rPr>
          <w:sz w:val="20"/>
          <w:szCs w:val="20"/>
          <w:color w:val="auto"/>
        </w:rPr>
      </w:pPr>
    </w:p>
    <w:p>
      <w:pPr>
        <w:ind w:left="6"/>
        <w:spacing w:after="0"/>
        <w:tabs>
          <w:tab w:leader="none" w:pos="866" w:val="left"/>
          <w:tab w:leader="none" w:pos="2206" w:val="left"/>
        </w:tabs>
        <w:rPr>
          <w:sz w:val="20"/>
          <w:szCs w:val="20"/>
          <w:color w:val="auto"/>
        </w:rPr>
      </w:pPr>
      <w:r>
        <w:rPr>
          <w:rFonts w:ascii="Courier New" w:cs="Courier New" w:eastAsia="Courier New" w:hAnsi="Courier New"/>
          <w:sz w:val="19"/>
          <w:szCs w:val="19"/>
          <w:color w:val="auto"/>
        </w:rPr>
        <w:t>Item 4</w:t>
        <w:tab/>
        <w:t>Ownership:</w:t>
      </w:r>
      <w:r>
        <w:rPr>
          <w:sz w:val="20"/>
          <w:szCs w:val="20"/>
          <w:color w:val="auto"/>
        </w:rPr>
        <w:tab/>
      </w:r>
      <w:r>
        <w:rPr>
          <w:rFonts w:ascii="Courier New" w:cs="Courier New" w:eastAsia="Courier New" w:hAnsi="Courier New"/>
          <w:sz w:val="18"/>
          <w:szCs w:val="18"/>
          <w:color w:val="auto"/>
        </w:rPr>
        <w:t>See Item 5 through 9 and 11 of cover page(s)</w:t>
      </w:r>
    </w:p>
    <w:p>
      <w:pPr>
        <w:ind w:left="2226"/>
        <w:spacing w:after="0" w:line="238" w:lineRule="auto"/>
        <w:rPr>
          <w:sz w:val="20"/>
          <w:szCs w:val="20"/>
          <w:color w:val="auto"/>
        </w:rPr>
      </w:pPr>
      <w:r>
        <w:rPr>
          <w:rFonts w:ascii="Courier New" w:cs="Courier New" w:eastAsia="Courier New" w:hAnsi="Courier New"/>
          <w:sz w:val="19"/>
          <w:szCs w:val="19"/>
          <w:color w:val="auto"/>
        </w:rPr>
        <w:t>as to each reporting person.</w:t>
      </w:r>
    </w:p>
    <w:p>
      <w:pPr>
        <w:spacing w:after="0" w:line="220" w:lineRule="exact"/>
        <w:rPr>
          <w:sz w:val="20"/>
          <w:szCs w:val="20"/>
          <w:color w:val="auto"/>
        </w:rPr>
      </w:pPr>
    </w:p>
    <w:p>
      <w:pPr>
        <w:ind w:left="6" w:right="2460"/>
        <w:spacing w:after="0" w:line="253" w:lineRule="auto"/>
        <w:rPr>
          <w:sz w:val="20"/>
          <w:szCs w:val="20"/>
          <w:color w:val="auto"/>
        </w:rPr>
      </w:pPr>
      <w:r>
        <w:rPr>
          <w:rFonts w:ascii="Courier New" w:cs="Courier New" w:eastAsia="Courier New" w:hAnsi="Courier New"/>
          <w:sz w:val="18"/>
          <w:szCs w:val="18"/>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w:t>
      </w:r>
    </w:p>
    <w:p>
      <w:pPr>
        <w:sectPr>
          <w:pgSz w:w="12240" w:h="15840" w:orient="portrait"/>
          <w:cols w:equalWidth="0" w:num="1">
            <w:col w:w="10686"/>
          </w:cols>
          <w:pgMar w:left="114" w:top="0" w:right="1440" w:bottom="0" w:gutter="0" w:footer="0" w:header="0"/>
          <w:type w:val="continuous"/>
        </w:sectPr>
      </w:pPr>
    </w:p>
    <w:bookmarkStart w:id="3" w:name="page4"/>
    <w:bookmarkEnd w:id="3"/>
    <w:p>
      <w:pPr>
        <w:ind w:right="2240"/>
        <w:spacing w:after="0" w:line="252" w:lineRule="auto"/>
        <w:rPr>
          <w:sz w:val="20"/>
          <w:szCs w:val="20"/>
          <w:color w:val="auto"/>
        </w:rPr>
      </w:pPr>
      <w:r>
        <w:rPr>
          <w:rFonts w:ascii="Courier New" w:cs="Courier New" w:eastAsia="Courier New" w:hAnsi="Courier New"/>
          <w:sz w:val="18"/>
          <w:szCs w:val="18"/>
          <w:color w:val="auto"/>
        </w:rPr>
        <w:t>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212" w:lineRule="exact"/>
        <w:rPr>
          <w:sz w:val="20"/>
          <w:szCs w:val="20"/>
          <w:color w:val="auto"/>
        </w:rPr>
      </w:pPr>
    </w:p>
    <w:p>
      <w:pPr>
        <w:ind w:right="2560"/>
        <w:spacing w:after="0" w:line="251" w:lineRule="auto"/>
        <w:rPr>
          <w:sz w:val="20"/>
          <w:szCs w:val="20"/>
          <w:color w:val="auto"/>
        </w:rPr>
      </w:pPr>
      <w:r>
        <w:rPr>
          <w:rFonts w:ascii="Courier New" w:cs="Courier New" w:eastAsia="Courier New" w:hAnsi="Courier New"/>
          <w:sz w:val="18"/>
          <w:szCs w:val="18"/>
          <w:color w:val="auto"/>
        </w:rPr>
        <w:t>The following information applies if checked: ( ) The Bank of New York Mellon and/or ( ) The Bank of New York Mellon Trust Company, National Association is/are the trustee of the issuer's employee benefit plan (the</w:t>
      </w:r>
    </w:p>
    <w:p>
      <w:pPr>
        <w:spacing w:after="0" w:line="2" w:lineRule="exact"/>
        <w:rPr>
          <w:sz w:val="20"/>
          <w:szCs w:val="20"/>
          <w:color w:val="auto"/>
        </w:rPr>
      </w:pPr>
    </w:p>
    <w:p>
      <w:pPr>
        <w:ind w:right="2000"/>
        <w:spacing w:after="0" w:line="252" w:lineRule="auto"/>
        <w:rPr>
          <w:sz w:val="20"/>
          <w:szCs w:val="20"/>
          <w:color w:val="auto"/>
        </w:rPr>
      </w:pPr>
      <w:r>
        <w:rPr>
          <w:rFonts w:ascii="Courier New" w:cs="Courier New" w:eastAsia="Courier New" w:hAnsi="Courier New"/>
          <w:sz w:val="18"/>
          <w:szCs w:val="18"/>
          <w:color w:val="auto"/>
        </w:rPr>
        <w:t>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20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9"/>
          <w:szCs w:val="19"/>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p>
    <w:p>
      <w:pPr>
        <w:spacing w:after="0" w:line="219" w:lineRule="exact"/>
        <w:rPr>
          <w:sz w:val="20"/>
          <w:szCs w:val="20"/>
          <w:color w:val="auto"/>
        </w:rPr>
      </w:pPr>
    </w:p>
    <w:p>
      <w:pPr>
        <w:ind w:right="2560"/>
        <w:spacing w:after="0" w:line="25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9"/>
          <w:szCs w:val="19"/>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19" w:lineRule="exact"/>
        <w:rPr>
          <w:sz w:val="20"/>
          <w:szCs w:val="20"/>
          <w:color w:val="auto"/>
        </w:rPr>
      </w:pPr>
    </w:p>
    <w:p>
      <w:pPr>
        <w:ind w:right="2340"/>
        <w:spacing w:after="0" w:line="251" w:lineRule="auto"/>
        <w:rPr>
          <w:sz w:val="20"/>
          <w:szCs w:val="20"/>
          <w:color w:val="auto"/>
        </w:rPr>
      </w:pPr>
      <w:r>
        <w:rPr>
          <w:rFonts w:ascii="Courier New" w:cs="Courier New" w:eastAsia="Courier New" w:hAnsi="Courier New"/>
          <w:sz w:val="18"/>
          <w:szCs w:val="18"/>
          <w:color w:val="auto"/>
        </w:rPr>
        <w:t>All of the securities are beneficially owned by The Bank of New York Mellon Corporation and its direct or indirect subsidiaries in their various fiduciary capacities. As a result, another entity in every instance</w:t>
      </w:r>
    </w:p>
    <w:p>
      <w:pPr>
        <w:spacing w:after="0" w:line="2" w:lineRule="exact"/>
        <w:rPr>
          <w:sz w:val="20"/>
          <w:szCs w:val="20"/>
          <w:color w:val="auto"/>
        </w:rPr>
      </w:pPr>
    </w:p>
    <w:p>
      <w:pPr>
        <w:ind w:right="3900"/>
        <w:spacing w:after="0" w:line="257" w:lineRule="auto"/>
        <w:rPr>
          <w:sz w:val="20"/>
          <w:szCs w:val="20"/>
          <w:color w:val="auto"/>
        </w:rPr>
      </w:pPr>
      <w:r>
        <w:rPr>
          <w:rFonts w:ascii="Courier New" w:cs="Courier New" w:eastAsia="Courier New" w:hAnsi="Courier New"/>
          <w:sz w:val="18"/>
          <w:szCs w:val="18"/>
          <w:color w:val="auto"/>
        </w:rPr>
        <w:t>is entitled to dividends or proceeds of sale. The number of individual accounts holding an interest of 5% or more is (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 w:type="dxa"/>
            <w:vAlign w:val="bottom"/>
            <w:gridSpan w:val="2"/>
          </w:tcPr>
          <w:p>
            <w:pPr>
              <w:spacing w:after="0"/>
              <w:rPr>
                <w:sz w:val="20"/>
                <w:szCs w:val="20"/>
                <w:color w:val="auto"/>
              </w:rPr>
            </w:pPr>
            <w:r>
              <w:rPr>
                <w:rFonts w:ascii="Courier New" w:cs="Courier New" w:eastAsia="Courier New" w:hAnsi="Courier New"/>
                <w:sz w:val="19"/>
                <w:szCs w:val="19"/>
                <w:color w:val="auto"/>
              </w:rPr>
              <w:t>Item 7</w:t>
            </w:r>
          </w:p>
        </w:tc>
        <w:tc>
          <w:tcPr>
            <w:tcW w:w="2160" w:type="dxa"/>
            <w:vAlign w:val="bottom"/>
            <w:gridSpan w:val="2"/>
          </w:tcPr>
          <w:p>
            <w:pPr>
              <w:ind w:left="100"/>
              <w:spacing w:after="0"/>
              <w:rPr>
                <w:sz w:val="20"/>
                <w:szCs w:val="20"/>
                <w:color w:val="auto"/>
              </w:rPr>
            </w:pPr>
            <w:r>
              <w:rPr>
                <w:rFonts w:ascii="Courier New" w:cs="Courier New" w:eastAsia="Courier New" w:hAnsi="Courier New"/>
                <w:sz w:val="19"/>
                <w:szCs w:val="19"/>
                <w:color w:val="auto"/>
                <w:w w:val="99"/>
              </w:rPr>
              <w:t>Identification and</w:t>
            </w:r>
          </w:p>
        </w:tc>
        <w:tc>
          <w:tcPr>
            <w:tcW w:w="2000" w:type="dxa"/>
            <w:vAlign w:val="bottom"/>
          </w:tcPr>
          <w:p>
            <w:pPr>
              <w:ind w:left="60"/>
              <w:spacing w:after="0"/>
              <w:rPr>
                <w:sz w:val="20"/>
                <w:szCs w:val="20"/>
                <w:color w:val="auto"/>
              </w:rPr>
            </w:pPr>
            <w:r>
              <w:rPr>
                <w:rFonts w:ascii="Courier New" w:cs="Courier New" w:eastAsia="Courier New" w:hAnsi="Courier New"/>
                <w:sz w:val="19"/>
                <w:szCs w:val="19"/>
                <w:color w:val="auto"/>
                <w:w w:val="99"/>
              </w:rPr>
              <w:t>Classification of</w:t>
            </w:r>
          </w:p>
        </w:tc>
        <w:tc>
          <w:tcPr>
            <w:tcW w:w="3280" w:type="dxa"/>
            <w:vAlign w:val="bottom"/>
            <w:gridSpan w:val="2"/>
          </w:tcPr>
          <w:p>
            <w:pPr>
              <w:jc w:val="right"/>
              <w:spacing w:after="0"/>
              <w:rPr>
                <w:sz w:val="20"/>
                <w:szCs w:val="20"/>
                <w:color w:val="auto"/>
              </w:rPr>
            </w:pPr>
            <w:r>
              <w:rPr>
                <w:rFonts w:ascii="Courier New" w:cs="Courier New" w:eastAsia="Courier New" w:hAnsi="Courier New"/>
                <w:sz w:val="19"/>
                <w:szCs w:val="19"/>
                <w:color w:val="auto"/>
                <w:w w:val="98"/>
              </w:rPr>
              <w:t>the Subsidiary Which Acquired</w:t>
            </w:r>
          </w:p>
        </w:tc>
      </w:tr>
      <w:tr>
        <w:trPr>
          <w:trHeight w:val="214"/>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the</w:t>
            </w:r>
          </w:p>
        </w:tc>
        <w:tc>
          <w:tcPr>
            <w:tcW w:w="6340" w:type="dxa"/>
            <w:vAlign w:val="bottom"/>
            <w:gridSpan w:val="3"/>
          </w:tcPr>
          <w:p>
            <w:pPr>
              <w:ind w:left="40"/>
              <w:spacing w:after="0" w:line="214" w:lineRule="exact"/>
              <w:rPr>
                <w:sz w:val="20"/>
                <w:szCs w:val="20"/>
                <w:color w:val="auto"/>
              </w:rPr>
            </w:pPr>
            <w:r>
              <w:rPr>
                <w:rFonts w:ascii="Courier New" w:cs="Courier New" w:eastAsia="Courier New" w:hAnsi="Courier New"/>
                <w:sz w:val="19"/>
                <w:szCs w:val="19"/>
                <w:color w:val="auto"/>
              </w:rPr>
              <w:t>Security Being Reported by the Parent Holding Company:</w:t>
            </w:r>
          </w:p>
        </w:tc>
        <w:tc>
          <w:tcPr>
            <w:tcW w:w="60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See</w:t>
            </w:r>
          </w:p>
        </w:tc>
        <w:tc>
          <w:tcPr>
            <w:tcW w:w="1660" w:type="dxa"/>
            <w:vAlign w:val="bottom"/>
          </w:tcPr>
          <w:p>
            <w:pPr>
              <w:ind w:left="40"/>
              <w:spacing w:after="0" w:line="214" w:lineRule="exact"/>
              <w:rPr>
                <w:sz w:val="20"/>
                <w:szCs w:val="20"/>
                <w:color w:val="auto"/>
              </w:rPr>
            </w:pPr>
            <w:r>
              <w:rPr>
                <w:rFonts w:ascii="Courier New" w:cs="Courier New" w:eastAsia="Courier New" w:hAnsi="Courier New"/>
                <w:sz w:val="19"/>
                <w:szCs w:val="19"/>
                <w:color w:val="auto"/>
              </w:rPr>
              <w:t>Exhibit I.</w:t>
            </w:r>
          </w:p>
        </w:tc>
        <w:tc>
          <w:tcPr>
            <w:tcW w:w="2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28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c>
          <w:tcPr>
            <w:tcW w:w="4160" w:type="dxa"/>
            <w:vAlign w:val="bottom"/>
            <w:gridSpan w:val="3"/>
          </w:tcPr>
          <w:p>
            <w:pPr>
              <w:ind w:left="100"/>
              <w:spacing w:after="0"/>
              <w:rPr>
                <w:sz w:val="20"/>
                <w:szCs w:val="20"/>
                <w:color w:val="auto"/>
              </w:rPr>
            </w:pPr>
            <w:r>
              <w:rPr>
                <w:rFonts w:ascii="Courier New" w:cs="Courier New" w:eastAsia="Courier New" w:hAnsi="Courier New"/>
                <w:sz w:val="19"/>
                <w:szCs w:val="19"/>
                <w:color w:val="auto"/>
                <w:w w:val="98"/>
              </w:rPr>
              <w:t>Identification and Classification of</w:t>
            </w:r>
          </w:p>
        </w:tc>
        <w:tc>
          <w:tcPr>
            <w:tcW w:w="2680" w:type="dxa"/>
            <w:vAlign w:val="bottom"/>
          </w:tcPr>
          <w:p>
            <w:pPr>
              <w:ind w:left="60"/>
              <w:spacing w:after="0"/>
              <w:rPr>
                <w:sz w:val="20"/>
                <w:szCs w:val="20"/>
                <w:color w:val="auto"/>
              </w:rPr>
            </w:pPr>
            <w:r>
              <w:rPr>
                <w:rFonts w:ascii="Courier New" w:cs="Courier New" w:eastAsia="Courier New" w:hAnsi="Courier New"/>
                <w:sz w:val="19"/>
                <w:szCs w:val="19"/>
                <w:color w:val="auto"/>
              </w:rPr>
              <w:t>Members of the Group:</w:t>
            </w:r>
          </w:p>
        </w:tc>
        <w:tc>
          <w:tcPr>
            <w:tcW w:w="600" w:type="dxa"/>
            <w:vAlign w:val="bottom"/>
          </w:tcPr>
          <w:p>
            <w:pPr>
              <w:jc w:val="right"/>
              <w:spacing w:after="0"/>
              <w:rPr>
                <w:sz w:val="20"/>
                <w:szCs w:val="20"/>
                <w:color w:val="auto"/>
              </w:rPr>
            </w:pPr>
            <w:r>
              <w:rPr>
                <w:rFonts w:ascii="Courier New" w:cs="Courier New" w:eastAsia="Courier New" w:hAnsi="Courier New"/>
                <w:sz w:val="19"/>
                <w:szCs w:val="19"/>
                <w:color w:val="auto"/>
              </w:rPr>
              <w:t>N/A</w:t>
            </w:r>
          </w:p>
        </w:tc>
      </w:tr>
      <w:tr>
        <w:trPr>
          <w:trHeight w:val="428"/>
        </w:trPr>
        <w:tc>
          <w:tcPr>
            <w:tcW w:w="500" w:type="dxa"/>
            <w:vAlign w:val="bottom"/>
          </w:tcPr>
          <w:p>
            <w:pPr>
              <w:spacing w:after="0"/>
              <w:rPr>
                <w:sz w:val="20"/>
                <w:szCs w:val="20"/>
                <w:color w:val="auto"/>
              </w:rPr>
            </w:pPr>
            <w:r>
              <w:rPr>
                <w:rFonts w:ascii="Courier New" w:cs="Courier New" w:eastAsia="Courier New" w:hAnsi="Courier New"/>
                <w:sz w:val="19"/>
                <w:szCs w:val="19"/>
                <w:color w:val="auto"/>
              </w:rPr>
              <w:t>Item</w:t>
            </w:r>
          </w:p>
        </w:tc>
        <w:tc>
          <w:tcPr>
            <w:tcW w:w="280" w:type="dxa"/>
            <w:vAlign w:val="bottom"/>
          </w:tcPr>
          <w:p>
            <w:pPr>
              <w:jc w:val="right"/>
              <w:ind w:right="27"/>
              <w:spacing w:after="0"/>
              <w:rPr>
                <w:sz w:val="20"/>
                <w:szCs w:val="20"/>
                <w:color w:val="auto"/>
              </w:rPr>
            </w:pPr>
            <w:r>
              <w:rPr>
                <w:rFonts w:ascii="Courier New" w:cs="Courier New" w:eastAsia="Courier New" w:hAnsi="Courier New"/>
                <w:sz w:val="19"/>
                <w:szCs w:val="19"/>
                <w:color w:val="auto"/>
              </w:rPr>
              <w:t>9</w:t>
            </w:r>
          </w:p>
        </w:tc>
        <w:tc>
          <w:tcPr>
            <w:tcW w:w="4160" w:type="dxa"/>
            <w:vAlign w:val="bottom"/>
            <w:gridSpan w:val="3"/>
          </w:tcPr>
          <w:p>
            <w:pPr>
              <w:ind w:left="100"/>
              <w:spacing w:after="0"/>
              <w:rPr>
                <w:sz w:val="20"/>
                <w:szCs w:val="20"/>
                <w:color w:val="auto"/>
              </w:rPr>
            </w:pPr>
            <w:r>
              <w:rPr>
                <w:rFonts w:ascii="Courier New" w:cs="Courier New" w:eastAsia="Courier New" w:hAnsi="Courier New"/>
                <w:sz w:val="19"/>
                <w:szCs w:val="19"/>
                <w:color w:val="auto"/>
              </w:rPr>
              <w:t>Notice of Dissolution of Group:</w:t>
            </w:r>
          </w:p>
        </w:tc>
        <w:tc>
          <w:tcPr>
            <w:tcW w:w="26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9"/>
                <w:szCs w:val="19"/>
                <w:color w:val="auto"/>
              </w:rPr>
              <w:t>N/A</w:t>
            </w:r>
          </w:p>
        </w:tc>
      </w:tr>
    </w:tbl>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w:t>
      </w:r>
    </w:p>
    <w:p>
      <w:pPr>
        <w:spacing w:after="0" w:line="219"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2780"/>
        <w:spacing w:after="0" w:line="237"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9"/>
          <w:szCs w:val="19"/>
          <w:color w:val="auto"/>
        </w:rPr>
        <w:t>March 11, 2019</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 CORPORATION</w:t>
      </w:r>
    </w:p>
    <w:p>
      <w:pPr>
        <w:spacing w:after="0" w:line="213"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9"/>
          <w:szCs w:val="19"/>
          <w:color w:val="auto"/>
        </w:rPr>
        <w:t>By:</w:t>
      </w:r>
      <w:r>
        <w:rPr>
          <w:sz w:val="20"/>
          <w:szCs w:val="20"/>
          <w:color w:val="auto"/>
        </w:rPr>
        <w:tab/>
      </w:r>
      <w:r>
        <w:rPr>
          <w:rFonts w:ascii="Courier New" w:cs="Courier New" w:eastAsia="Courier New" w:hAnsi="Courier New"/>
          <w:sz w:val="18"/>
          <w:szCs w:val="18"/>
          <w:color w:val="auto"/>
        </w:rPr>
        <w:t>/s/ IVAN R. ARIAS</w:t>
      </w:r>
    </w:p>
    <w:p>
      <w:pPr>
        <w:spacing w:after="0" w:line="238" w:lineRule="auto"/>
        <w:rPr>
          <w:sz w:val="20"/>
          <w:szCs w:val="20"/>
          <w:color w:val="auto"/>
        </w:rPr>
      </w:pPr>
      <w:r>
        <w:rPr>
          <w:rFonts w:ascii="Courier New" w:cs="Courier New" w:eastAsia="Courier New" w:hAnsi="Courier New"/>
          <w:sz w:val="19"/>
          <w:szCs w:val="19"/>
          <w:color w:val="auto"/>
        </w:rPr>
        <w:t>--------------------------</w:t>
      </w:r>
    </w:p>
    <w:p>
      <w:pPr>
        <w:ind w:left="220"/>
        <w:spacing w:after="0"/>
        <w:rPr>
          <w:sz w:val="20"/>
          <w:szCs w:val="20"/>
          <w:color w:val="auto"/>
        </w:rPr>
      </w:pPr>
      <w:r>
        <w:rPr>
          <w:rFonts w:ascii="Courier New" w:cs="Courier New" w:eastAsia="Courier New" w:hAnsi="Courier New"/>
          <w:sz w:val="19"/>
          <w:szCs w:val="19"/>
          <w:color w:val="auto"/>
        </w:rPr>
        <w:t>Ivan R. Arias</w:t>
      </w:r>
    </w:p>
    <w:p>
      <w:pPr>
        <w:ind w:left="220"/>
        <w:spacing w:after="0" w:line="237" w:lineRule="auto"/>
        <w:rPr>
          <w:sz w:val="20"/>
          <w:szCs w:val="20"/>
          <w:color w:val="auto"/>
        </w:rPr>
      </w:pPr>
      <w:r>
        <w:rPr>
          <w:rFonts w:ascii="Courier New" w:cs="Courier New" w:eastAsia="Courier New" w:hAnsi="Courier New"/>
          <w:sz w:val="19"/>
          <w:szCs w:val="19"/>
          <w:color w:val="auto"/>
        </w:rPr>
        <w:t>Attorney-In-Fact</w:t>
      </w:r>
    </w:p>
    <w:p>
      <w:pPr>
        <w:spacing w:after="0" w:line="213"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9"/>
          <w:szCs w:val="19"/>
          <w:color w:val="auto"/>
        </w:rPr>
        <w:t>EXHIBIT I</w:t>
      </w:r>
    </w:p>
    <w:p>
      <w:pPr>
        <w:spacing w:after="0" w:line="219" w:lineRule="exact"/>
        <w:rPr>
          <w:sz w:val="20"/>
          <w:szCs w:val="20"/>
          <w:color w:val="auto"/>
        </w:rPr>
      </w:pPr>
    </w:p>
    <w:p>
      <w:pPr>
        <w:ind w:right="2000"/>
        <w:spacing w:after="0" w:line="235" w:lineRule="auto"/>
        <w:rPr>
          <w:sz w:val="20"/>
          <w:szCs w:val="20"/>
          <w:color w:val="auto"/>
        </w:rPr>
      </w:pPr>
      <w:r>
        <w:rPr>
          <w:rFonts w:ascii="Courier New" w:cs="Courier New" w:eastAsia="Courier New" w:hAnsi="Courier New"/>
          <w:sz w:val="19"/>
          <w:szCs w:val="19"/>
          <w:color w:val="auto"/>
        </w:rPr>
        <w:t>The shares reported on the attached Schedule 13G are beneficially owned by the following direct or indirect subsidiaries of The Bank of New York Mellon</w:t>
      </w:r>
    </w:p>
    <w:p>
      <w:pPr>
        <w:sectPr>
          <w:pgSz w:w="12240" w:h="15840" w:orient="portrait"/>
          <w:cols w:equalWidth="0" w:num="1">
            <w:col w:w="10680"/>
          </w:cols>
          <w:pgMar w:left="120" w:top="2" w:right="1440" w:bottom="0" w:gutter="0" w:footer="0" w:header="0"/>
        </w:sectPr>
      </w:pPr>
    </w:p>
    <w:bookmarkStart w:id="4" w:name="page5"/>
    <w:bookmarkEnd w:id="4"/>
    <w:p>
      <w:pPr>
        <w:ind w:left="6"/>
        <w:spacing w:after="0" w:line="235" w:lineRule="auto"/>
        <w:rPr>
          <w:sz w:val="20"/>
          <w:szCs w:val="20"/>
          <w:color w:val="auto"/>
        </w:rPr>
      </w:pPr>
      <w:r>
        <w:rPr>
          <w:rFonts w:ascii="Courier New" w:cs="Courier New" w:eastAsia="Courier New" w:hAnsi="Courier New"/>
          <w:sz w:val="19"/>
          <w:szCs w:val="19"/>
          <w:color w:val="auto"/>
        </w:rPr>
        <w:t>Corporation, as marked (X):</w:t>
      </w:r>
    </w:p>
    <w:p>
      <w:pPr>
        <w:spacing w:after="0" w:line="220" w:lineRule="exact"/>
        <w:rPr>
          <w:sz w:val="20"/>
          <w:szCs w:val="20"/>
          <w:color w:val="auto"/>
        </w:rPr>
      </w:pPr>
    </w:p>
    <w:p>
      <w:pPr>
        <w:ind w:left="566" w:right="2000" w:hanging="566"/>
        <w:spacing w:after="0" w:line="237" w:lineRule="auto"/>
        <w:tabs>
          <w:tab w:leader="none" w:pos="566"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The Item 3 classification of each of the subsidiaries listed below is "Item 3(b) Bank as defined in Section 3(a)(6) of the Act" (15 U.S.C. 78c) or "Item 3(j)A non-U.S. institution in accordance with Rule 240.13d-1 (b)(1)(ii)(J)"</w:t>
      </w:r>
    </w:p>
    <w:p>
      <w:pPr>
        <w:spacing w:after="0" w:line="219" w:lineRule="exact"/>
        <w:rPr>
          <w:sz w:val="20"/>
          <w:szCs w:val="20"/>
          <w:color w:val="auto"/>
        </w:rPr>
      </w:pPr>
    </w:p>
    <w:p>
      <w:pPr>
        <w:ind w:left="1106" w:right="1780" w:hanging="550"/>
        <w:spacing w:after="0" w:line="251" w:lineRule="auto"/>
        <w:tabs>
          <w:tab w:leader="none" w:pos="110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(parent holding company of Mellon Overseas Investment Corporation; BNY International Financing Corporation;</w:t>
      </w:r>
    </w:p>
    <w:p>
      <w:pPr>
        <w:ind w:left="110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The Bank of New York Mellon SA/NV)</w:t>
      </w:r>
    </w:p>
    <w:p>
      <w:pPr>
        <w:ind w:left="566"/>
        <w:spacing w:after="0"/>
        <w:tabs>
          <w:tab w:leader="none" w:pos="1086" w:val="left"/>
        </w:tabs>
        <w:rPr>
          <w:sz w:val="20"/>
          <w:szCs w:val="20"/>
          <w:color w:val="auto"/>
        </w:rPr>
      </w:pPr>
      <w:r>
        <w:rPr>
          <w:rFonts w:ascii="Courier New" w:cs="Courier New" w:eastAsia="Courier New" w:hAnsi="Courier New"/>
          <w:sz w:val="19"/>
          <w:szCs w:val="19"/>
          <w:color w:val="auto"/>
        </w:rPr>
        <w:t>( )</w:t>
      </w:r>
      <w:r>
        <w:rPr>
          <w:sz w:val="20"/>
          <w:szCs w:val="20"/>
          <w:color w:val="auto"/>
        </w:rPr>
        <w:tab/>
      </w:r>
      <w:r>
        <w:rPr>
          <w:rFonts w:ascii="Courier New" w:cs="Courier New" w:eastAsia="Courier New" w:hAnsi="Courier New"/>
          <w:sz w:val="18"/>
          <w:szCs w:val="18"/>
          <w:color w:val="auto"/>
        </w:rPr>
        <w:t>The Bank of New York Mellon Trust Company, National Association</w:t>
      </w:r>
    </w:p>
    <w:p>
      <w:pPr>
        <w:ind w:left="1106" w:hanging="550"/>
        <w:spacing w:after="0" w:line="237" w:lineRule="auto"/>
        <w:tabs>
          <w:tab w:leader="none" w:pos="1106" w:val="left"/>
        </w:tabs>
        <w:numPr>
          <w:ilvl w:val="0"/>
          <w:numId w:val="14"/>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Mellon, National Association</w:t>
      </w:r>
    </w:p>
    <w:p>
      <w:pPr>
        <w:ind w:left="1106" w:hanging="550"/>
        <w:spacing w:after="0"/>
        <w:tabs>
          <w:tab w:leader="none" w:pos="1106" w:val="left"/>
        </w:tabs>
        <w:numPr>
          <w:ilvl w:val="0"/>
          <w:numId w:val="1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Mellon Trust of Delaware</w:t>
      </w:r>
    </w:p>
    <w:p>
      <w:pPr>
        <w:spacing w:after="0" w:line="5" w:lineRule="exact"/>
        <w:rPr>
          <w:sz w:val="20"/>
          <w:szCs w:val="20"/>
          <w:color w:val="auto"/>
        </w:rPr>
      </w:pPr>
    </w:p>
    <w:p>
      <w:pPr>
        <w:ind w:left="1106" w:right="2460" w:hanging="550"/>
        <w:spacing w:after="0" w:line="235" w:lineRule="auto"/>
        <w:tabs>
          <w:tab w:leader="none" w:pos="772"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The Bank of New York Mellon SA/NV (parent holding company of BNY Mellon Service Kapitalanlage-Gesellschaft mbH)</w:t>
      </w:r>
    </w:p>
    <w:p>
      <w:pPr>
        <w:spacing w:after="0" w:line="220" w:lineRule="exact"/>
        <w:rPr>
          <w:rFonts w:ascii="Courier New" w:cs="Courier New" w:eastAsia="Courier New" w:hAnsi="Courier New"/>
          <w:sz w:val="19"/>
          <w:szCs w:val="19"/>
          <w:color w:val="auto"/>
        </w:rPr>
      </w:pPr>
    </w:p>
    <w:p>
      <w:pPr>
        <w:ind w:left="566" w:right="2340" w:hanging="566"/>
        <w:spacing w:after="0" w:line="251" w:lineRule="auto"/>
        <w:tabs>
          <w:tab w:leader="none" w:pos="56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w:t>
      </w:r>
    </w:p>
    <w:p>
      <w:pPr>
        <w:ind w:left="66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Rule 240.13d-1(b)(1)(ii)(J)"</w:t>
      </w:r>
    </w:p>
    <w:p>
      <w:pPr>
        <w:spacing w:after="0" w:line="219" w:lineRule="exact"/>
        <w:rPr>
          <w:rFonts w:ascii="Courier New" w:cs="Courier New" w:eastAsia="Courier New" w:hAnsi="Courier New"/>
          <w:sz w:val="18"/>
          <w:szCs w:val="18"/>
          <w:color w:val="auto"/>
        </w:rPr>
      </w:pPr>
    </w:p>
    <w:p>
      <w:pPr>
        <w:ind w:left="1106" w:right="2900" w:hanging="550"/>
        <w:spacing w:after="0" w:line="235" w:lineRule="auto"/>
        <w:tabs>
          <w:tab w:leader="none" w:pos="772"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ARX Investimentos Ltda (parent holding company of BNY Mellon Alocacao de Patrimonia Ltda.)</w:t>
      </w:r>
    </w:p>
    <w:p>
      <w:pPr>
        <w:ind w:left="786" w:hanging="230"/>
        <w:spacing w:after="0" w:line="238" w:lineRule="auto"/>
        <w:tabs>
          <w:tab w:leader="none" w:pos="786"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Alocacao de Patrimonia Ltda</w:t>
      </w:r>
    </w:p>
    <w:p>
      <w:pPr>
        <w:ind w:left="786" w:hanging="230"/>
        <w:spacing w:after="0" w:line="238" w:lineRule="auto"/>
        <w:tabs>
          <w:tab w:leader="none" w:pos="786"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Servicos Financeiros Distribuidora de</w:t>
      </w:r>
    </w:p>
    <w:p>
      <w:pPr>
        <w:spacing w:after="0" w:line="5" w:lineRule="exact"/>
        <w:rPr>
          <w:rFonts w:ascii="Courier New" w:cs="Courier New" w:eastAsia="Courier New" w:hAnsi="Courier New"/>
          <w:sz w:val="19"/>
          <w:szCs w:val="19"/>
          <w:color w:val="auto"/>
        </w:rPr>
      </w:pPr>
    </w:p>
    <w:p>
      <w:pPr>
        <w:ind w:left="1106" w:right="2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Titulos e Valores Mobiliarios S.A.(parent holding company of BNY Mellon Administracao de Ativos Ltda.)</w:t>
      </w:r>
    </w:p>
    <w:p>
      <w:pPr>
        <w:ind w:left="786" w:hanging="230"/>
        <w:spacing w:after="0" w:line="238" w:lineRule="auto"/>
        <w:tabs>
          <w:tab w:leader="none" w:pos="786"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Administracao de Ativos Ltda.</w:t>
      </w:r>
    </w:p>
    <w:p>
      <w:pPr>
        <w:spacing w:after="0" w:line="5" w:lineRule="exact"/>
        <w:rPr>
          <w:rFonts w:ascii="Courier New" w:cs="Courier New" w:eastAsia="Courier New" w:hAnsi="Courier New"/>
          <w:sz w:val="19"/>
          <w:szCs w:val="19"/>
          <w:color w:val="auto"/>
        </w:rPr>
      </w:pPr>
    </w:p>
    <w:p>
      <w:pPr>
        <w:ind w:left="1106" w:right="2240" w:hanging="550"/>
        <w:spacing w:after="0" w:line="235" w:lineRule="auto"/>
        <w:tabs>
          <w:tab w:leader="none" w:pos="772"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The Dreyfus Corporation (parent holding company of MBSC Securities Corporation)</w:t>
      </w:r>
    </w:p>
    <w:p>
      <w:pPr>
        <w:ind w:left="786" w:hanging="230"/>
        <w:spacing w:after="0" w:line="238" w:lineRule="auto"/>
        <w:tabs>
          <w:tab w:leader="none" w:pos="786"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Investment Management (Global) Limited</w:t>
      </w:r>
    </w:p>
    <w:p>
      <w:pPr>
        <w:ind w:left="786" w:hanging="230"/>
        <w:spacing w:after="0" w:line="238" w:lineRule="auto"/>
        <w:tabs>
          <w:tab w:leader="none" w:pos="786" w:val="left"/>
        </w:tabs>
        <w:numPr>
          <w:ilvl w:val="1"/>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North America LLC.</w:t>
      </w:r>
    </w:p>
    <w:p>
      <w:pPr>
        <w:ind w:left="1106" w:hanging="550"/>
        <w:spacing w:after="0"/>
        <w:tabs>
          <w:tab w:leader="none" w:pos="1106"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Lockwood Advisors, Inc.</w:t>
      </w:r>
    </w:p>
    <w:p>
      <w:pPr>
        <w:ind w:left="1106" w:hanging="550"/>
        <w:spacing w:after="0" w:line="237" w:lineRule="auto"/>
        <w:tabs>
          <w:tab w:leader="none" w:pos="1106" w:val="left"/>
        </w:tabs>
        <w:numPr>
          <w:ilvl w:val="0"/>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Mellon Investments Corporation</w:t>
      </w:r>
    </w:p>
    <w:p>
      <w:pPr>
        <w:ind w:left="786" w:hanging="230"/>
        <w:spacing w:after="0"/>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Newton Investment Management (North America) Limited</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Newton Investment Management Limited</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Walter Scott &amp; Partners Limited</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Wealth Management, Advisory Services, Inc.</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Trust Company(Cayman) Limited</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Cayman Limited</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Investment International Limited</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Asset Management Japan Limited</w:t>
      </w:r>
    </w:p>
    <w:p>
      <w:pPr>
        <w:spacing w:after="0" w:line="219" w:lineRule="exact"/>
        <w:rPr>
          <w:rFonts w:ascii="Courier New" w:cs="Courier New" w:eastAsia="Courier New" w:hAnsi="Courier New"/>
          <w:sz w:val="19"/>
          <w:szCs w:val="19"/>
          <w:color w:val="auto"/>
        </w:rPr>
      </w:pPr>
    </w:p>
    <w:p>
      <w:pPr>
        <w:ind w:left="566" w:right="2460" w:hanging="566"/>
        <w:spacing w:after="0" w:line="251" w:lineRule="auto"/>
        <w:tabs>
          <w:tab w:leader="none" w:pos="56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3(a) Broker or dealer registered under Section 15 of the Act"</w:t>
      </w:r>
    </w:p>
    <w:p>
      <w:pPr>
        <w:spacing w:after="0" w:line="1" w:lineRule="exact"/>
        <w:rPr>
          <w:rFonts w:ascii="Courier New" w:cs="Courier New" w:eastAsia="Courier New" w:hAnsi="Courier New"/>
          <w:sz w:val="18"/>
          <w:szCs w:val="18"/>
          <w:color w:val="auto"/>
        </w:rPr>
      </w:pPr>
    </w:p>
    <w:p>
      <w:pPr>
        <w:ind w:left="566" w:right="2240"/>
        <w:spacing w:after="0" w:line="235"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(15 U.S.C. 78c) or "Item 3(j) A non-U.S. institution in accordance with Rule 240.13d-1(b)(1)(ii)(J)"</w:t>
      </w:r>
    </w:p>
    <w:p>
      <w:pPr>
        <w:spacing w:after="0" w:line="213" w:lineRule="exact"/>
        <w:rPr>
          <w:rFonts w:ascii="Courier New" w:cs="Courier New" w:eastAsia="Courier New" w:hAnsi="Courier New"/>
          <w:sz w:val="18"/>
          <w:szCs w:val="18"/>
          <w:color w:val="auto"/>
        </w:rPr>
      </w:pPr>
    </w:p>
    <w:p>
      <w:pPr>
        <w:ind w:left="786" w:hanging="230"/>
        <w:spacing w:after="0"/>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Capital Markets, LLC</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MBSC Securities Corporation</w:t>
      </w:r>
    </w:p>
    <w:p>
      <w:pPr>
        <w:ind w:left="786" w:hanging="230"/>
        <w:spacing w:after="0" w:line="238" w:lineRule="auto"/>
        <w:tabs>
          <w:tab w:leader="none" w:pos="786" w:val="left"/>
        </w:tabs>
        <w:numPr>
          <w:ilvl w:val="1"/>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Pershing LLC</w:t>
      </w:r>
    </w:p>
    <w:p>
      <w:pPr>
        <w:spacing w:after="0" w:line="219" w:lineRule="exact"/>
        <w:rPr>
          <w:rFonts w:ascii="Courier New" w:cs="Courier New" w:eastAsia="Courier New" w:hAnsi="Courier New"/>
          <w:sz w:val="19"/>
          <w:szCs w:val="19"/>
          <w:color w:val="auto"/>
        </w:rPr>
      </w:pPr>
    </w:p>
    <w:p>
      <w:pPr>
        <w:ind w:left="566" w:right="2120" w:hanging="566"/>
        <w:spacing w:after="0" w:line="236" w:lineRule="auto"/>
        <w:tabs>
          <w:tab w:leader="none" w:pos="566" w:val="left"/>
        </w:tabs>
        <w:numPr>
          <w:ilvl w:val="0"/>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The Item 3 classification of each of the subsidiaries listed below is "Item 3(g) a parent holding company or control person in accordance with Rule 13d-1(b)(1)(ii)(G)"</w:t>
      </w:r>
    </w:p>
    <w:p>
      <w:pPr>
        <w:spacing w:after="0" w:line="214" w:lineRule="exact"/>
        <w:rPr>
          <w:sz w:val="20"/>
          <w:szCs w:val="20"/>
          <w:color w:val="auto"/>
        </w:rPr>
      </w:pPr>
    </w:p>
    <w:p>
      <w:pPr>
        <w:ind w:left="1106" w:hanging="550"/>
        <w:spacing w:after="0"/>
        <w:tabs>
          <w:tab w:leader="none" w:pos="1106" w:val="left"/>
        </w:tabs>
        <w:numPr>
          <w:ilvl w:val="0"/>
          <w:numId w:val="20"/>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The Bank of New York Mellon Corporation</w:t>
      </w:r>
    </w:p>
    <w:p>
      <w:pPr>
        <w:spacing w:after="0" w:line="5" w:lineRule="exact"/>
        <w:rPr>
          <w:sz w:val="20"/>
          <w:szCs w:val="20"/>
          <w:color w:val="auto"/>
        </w:rPr>
      </w:pPr>
    </w:p>
    <w:p>
      <w:pPr>
        <w:ind w:left="1106" w:right="2340" w:hanging="550"/>
        <w:spacing w:after="0" w:line="235" w:lineRule="auto"/>
        <w:tabs>
          <w:tab w:leader="none" w:pos="1106" w:val="left"/>
        </w:tabs>
        <w:numPr>
          <w:ilvl w:val="0"/>
          <w:numId w:val="21"/>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Holdings (Delaware) Corporation (parent holding company of BNY Mellon Trust of Delaware)</w:t>
      </w:r>
    </w:p>
    <w:p>
      <w:pPr>
        <w:spacing w:after="0" w:line="6" w:lineRule="exact"/>
        <w:rPr>
          <w:sz w:val="20"/>
          <w:szCs w:val="20"/>
          <w:color w:val="auto"/>
        </w:rPr>
      </w:pPr>
    </w:p>
    <w:p>
      <w:pPr>
        <w:ind w:left="1106" w:right="2340" w:hanging="550"/>
        <w:spacing w:after="0" w:line="235" w:lineRule="auto"/>
        <w:tabs>
          <w:tab w:leader="none" w:pos="1106" w:val="left"/>
        </w:tabs>
        <w:numPr>
          <w:ilvl w:val="0"/>
          <w:numId w:val="22"/>
        </w:numPr>
        <w:rPr>
          <w:rFonts w:ascii="Courier New" w:cs="Courier New" w:eastAsia="Courier New" w:hAnsi="Courier New"/>
          <w:sz w:val="19"/>
          <w:szCs w:val="19"/>
          <w:color w:val="auto"/>
        </w:rPr>
      </w:pPr>
      <w:r>
        <w:rPr>
          <w:rFonts w:ascii="Courier New" w:cs="Courier New" w:eastAsia="Courier New" w:hAnsi="Courier New"/>
          <w:sz w:val="19"/>
          <w:szCs w:val="19"/>
          <w:color w:val="auto"/>
        </w:rPr>
        <w:t>BNY Mellon IHC, LLC (as parent holding company of MBC Investments Corporation)</w:t>
      </w:r>
    </w:p>
    <w:p>
      <w:pPr>
        <w:spacing w:after="0" w:line="6" w:lineRule="exact"/>
        <w:rPr>
          <w:sz w:val="20"/>
          <w:szCs w:val="20"/>
          <w:color w:val="auto"/>
        </w:rPr>
      </w:pPr>
    </w:p>
    <w:p>
      <w:pPr>
        <w:ind w:left="1106" w:right="2780" w:hanging="550"/>
        <w:spacing w:after="0" w:line="235" w:lineRule="auto"/>
        <w:tabs>
          <w:tab w:leader="none" w:pos="1106" w:val="left"/>
        </w:tabs>
        <w:numPr>
          <w:ilvl w:val="0"/>
          <w:numId w:val="23"/>
        </w:numPr>
        <w:rPr>
          <w:rFonts w:ascii="Courier New" w:cs="Courier New" w:eastAsia="Courier New" w:hAnsi="Courier New"/>
          <w:sz w:val="19"/>
          <w:szCs w:val="19"/>
          <w:color w:val="auto"/>
        </w:rPr>
      </w:pPr>
      <w:r>
        <w:rPr>
          <w:rFonts w:ascii="Courier New" w:cs="Courier New" w:eastAsia="Courier New" w:hAnsi="Courier New"/>
          <w:sz w:val="19"/>
          <w:szCs w:val="19"/>
          <w:color w:val="auto"/>
        </w:rPr>
        <w:t>MBC Investments Corporation (parent holding company of Mellon Investments Corporation; BNY Mellon Investment;</w:t>
      </w:r>
    </w:p>
    <w:p>
      <w:pPr>
        <w:spacing w:after="0" w:line="6" w:lineRule="exact"/>
        <w:rPr>
          <w:sz w:val="20"/>
          <w:szCs w:val="20"/>
          <w:color w:val="auto"/>
        </w:rPr>
      </w:pPr>
    </w:p>
    <w:p>
      <w:pPr>
        <w:ind w:left="1106" w:right="2240"/>
        <w:spacing w:after="0" w:line="236" w:lineRule="auto"/>
        <w:rPr>
          <w:sz w:val="20"/>
          <w:szCs w:val="20"/>
          <w:color w:val="auto"/>
        </w:rPr>
      </w:pPr>
      <w:r>
        <w:rPr>
          <w:rFonts w:ascii="Courier New" w:cs="Courier New" w:eastAsia="Courier New" w:hAnsi="Courier New"/>
          <w:sz w:val="19"/>
          <w:szCs w:val="19"/>
          <w:color w:val="auto"/>
        </w:rPr>
        <w:t>Management(Jersey) Ltd.; BNY Mellon Investment Management APAC LP; The Dreyfus Corporation; ARX Investimentos Ltda. ; Mellon Global Investing Corporation)</w:t>
      </w:r>
    </w:p>
    <w:p>
      <w:pPr>
        <w:spacing w:after="0" w:line="7" w:lineRule="exact"/>
        <w:rPr>
          <w:sz w:val="20"/>
          <w:szCs w:val="20"/>
          <w:color w:val="auto"/>
        </w:rPr>
      </w:pPr>
    </w:p>
    <w:p>
      <w:pPr>
        <w:ind w:left="1106" w:right="1780" w:hanging="550"/>
        <w:spacing w:after="0" w:line="235" w:lineRule="auto"/>
        <w:tabs>
          <w:tab w:leader="none" w:pos="772" w:val="left"/>
        </w:tabs>
        <w:numPr>
          <w:ilvl w:val="0"/>
          <w:numId w:val="24"/>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(Jersey) Ltd. (parent holding company of BNY Mellon Investment Management (Europe) Ltd.)</w:t>
      </w:r>
    </w:p>
    <w:p>
      <w:pPr>
        <w:spacing w:after="0" w:line="6" w:lineRule="exact"/>
        <w:rPr>
          <w:sz w:val="20"/>
          <w:szCs w:val="20"/>
          <w:color w:val="auto"/>
        </w:rPr>
      </w:pPr>
    </w:p>
    <w:p>
      <w:pPr>
        <w:ind w:left="1106" w:right="1780" w:hanging="555"/>
        <w:spacing w:after="0" w:line="235" w:lineRule="auto"/>
        <w:tabs>
          <w:tab w:leader="none" w:pos="1086" w:val="left"/>
        </w:tabs>
        <w:rPr>
          <w:sz w:val="20"/>
          <w:szCs w:val="20"/>
          <w:color w:val="auto"/>
        </w:rPr>
      </w:pPr>
      <w:r>
        <w:rPr>
          <w:rFonts w:ascii="Courier New" w:cs="Courier New" w:eastAsia="Courier New" w:hAnsi="Courier New"/>
          <w:sz w:val="19"/>
          <w:szCs w:val="19"/>
          <w:color w:val="auto"/>
        </w:rPr>
        <w:t>( )</w:t>
        <w:tab/>
        <w:t>BNY Mellon Investment Management (Europe) Ltd. (parent holding company of BNY Mellon Investment Management Europe Holdings Ltd.;</w:t>
      </w:r>
    </w:p>
    <w:p>
      <w:pPr>
        <w:ind w:left="1106"/>
        <w:spacing w:after="0"/>
        <w:rPr>
          <w:sz w:val="20"/>
          <w:szCs w:val="20"/>
          <w:color w:val="auto"/>
        </w:rPr>
      </w:pPr>
      <w:r>
        <w:rPr>
          <w:rFonts w:ascii="Courier New" w:cs="Courier New" w:eastAsia="Courier New" w:hAnsi="Courier New"/>
          <w:sz w:val="19"/>
          <w:szCs w:val="19"/>
          <w:color w:val="auto"/>
        </w:rPr>
        <w:t>BNY Mellon Investment Management Cayman Ltd.)</w:t>
      </w:r>
    </w:p>
    <w:p>
      <w:pPr>
        <w:spacing w:after="0" w:line="5" w:lineRule="exact"/>
        <w:rPr>
          <w:sz w:val="20"/>
          <w:szCs w:val="20"/>
          <w:color w:val="auto"/>
        </w:rPr>
      </w:pPr>
    </w:p>
    <w:p>
      <w:pPr>
        <w:ind w:left="1106" w:right="1900" w:hanging="550"/>
        <w:spacing w:after="0" w:line="257" w:lineRule="auto"/>
        <w:tabs>
          <w:tab w:leader="none" w:pos="77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Holdings Ltd. (parent holding company of BNY Mellon International Asset Management Group Limited)</w:t>
      </w:r>
    </w:p>
    <w:p>
      <w:pPr>
        <w:sectPr>
          <w:pgSz w:w="12240" w:h="15840" w:orient="portrait"/>
          <w:cols w:equalWidth="0" w:num="1">
            <w:col w:w="10686"/>
          </w:cols>
          <w:pgMar w:left="114" w:top="0" w:right="1440" w:bottom="0" w:gutter="0" w:footer="0" w:header="0"/>
        </w:sectPr>
      </w:pPr>
    </w:p>
    <w:bookmarkStart w:id="5" w:name="page6"/>
    <w:bookmarkEnd w:id="5"/>
    <w:p>
      <w:pPr>
        <w:spacing w:after="0" w:line="157" w:lineRule="exact"/>
        <w:rPr>
          <w:sz w:val="20"/>
          <w:szCs w:val="20"/>
          <w:color w:val="auto"/>
        </w:rPr>
      </w:pPr>
    </w:p>
    <w:p>
      <w:pPr>
        <w:ind w:left="1100" w:right="1780" w:hanging="550"/>
        <w:spacing w:after="0" w:line="237" w:lineRule="auto"/>
        <w:tabs>
          <w:tab w:leader="none" w:pos="766" w:val="left"/>
        </w:tabs>
        <w:numPr>
          <w:ilvl w:val="0"/>
          <w:numId w:val="2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International Asset Management Group Limited (parent holding company of Newton Management Limited; BNY Mellon International Asset Management (Holdings) Limited; Insight Investment Management Limited)</w:t>
      </w:r>
    </w:p>
    <w:p>
      <w:pPr>
        <w:spacing w:after="0" w:line="6" w:lineRule="exact"/>
        <w:rPr>
          <w:sz w:val="20"/>
          <w:szCs w:val="20"/>
          <w:color w:val="auto"/>
        </w:rPr>
      </w:pPr>
    </w:p>
    <w:p>
      <w:pPr>
        <w:ind w:left="1100" w:right="1780" w:hanging="550"/>
        <w:spacing w:after="0" w:line="257" w:lineRule="auto"/>
        <w:tabs>
          <w:tab w:leader="none" w:pos="76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(North America) Limited; Newton Investment Management</w:t>
      </w:r>
    </w:p>
    <w:p>
      <w:pPr>
        <w:spacing w:after="0" w:line="205" w:lineRule="exact"/>
        <w:rPr>
          <w:sz w:val="20"/>
          <w:szCs w:val="20"/>
          <w:color w:val="auto"/>
        </w:rPr>
      </w:pPr>
    </w:p>
    <w:p>
      <w:pPr>
        <w:ind w:left="1100" w:right="2000" w:hanging="550"/>
        <w:spacing w:after="0" w:line="236" w:lineRule="auto"/>
        <w:tabs>
          <w:tab w:leader="none" w:pos="766" w:val="left"/>
        </w:tabs>
        <w:numPr>
          <w:ilvl w:val="0"/>
          <w:numId w:val="2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International Asset Management (Holdings) Limited (parent holding company of BNY Mellon International Asset Management (Holdings) No. 1 Limited)</w:t>
      </w:r>
    </w:p>
    <w:p>
      <w:pPr>
        <w:spacing w:after="0" w:line="7" w:lineRule="exact"/>
        <w:rPr>
          <w:sz w:val="20"/>
          <w:szCs w:val="20"/>
          <w:color w:val="auto"/>
        </w:rPr>
      </w:pPr>
    </w:p>
    <w:p>
      <w:pPr>
        <w:ind w:left="1100" w:right="2240" w:hanging="550"/>
        <w:spacing w:after="0" w:line="251" w:lineRule="auto"/>
        <w:tabs>
          <w:tab w:leader="none" w:pos="76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No. 1 Limited (parent holding company of Walter Scott &amp; Partners Limited)</w:t>
      </w:r>
    </w:p>
    <w:p>
      <w:pPr>
        <w:spacing w:after="0" w:line="1" w:lineRule="exact"/>
        <w:rPr>
          <w:sz w:val="20"/>
          <w:szCs w:val="20"/>
          <w:color w:val="auto"/>
        </w:rPr>
      </w:pPr>
    </w:p>
    <w:p>
      <w:pPr>
        <w:ind w:left="1100" w:right="2460" w:hanging="550"/>
        <w:spacing w:after="0" w:line="236" w:lineRule="auto"/>
        <w:tabs>
          <w:tab w:leader="none" w:pos="766" w:val="left"/>
        </w:tabs>
        <w:numPr>
          <w:ilvl w:val="0"/>
          <w:numId w:val="30"/>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Insight Investment Management Limited (parent holding company of Insight Investment Management (Global) Limited; Insight Investment International Limited )</w:t>
      </w:r>
    </w:p>
    <w:p>
      <w:pPr>
        <w:spacing w:after="0" w:line="7" w:lineRule="exact"/>
        <w:rPr>
          <w:sz w:val="20"/>
          <w:szCs w:val="20"/>
          <w:color w:val="auto"/>
        </w:rPr>
      </w:pPr>
    </w:p>
    <w:p>
      <w:pPr>
        <w:ind w:left="1100" w:right="2120" w:hanging="550"/>
        <w:spacing w:after="0" w:line="235" w:lineRule="auto"/>
        <w:tabs>
          <w:tab w:leader="none" w:pos="766" w:val="left"/>
        </w:tabs>
        <w:numPr>
          <w:ilvl w:val="0"/>
          <w:numId w:val="31"/>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APAC LP (Parent holding company of BNY Mellon Investment Management (APAC) Holdings Limited</w:t>
      </w:r>
    </w:p>
    <w:p>
      <w:pPr>
        <w:spacing w:after="0" w:line="6" w:lineRule="exact"/>
        <w:rPr>
          <w:sz w:val="20"/>
          <w:szCs w:val="20"/>
          <w:color w:val="auto"/>
        </w:rPr>
      </w:pPr>
    </w:p>
    <w:p>
      <w:pPr>
        <w:ind w:left="1100" w:right="2340" w:hanging="550"/>
        <w:spacing w:after="0" w:line="235" w:lineRule="auto"/>
        <w:tabs>
          <w:tab w:leader="none" w:pos="766" w:val="left"/>
        </w:tabs>
        <w:numPr>
          <w:ilvl w:val="0"/>
          <w:numId w:val="32"/>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Mellon Investment Management (APAC) Holdings Limited (parent holding company of BNY Mellon Asset Management Japan Limited)</w:t>
      </w:r>
    </w:p>
    <w:p>
      <w:pPr>
        <w:spacing w:after="0" w:line="6" w:lineRule="exact"/>
        <w:rPr>
          <w:sz w:val="20"/>
          <w:szCs w:val="20"/>
          <w:color w:val="auto"/>
        </w:rPr>
      </w:pPr>
    </w:p>
    <w:p>
      <w:pPr>
        <w:ind w:left="1100" w:right="1900" w:hanging="550"/>
        <w:spacing w:after="0" w:line="235" w:lineRule="auto"/>
        <w:tabs>
          <w:tab w:leader="none" w:pos="1100" w:val="left"/>
        </w:tabs>
        <w:numPr>
          <w:ilvl w:val="0"/>
          <w:numId w:val="3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Pershing Group LLC (parent holding company of Lockwood Advisors, Inc; Pershing LLC)</w:t>
      </w:r>
    </w:p>
    <w:p>
      <w:pPr>
        <w:ind w:left="780" w:hanging="230"/>
        <w:spacing w:after="0"/>
        <w:tabs>
          <w:tab w:leader="none" w:pos="780" w:val="left"/>
        </w:tabs>
        <w:numPr>
          <w:ilvl w:val="0"/>
          <w:numId w:val="34"/>
        </w:numPr>
        <w:rPr>
          <w:rFonts w:ascii="Courier New" w:cs="Courier New" w:eastAsia="Courier New" w:hAnsi="Courier New"/>
          <w:sz w:val="19"/>
          <w:szCs w:val="19"/>
          <w:color w:val="auto"/>
        </w:rPr>
      </w:pPr>
      <w:r>
        <w:rPr>
          <w:rFonts w:ascii="Courier New" w:cs="Courier New" w:eastAsia="Courier New" w:hAnsi="Courier New"/>
          <w:sz w:val="19"/>
          <w:szCs w:val="19"/>
          <w:color w:val="auto"/>
        </w:rPr>
        <w:t>)  Mellon Overseas Investment Corporation (parent holding company of</w:t>
      </w:r>
    </w:p>
    <w:p>
      <w:pPr>
        <w:ind w:left="1100"/>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Mellon Canada Holding Company; BNY Mellon Participacoes Ltda.)</w:t>
      </w:r>
    </w:p>
    <w:p>
      <w:pPr>
        <w:spacing w:after="0" w:line="6" w:lineRule="exact"/>
        <w:rPr>
          <w:sz w:val="20"/>
          <w:szCs w:val="20"/>
          <w:color w:val="auto"/>
        </w:rPr>
      </w:pPr>
    </w:p>
    <w:p>
      <w:pPr>
        <w:ind w:left="1100" w:right="2120" w:hanging="550"/>
        <w:spacing w:after="0" w:line="235" w:lineRule="auto"/>
        <w:tabs>
          <w:tab w:leader="none" w:pos="766" w:val="left"/>
        </w:tabs>
        <w:numPr>
          <w:ilvl w:val="0"/>
          <w:numId w:val="3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Mellon Canada Holding Company (parent holding company of BNY Mellon Wealth Management, Advisory Services, Inc)</w:t>
      </w:r>
    </w:p>
    <w:p>
      <w:pPr>
        <w:spacing w:after="0" w:line="6" w:lineRule="exact"/>
        <w:rPr>
          <w:sz w:val="20"/>
          <w:szCs w:val="20"/>
          <w:color w:val="auto"/>
        </w:rPr>
      </w:pPr>
    </w:p>
    <w:p>
      <w:pPr>
        <w:jc w:val="right"/>
        <w:ind w:left="1100" w:right="2120" w:hanging="550"/>
        <w:spacing w:after="0" w:line="257" w:lineRule="auto"/>
        <w:tabs>
          <w:tab w:leader="none" w:pos="76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w:t>
      </w:r>
    </w:p>
    <w:p>
      <w:pPr>
        <w:spacing w:after="0" w:line="205" w:lineRule="exact"/>
        <w:rPr>
          <w:sz w:val="20"/>
          <w:szCs w:val="20"/>
          <w:color w:val="auto"/>
        </w:rPr>
      </w:pPr>
    </w:p>
    <w:p>
      <w:pPr>
        <w:ind w:left="1100" w:right="2240" w:hanging="550"/>
        <w:spacing w:after="0" w:line="235" w:lineRule="auto"/>
        <w:tabs>
          <w:tab w:leader="none" w:pos="766" w:val="left"/>
        </w:tabs>
        <w:numPr>
          <w:ilvl w:val="0"/>
          <w:numId w:val="3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International Financing Corporation (parent holding company of BNY Mellon Trust Company (Cayman) Limited)</w:t>
      </w:r>
    </w:p>
    <w:p>
      <w:pPr>
        <w:spacing w:after="0" w:line="6" w:lineRule="exact"/>
        <w:rPr>
          <w:sz w:val="20"/>
          <w:szCs w:val="20"/>
          <w:color w:val="auto"/>
        </w:rPr>
      </w:pPr>
    </w:p>
    <w:p>
      <w:pPr>
        <w:ind w:left="1100" w:right="2780" w:hanging="550"/>
        <w:spacing w:after="0" w:line="235" w:lineRule="auto"/>
        <w:tabs>
          <w:tab w:leader="none" w:pos="766" w:val="left"/>
        </w:tabs>
        <w:numPr>
          <w:ilvl w:val="0"/>
          <w:numId w:val="3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BNY Capital Markets Holdings, Inc. (parent holding company of BNY Mellon Capital Markets, LLC)</w:t>
      </w:r>
    </w:p>
    <w:p>
      <w:pPr>
        <w:spacing w:after="0" w:line="6" w:lineRule="exact"/>
        <w:rPr>
          <w:sz w:val="20"/>
          <w:szCs w:val="20"/>
          <w:color w:val="auto"/>
        </w:rPr>
      </w:pPr>
    </w:p>
    <w:p>
      <w:pPr>
        <w:ind w:left="1100" w:right="2680" w:hanging="550"/>
        <w:spacing w:after="0" w:line="235" w:lineRule="auto"/>
        <w:tabs>
          <w:tab w:leader="none" w:pos="766" w:val="left"/>
        </w:tabs>
        <w:numPr>
          <w:ilvl w:val="0"/>
          <w:numId w:val="39"/>
        </w:numPr>
        <w:rPr>
          <w:rFonts w:ascii="Courier New" w:cs="Courier New" w:eastAsia="Courier New" w:hAnsi="Courier New"/>
          <w:sz w:val="19"/>
          <w:szCs w:val="19"/>
          <w:color w:val="auto"/>
        </w:rPr>
      </w:pPr>
      <w:r>
        <w:rPr>
          <w:rFonts w:ascii="Courier New" w:cs="Courier New" w:eastAsia="Courier New" w:hAnsi="Courier New"/>
          <w:sz w:val="19"/>
          <w:szCs w:val="19"/>
          <w:color w:val="auto"/>
        </w:rPr>
        <w:t>) Mellon Global Investing Corporation (parent holding company of Insight North America LLC)</w:t>
      </w:r>
    </w:p>
    <w:p>
      <w:pPr>
        <w:spacing w:after="0" w:line="200" w:lineRule="exact"/>
        <w:rPr>
          <w:sz w:val="20"/>
          <w:szCs w:val="20"/>
          <w:color w:val="auto"/>
        </w:rPr>
      </w:pPr>
    </w:p>
    <w:p>
      <w:pPr>
        <w:spacing w:after="0" w:line="234" w:lineRule="exact"/>
        <w:rPr>
          <w:sz w:val="20"/>
          <w:szCs w:val="20"/>
          <w:color w:val="auto"/>
        </w:rPr>
      </w:pPr>
    </w:p>
    <w:p>
      <w:pPr>
        <w:ind w:right="2000"/>
        <w:spacing w:after="0" w:line="237" w:lineRule="auto"/>
        <w:rPr>
          <w:sz w:val="20"/>
          <w:szCs w:val="20"/>
          <w:color w:val="auto"/>
        </w:rPr>
      </w:pPr>
      <w:r>
        <w:rPr>
          <w:rFonts w:ascii="Courier New" w:cs="Courier New" w:eastAsia="Courier New" w:hAnsi="Courier New"/>
          <w:sz w:val="19"/>
          <w:szCs w:val="19"/>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2340"/>
        <w:spacing w:after="0" w:line="237" w:lineRule="auto"/>
        <w:rPr>
          <w:sz w:val="20"/>
          <w:szCs w:val="20"/>
          <w:color w:val="auto"/>
        </w:rPr>
      </w:pPr>
      <w:r>
        <w:rPr>
          <w:rFonts w:ascii="Courier New" w:cs="Courier New" w:eastAsia="Courier New" w:hAnsi="Courier New"/>
          <w:sz w:val="19"/>
          <w:szCs w:val="19"/>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29" w:lineRule="exact"/>
        <w:rPr>
          <w:sz w:val="20"/>
          <w:szCs w:val="20"/>
          <w:color w:val="auto"/>
        </w:rPr>
      </w:pPr>
    </w:p>
    <w:p>
      <w:pPr>
        <w:jc w:val="both"/>
        <w:ind w:left="560" w:right="3120" w:hanging="110"/>
        <w:spacing w:after="0" w:line="254" w:lineRule="auto"/>
        <w:rPr>
          <w:sz w:val="20"/>
          <w:szCs w:val="20"/>
          <w:color w:val="auto"/>
        </w:rPr>
      </w:pPr>
      <w:r>
        <w:rPr>
          <w:rFonts w:ascii="Courier New" w:cs="Courier New" w:eastAsia="Courier New" w:hAnsi="Courier New"/>
          <w:sz w:val="18"/>
          <w:szCs w:val="18"/>
          <w:color w:val="auto"/>
        </w:rPr>
        <w:t>*the Securities Exchange Act of 1934, as amended (the "Exchange Act"), including those filings required to be submitted on Form 13F, Schedule 13G, Schedule 13D and Forms 3, 4 and 5, and</w:t>
      </w:r>
    </w:p>
    <w:p>
      <w:pPr>
        <w:spacing w:after="0" w:line="201"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*the laws of any jurisdiction other than the United States</w:t>
      </w:r>
    </w:p>
    <w:p>
      <w:pPr>
        <w:spacing w:after="0" w:line="5" w:lineRule="exact"/>
        <w:rPr>
          <w:sz w:val="20"/>
          <w:szCs w:val="20"/>
          <w:color w:val="auto"/>
        </w:rPr>
      </w:pPr>
    </w:p>
    <w:p>
      <w:pPr>
        <w:ind w:left="560" w:right="3120"/>
        <w:spacing w:after="0" w:line="236" w:lineRule="auto"/>
        <w:rPr>
          <w:sz w:val="20"/>
          <w:szCs w:val="20"/>
          <w:color w:val="auto"/>
        </w:rPr>
      </w:pPr>
      <w:r>
        <w:rPr>
          <w:rFonts w:ascii="Courier New" w:cs="Courier New" w:eastAsia="Courier New" w:hAnsi="Courier New"/>
          <w:sz w:val="19"/>
          <w:szCs w:val="19"/>
          <w:color w:val="auto"/>
        </w:rPr>
        <w:t>of America, including those filings made to disclose securities holdings as required to be submitted to regulatory agencies, exchanges and/or issuers,</w:t>
      </w:r>
    </w:p>
    <w:p>
      <w:pPr>
        <w:sectPr>
          <w:pgSz w:w="12240" w:h="15997" w:orient="portrait"/>
          <w:cols w:equalWidth="0" w:num="1">
            <w:col w:w="10680"/>
          </w:cols>
          <w:pgMar w:left="120" w:top="2" w:right="1440" w:bottom="0" w:gutter="0" w:footer="0" w:header="0"/>
        </w:sectPr>
      </w:pPr>
    </w:p>
    <w:bookmarkStart w:id="6" w:name="page7"/>
    <w:bookmarkEnd w:id="6"/>
    <w:p>
      <w:pPr>
        <w:ind w:right="2560"/>
        <w:spacing w:after="0" w:line="252" w:lineRule="auto"/>
        <w:rPr>
          <w:sz w:val="20"/>
          <w:szCs w:val="20"/>
          <w:color w:val="auto"/>
        </w:rPr>
      </w:pPr>
      <w:r>
        <w:rPr>
          <w:rFonts w:ascii="Courier New" w:cs="Courier New" w:eastAsia="Courier New" w:hAnsi="Courier New"/>
          <w:sz w:val="18"/>
          <w:szCs w:val="18"/>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212" w:lineRule="exact"/>
        <w:rPr>
          <w:sz w:val="20"/>
          <w:szCs w:val="20"/>
          <w:color w:val="auto"/>
        </w:rPr>
      </w:pPr>
    </w:p>
    <w:p>
      <w:pPr>
        <w:ind w:right="2560"/>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either revoked in writing by the Company or until such time as the person or</w:t>
      </w:r>
    </w:p>
    <w:p>
      <w:pPr>
        <w:spacing w:after="0" w:line="1" w:lineRule="exact"/>
        <w:rPr>
          <w:sz w:val="20"/>
          <w:szCs w:val="20"/>
          <w:color w:val="auto"/>
        </w:rPr>
      </w:pPr>
    </w:p>
    <w:p>
      <w:pPr>
        <w:ind w:right="2120"/>
        <w:spacing w:after="0" w:line="257" w:lineRule="auto"/>
        <w:rPr>
          <w:sz w:val="20"/>
          <w:szCs w:val="20"/>
          <w:color w:val="auto"/>
        </w:rPr>
      </w:pPr>
      <w:r>
        <w:rPr>
          <w:rFonts w:ascii="Courier New" w:cs="Courier New" w:eastAsia="Courier New" w:hAnsi="Courier New"/>
          <w:sz w:val="18"/>
          <w:szCs w:val="18"/>
          <w:color w:val="auto"/>
        </w:rPr>
        <w:t>to whom power of attorney has been hereby granted cease(s) to be an persons employee of The Bank of New York Mellon Corporation or one of its affiliates.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9"/>
          <w:szCs w:val="19"/>
          <w:color w:val="auto"/>
        </w:rPr>
        <w:t>all of which taken together shall constitute one and the same instrument.</w:t>
      </w:r>
    </w:p>
    <w:p>
      <w:pPr>
        <w:spacing w:after="0" w:line="220"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9"/>
          <w:szCs w:val="19"/>
          <w:color w:val="auto"/>
        </w:rPr>
        <w:t>IN WITNESS WHEREOF, the undersigned hereby execute this Agreement effective as of the date set forth below.</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86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Banks/Bank Holding Companies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16" w:right="1440" w:bottom="0" w:gutter="0" w:footer="0" w:header="0"/>
        </w:sectPr>
      </w:pPr>
    </w:p>
    <w:p>
      <w:pPr>
        <w:spacing w:after="0" w:line="224"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9"/>
          <w:szCs w:val="19"/>
          <w:color w:val="auto"/>
        </w:rPr>
        <w:t>THE BANK OF NEW YORK MELLON CORPORATION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ind w:left="440"/>
        <w:spacing w:after="0"/>
        <w:rPr>
          <w:sz w:val="20"/>
          <w:szCs w:val="20"/>
          <w:color w:val="auto"/>
        </w:rPr>
      </w:pPr>
      <w:r>
        <w:rPr>
          <w:rFonts w:ascii="Courier New" w:cs="Courier New" w:eastAsia="Courier New" w:hAnsi="Courier New"/>
          <w:sz w:val="19"/>
          <w:szCs w:val="19"/>
          <w:color w:val="auto"/>
        </w:rPr>
        <w:t>Investment Management</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March 17,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THOMAS J. DICKER</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Thomas J. Dicker</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9,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 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jc w:val="right"/>
        <w:spacing w:after="0" w:line="237" w:lineRule="auto"/>
        <w:rPr>
          <w:sz w:val="20"/>
          <w:szCs w:val="20"/>
          <w:color w:val="auto"/>
        </w:rPr>
      </w:pPr>
      <w:r>
        <w:rPr>
          <w:rFonts w:ascii="Courier New" w:cs="Courier New" w:eastAsia="Courier New" w:hAnsi="Courier New"/>
          <w:sz w:val="19"/>
          <w:szCs w:val="19"/>
          <w:color w:val="auto"/>
        </w:rPr>
        <w:t>Senior 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September 18, 2015</w:t>
      </w:r>
    </w:p>
    <w:p>
      <w:pPr>
        <w:spacing w:after="0" w:line="200" w:lineRule="exact"/>
        <w:rPr>
          <w:sz w:val="20"/>
          <w:szCs w:val="20"/>
          <w:color w:val="auto"/>
        </w:rPr>
      </w:pPr>
    </w:p>
    <w:p>
      <w:pPr>
        <w:spacing w:after="0" w:line="233" w:lineRule="exact"/>
        <w:rPr>
          <w:sz w:val="20"/>
          <w:szCs w:val="20"/>
          <w:color w:val="auto"/>
        </w:rPr>
      </w:pPr>
    </w:p>
    <w:p>
      <w:pPr>
        <w:ind w:right="22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ANTONIO PORTUONDO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Antonio Portuondo</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21, 2015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DONALD HEBERLE</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Donald Heberle</w:t>
      </w:r>
    </w:p>
    <w:p>
      <w:pPr>
        <w:ind w:left="56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September 16, 2015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SA/NV</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LAURA AHTO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Laura Ahto</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rPr>
          <w:sz w:val="20"/>
          <w:szCs w:val="20"/>
          <w:color w:val="auto"/>
        </w:rPr>
      </w:pPr>
      <w:r>
        <w:rPr>
          <w:rFonts w:ascii="Courier New" w:cs="Courier New" w:eastAsia="Courier New" w:hAnsi="Courier New"/>
          <w:sz w:val="19"/>
          <w:szCs w:val="19"/>
          <w:color w:val="auto"/>
        </w:rPr>
        <w:t>Date: May 17,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CURTIS ARLEDGE</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Curtis Arledge</w:t>
      </w:r>
    </w:p>
    <w:p>
      <w:pPr>
        <w:ind w:left="560"/>
        <w:spacing w:after="0" w:line="237" w:lineRule="auto"/>
        <w:rPr>
          <w:sz w:val="20"/>
          <w:szCs w:val="20"/>
          <w:color w:val="auto"/>
        </w:rPr>
      </w:pPr>
      <w:r>
        <w:rPr>
          <w:rFonts w:ascii="Courier New" w:cs="Courier New" w:eastAsia="Courier New" w:hAnsi="Courier New"/>
          <w:sz w:val="19"/>
          <w:szCs w:val="19"/>
          <w:color w:val="auto"/>
        </w:rPr>
        <w:t>Vice Chairman</w:t>
      </w:r>
    </w:p>
    <w:p>
      <w:pPr>
        <w:ind w:left="220"/>
        <w:spacing w:after="0"/>
        <w:tabs>
          <w:tab w:leader="none" w:pos="980" w:val="left"/>
        </w:tabs>
        <w:rPr>
          <w:sz w:val="20"/>
          <w:szCs w:val="20"/>
          <w:color w:val="auto"/>
        </w:rPr>
      </w:pPr>
      <w:r>
        <w:rPr>
          <w:rFonts w:ascii="Courier New" w:cs="Courier New" w:eastAsia="Courier New" w:hAnsi="Courier New"/>
          <w:sz w:val="19"/>
          <w:szCs w:val="19"/>
          <w:color w:val="auto"/>
        </w:rPr>
        <w:t>Date:</w:t>
        <w:tab/>
        <w:t>August 26, 2015</w:t>
      </w:r>
    </w:p>
    <w:p>
      <w:pPr>
        <w:spacing w:after="0" w:line="200" w:lineRule="exact"/>
        <w:rPr>
          <w:sz w:val="20"/>
          <w:szCs w:val="20"/>
          <w:color w:val="auto"/>
        </w:rPr>
      </w:pPr>
    </w:p>
    <w:p>
      <w:pPr>
        <w:spacing w:after="0" w:line="233" w:lineRule="exact"/>
        <w:rPr>
          <w:sz w:val="20"/>
          <w:szCs w:val="20"/>
          <w:color w:val="auto"/>
        </w:rPr>
      </w:pPr>
    </w:p>
    <w:p>
      <w:pPr>
        <w:ind w:right="246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KURTIS R. KURIMSKY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Kurtis R. Kurimsky</w:t>
      </w:r>
    </w:p>
    <w:p>
      <w:pPr>
        <w:ind w:left="560"/>
        <w:spacing w:after="0" w:line="237" w:lineRule="auto"/>
        <w:rPr>
          <w:sz w:val="20"/>
          <w:szCs w:val="20"/>
          <w:color w:val="auto"/>
        </w:rPr>
      </w:pPr>
      <w:r>
        <w:rPr>
          <w:rFonts w:ascii="Courier New" w:cs="Courier New" w:eastAsia="Courier New" w:hAnsi="Courier New"/>
          <w:sz w:val="19"/>
          <w:szCs w:val="19"/>
          <w:color w:val="auto"/>
        </w:rPr>
        <w:t>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March 8,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LEE JAMES WOOLLEY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660"/>
        <w:spacing w:after="0"/>
        <w:rPr>
          <w:sz w:val="20"/>
          <w:szCs w:val="20"/>
          <w:color w:val="auto"/>
        </w:rPr>
      </w:pPr>
      <w:r>
        <w:rPr>
          <w:rFonts w:ascii="Courier New" w:cs="Courier New" w:eastAsia="Courier New" w:hAnsi="Courier New"/>
          <w:sz w:val="19"/>
          <w:szCs w:val="19"/>
          <w:color w:val="auto"/>
        </w:rPr>
        <w:t>Lee James Woolley</w:t>
      </w:r>
    </w:p>
    <w:p>
      <w:pPr>
        <w:ind w:left="660"/>
        <w:spacing w:after="0" w:line="237" w:lineRule="auto"/>
        <w:rPr>
          <w:sz w:val="20"/>
          <w:szCs w:val="20"/>
          <w:color w:val="auto"/>
        </w:rPr>
      </w:pPr>
      <w:r>
        <w:rPr>
          <w:rFonts w:ascii="Courier New" w:cs="Courier New" w:eastAsia="Courier New" w:hAnsi="Courier New"/>
          <w:sz w:val="19"/>
          <w:szCs w:val="19"/>
          <w:color w:val="auto"/>
        </w:rPr>
        <w:t>Chairman and</w:t>
      </w:r>
    </w:p>
    <w:p>
      <w:pPr>
        <w:ind w:left="660"/>
        <w:spacing w:after="0"/>
        <w:rPr>
          <w:sz w:val="20"/>
          <w:szCs w:val="20"/>
          <w:color w:val="auto"/>
        </w:rPr>
      </w:pPr>
      <w:r>
        <w:rPr>
          <w:rFonts w:ascii="Courier New" w:cs="Courier New" w:eastAsia="Courier New" w:hAnsi="Courier New"/>
          <w:sz w:val="19"/>
          <w:szCs w:val="19"/>
          <w:color w:val="auto"/>
        </w:rPr>
        <w:t>Chief Executive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2015</w:t>
      </w:r>
    </w:p>
    <w:p>
      <w:pPr>
        <w:sectPr>
          <w:pgSz w:w="12240" w:h="15840" w:orient="portrait"/>
          <w:cols w:equalWidth="0" w:num="2">
            <w:col w:w="3880" w:space="680"/>
            <w:col w:w="6120"/>
          </w:cols>
          <w:pgMar w:left="120" w:top="216" w:right="1440"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Investment Advisers and/or Broker-Dealers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16" w:right="1440" w:bottom="0" w:gutter="0" w:footer="0" w:header="0"/>
        </w:sect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PERSHING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CLAIRE SANTANIELLO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Claire Santaniello</w:t>
      </w:r>
    </w:p>
    <w:p>
      <w:pPr>
        <w:ind w:left="440"/>
        <w:spacing w:after="0" w:line="237" w:lineRule="auto"/>
        <w:rPr>
          <w:sz w:val="20"/>
          <w:szCs w:val="20"/>
          <w:color w:val="auto"/>
        </w:rPr>
      </w:pPr>
      <w:r>
        <w:rPr>
          <w:rFonts w:ascii="Courier New" w:cs="Courier New" w:eastAsia="Courier New" w:hAnsi="Courier New"/>
          <w:sz w:val="19"/>
          <w:szCs w:val="19"/>
          <w:color w:val="auto"/>
        </w:rPr>
        <w:t>Chief Administrative Officer</w:t>
      </w:r>
    </w:p>
    <w:p>
      <w:pPr>
        <w:ind w:left="440"/>
        <w:spacing w:after="0"/>
        <w:rPr>
          <w:sz w:val="20"/>
          <w:szCs w:val="20"/>
          <w:color w:val="auto"/>
        </w:rPr>
      </w:pPr>
      <w:r>
        <w:rPr>
          <w:rFonts w:ascii="Courier New" w:cs="Courier New" w:eastAsia="Courier New" w:hAnsi="Courier New"/>
          <w:sz w:val="19"/>
          <w:szCs w:val="19"/>
          <w:color w:val="auto"/>
        </w:rPr>
        <w:t>and Chief Risk Officer</w:t>
      </w:r>
    </w:p>
    <w:p>
      <w:pPr>
        <w:spacing w:after="0"/>
        <w:tabs>
          <w:tab w:leader="none" w:pos="760" w:val="left"/>
          <w:tab w:leader="none" w:pos="1300" w:val="left"/>
        </w:tabs>
        <w:rPr>
          <w:sz w:val="20"/>
          <w:szCs w:val="20"/>
          <w:color w:val="auto"/>
        </w:rPr>
      </w:pPr>
      <w:r>
        <w:rPr>
          <w:rFonts w:ascii="Courier New" w:cs="Courier New" w:eastAsia="Courier New" w:hAnsi="Courier New"/>
          <w:sz w:val="19"/>
          <w:szCs w:val="19"/>
          <w:color w:val="auto"/>
        </w:rPr>
        <w:t>Date:</w:t>
        <w:tab/>
        <w:t>May</w:t>
      </w:r>
      <w:r>
        <w:rPr>
          <w:sz w:val="20"/>
          <w:szCs w:val="20"/>
          <w:color w:val="auto"/>
        </w:rPr>
        <w:tab/>
      </w:r>
      <w:r>
        <w:rPr>
          <w:rFonts w:ascii="Courier New" w:cs="Courier New" w:eastAsia="Courier New" w:hAnsi="Courier New"/>
          <w:sz w:val="18"/>
          <w:szCs w:val="18"/>
          <w:color w:val="auto"/>
        </w:rPr>
        <w:t>24, 2016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33"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GUSTAVO CASTELLO BRANCO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Gustavo Castello Branco</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DREYFUS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BITETTO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Bitetto</w:t>
      </w:r>
    </w:p>
    <w:p>
      <w:pPr>
        <w:ind w:left="440"/>
        <w:spacing w:after="0" w:line="237" w:lineRule="auto"/>
        <w:rPr>
          <w:sz w:val="20"/>
          <w:szCs w:val="20"/>
          <w:color w:val="auto"/>
        </w:rPr>
      </w:pPr>
      <w:r>
        <w:rPr>
          <w:rFonts w:ascii="Courier New" w:cs="Courier New" w:eastAsia="Courier New" w:hAnsi="Courier New"/>
          <w:sz w:val="19"/>
          <w:szCs w:val="19"/>
          <w:color w:val="auto"/>
        </w:rPr>
        <w:t>Secretary</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LOCKWOOD ADVISORS, INC.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JOHN J. BRETT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John J. Brett</w:t>
      </w:r>
    </w:p>
    <w:p>
      <w:pPr>
        <w:ind w:left="440"/>
        <w:spacing w:after="0" w:line="237" w:lineRule="auto"/>
        <w:rPr>
          <w:sz w:val="20"/>
          <w:szCs w:val="20"/>
          <w:color w:val="auto"/>
        </w:rPr>
      </w:pPr>
      <w:r>
        <w:rPr>
          <w:rFonts w:ascii="Courier New" w:cs="Courier New" w:eastAsia="Courier New" w:hAnsi="Courier New"/>
          <w:sz w:val="19"/>
          <w:szCs w:val="19"/>
          <w:color w:val="auto"/>
        </w:rPr>
        <w:t>Chairman</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CAPITAL MARKETS,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JEFF GEARHART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Jeff Gearhart</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GUILHERME ABRY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Guilherme Abry</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33" w:lineRule="exact"/>
        <w:rPr>
          <w:sz w:val="20"/>
          <w:szCs w:val="20"/>
          <w:color w:val="auto"/>
        </w:rPr>
      </w:pPr>
    </w:p>
    <w:p>
      <w:pPr>
        <w:ind w:right="234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INSIGHT INVESTMENT MANAGEMENT</w:t>
      </w:r>
    </w:p>
    <w:p>
      <w:pPr>
        <w:spacing w:after="0" w:line="238" w:lineRule="auto"/>
        <w:rPr>
          <w:sz w:val="20"/>
          <w:szCs w:val="20"/>
          <w:color w:val="auto"/>
        </w:rPr>
      </w:pPr>
      <w:r>
        <w:rPr>
          <w:rFonts w:ascii="Courier New" w:cs="Courier New" w:eastAsia="Courier New" w:hAnsi="Courier New"/>
          <w:sz w:val="19"/>
          <w:szCs w:val="19"/>
          <w:color w:val="auto"/>
        </w:rPr>
        <w:t>(GLOBAL) LIMITED</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CHARLES FARQUHARSON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Charles Farquharson</w:t>
      </w:r>
    </w:p>
    <w:p>
      <w:pPr>
        <w:ind w:left="440"/>
        <w:spacing w:after="0" w:line="237" w:lineRule="auto"/>
        <w:rPr>
          <w:sz w:val="20"/>
          <w:szCs w:val="20"/>
          <w:color w:val="auto"/>
        </w:rPr>
      </w:pPr>
      <w:r>
        <w:rPr>
          <w:rFonts w:ascii="Courier New" w:cs="Courier New" w:eastAsia="Courier New" w:hAnsi="Courier New"/>
          <w:sz w:val="19"/>
          <w:szCs w:val="19"/>
          <w:color w:val="auto"/>
        </w:rPr>
        <w:t>Chief Risk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February 16, 2016</w:t>
      </w:r>
    </w:p>
    <w:p>
      <w:pPr>
        <w:spacing w:after="0" w:line="200" w:lineRule="exact"/>
        <w:rPr>
          <w:sz w:val="20"/>
          <w:szCs w:val="20"/>
          <w:color w:val="auto"/>
        </w:rPr>
      </w:pPr>
    </w:p>
    <w:p>
      <w:pPr>
        <w:spacing w:after="0" w:line="233"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ASSET MANAGEMENT JAPAN LIMITED</w:t>
      </w:r>
    </w:p>
    <w:p>
      <w:pPr>
        <w:spacing w:after="0"/>
        <w:rPr>
          <w:sz w:val="20"/>
          <w:szCs w:val="20"/>
          <w:color w:val="auto"/>
        </w:rPr>
      </w:pPr>
      <w:r>
        <w:rPr>
          <w:rFonts w:ascii="Courier New" w:cs="Courier New" w:eastAsia="Courier New" w:hAnsi="Courier New"/>
          <w:sz w:val="19"/>
          <w:szCs w:val="19"/>
          <w:color w:val="auto"/>
        </w:rPr>
        <w:t>By: /S/ SHIZU KISHIMOTO</w:t>
      </w:r>
    </w:p>
    <w:p>
      <w:pPr>
        <w:spacing w:after="0" w:line="238" w:lineRule="auto"/>
        <w:rPr>
          <w:sz w:val="20"/>
          <w:szCs w:val="20"/>
          <w:color w:val="auto"/>
        </w:rPr>
      </w:pPr>
      <w:r>
        <w:rPr>
          <w:rFonts w:ascii="Courier New" w:cs="Courier New" w:eastAsia="Courier New" w:hAnsi="Courier New"/>
          <w:sz w:val="19"/>
          <w:szCs w:val="19"/>
          <w:color w:val="auto"/>
        </w:rPr>
        <w:t>---------------------</w:t>
      </w:r>
    </w:p>
    <w:p>
      <w:pPr>
        <w:spacing w:after="0" w:line="238" w:lineRule="auto"/>
        <w:rPr>
          <w:sz w:val="20"/>
          <w:szCs w:val="20"/>
          <w:color w:val="auto"/>
        </w:rPr>
      </w:pPr>
      <w:r>
        <w:rPr>
          <w:rFonts w:ascii="Courier New" w:cs="Courier New" w:eastAsia="Courier New" w:hAnsi="Courier New"/>
          <w:sz w:val="19"/>
          <w:szCs w:val="19"/>
          <w:color w:val="auto"/>
        </w:rPr>
        <w:t>Shizu Kishimoto</w:t>
      </w:r>
    </w:p>
    <w:p>
      <w:pPr>
        <w:spacing w:after="0"/>
        <w:rPr>
          <w:sz w:val="20"/>
          <w:szCs w:val="20"/>
          <w:color w:val="auto"/>
        </w:rPr>
      </w:pPr>
      <w:r>
        <w:rPr>
          <w:rFonts w:ascii="Courier New" w:cs="Courier New" w:eastAsia="Courier New" w:hAnsi="Courier New"/>
          <w:sz w:val="19"/>
          <w:szCs w:val="19"/>
          <w:color w:val="auto"/>
        </w:rPr>
        <w:t>Representative Director</w:t>
      </w:r>
    </w:p>
    <w:p>
      <w:pPr>
        <w:spacing w:after="0" w:line="237" w:lineRule="auto"/>
        <w:rPr>
          <w:sz w:val="20"/>
          <w:szCs w:val="20"/>
          <w:color w:val="auto"/>
        </w:rPr>
      </w:pPr>
      <w:r>
        <w:rPr>
          <w:rFonts w:ascii="Courier New" w:cs="Courier New" w:eastAsia="Courier New" w:hAnsi="Courier New"/>
          <w:sz w:val="19"/>
          <w:szCs w:val="19"/>
          <w:color w:val="auto"/>
        </w:rPr>
        <w:t>and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August 5, 2015</w:t>
      </w:r>
    </w:p>
    <w:p>
      <w:pPr>
        <w:sectPr>
          <w:pgSz w:w="12240" w:h="15840" w:orient="portrait"/>
          <w:cols w:equalWidth="0" w:num="2">
            <w:col w:w="3840" w:space="720"/>
            <w:col w:w="6120"/>
          </w:cols>
          <w:pgMar w:left="120" w:top="216"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5"/>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MELLON INVESTMENTS CORPORATION</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MBSC SECURITIES CORPORATION</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/S/ JENNIFER CASSEDY</w:t>
            </w:r>
          </w:p>
        </w:tc>
        <w:tc>
          <w:tcPr>
            <w:tcW w:w="1120" w:type="dxa"/>
            <w:vAlign w:val="bottom"/>
          </w:tcPr>
          <w:p>
            <w:pPr>
              <w:ind w:left="34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jc w:val="right"/>
              <w:ind w:right="587"/>
              <w:spacing w:after="0"/>
              <w:rPr>
                <w:sz w:val="20"/>
                <w:szCs w:val="20"/>
                <w:color w:val="auto"/>
              </w:rPr>
            </w:pPr>
            <w:r>
              <w:rPr>
                <w:rFonts w:ascii="Courier New" w:cs="Courier New" w:eastAsia="Courier New" w:hAnsi="Courier New"/>
                <w:sz w:val="19"/>
                <w:szCs w:val="19"/>
                <w:color w:val="auto"/>
              </w:rPr>
              <w:t>KENNETH J. BRADLE</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Jennifer Cassedy</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Kenneth J. Bradle</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440" w:type="dxa"/>
            <w:vAlign w:val="bottom"/>
          </w:tcPr>
          <w:p>
            <w:pPr>
              <w:spacing w:after="0" w:line="214" w:lineRule="exact"/>
              <w:rPr>
                <w:sz w:val="20"/>
                <w:szCs w:val="20"/>
                <w:color w:val="auto"/>
              </w:rPr>
            </w:pPr>
            <w:r>
              <w:rPr>
                <w:rFonts w:ascii="Courier New" w:cs="Courier New" w:eastAsia="Courier New" w:hAnsi="Courier New"/>
                <w:sz w:val="19"/>
                <w:szCs w:val="19"/>
                <w:color w:val="auto"/>
              </w:rPr>
              <w:t>January 10, 2019</w:t>
            </w:r>
          </w:p>
        </w:tc>
        <w:tc>
          <w:tcPr>
            <w:tcW w:w="3900" w:type="dxa"/>
            <w:vAlign w:val="bottom"/>
            <w:gridSpan w:val="2"/>
          </w:tcPr>
          <w:p>
            <w:pPr>
              <w:jc w:val="right"/>
              <w:ind w:right="1247"/>
              <w:spacing w:after="0" w:line="214" w:lineRule="exact"/>
              <w:rPr>
                <w:sz w:val="20"/>
                <w:szCs w:val="20"/>
                <w:color w:val="auto"/>
              </w:rPr>
            </w:pPr>
            <w:r>
              <w:rPr>
                <w:rFonts w:ascii="Courier New" w:cs="Courier New" w:eastAsia="Courier New" w:hAnsi="Courier New"/>
                <w:sz w:val="19"/>
                <w:szCs w:val="19"/>
                <w:color w:val="auto"/>
              </w:rPr>
              <w:t>Date:  April 29,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NEWTON INVESTMENT MANAGEMENT LIMITED</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NEWTON INVESTMENT MANAGEMENT</w:t>
            </w:r>
          </w:p>
        </w:tc>
      </w:tr>
      <w:tr>
        <w:trPr>
          <w:trHeight w:val="214"/>
        </w:trPr>
        <w:tc>
          <w:tcPr>
            <w:tcW w:w="7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(NORTH AMERICA) LIMITED</w:t>
            </w:r>
          </w:p>
        </w:tc>
      </w:tr>
      <w:tr>
        <w:trPr>
          <w:trHeight w:val="428"/>
        </w:trPr>
        <w:tc>
          <w:tcPr>
            <w:tcW w:w="780" w:type="dxa"/>
            <w:vAlign w:val="bottom"/>
          </w:tcPr>
          <w:p>
            <w:pPr>
              <w:spacing w:after="0"/>
              <w:rPr>
                <w:sz w:val="20"/>
                <w:szCs w:val="20"/>
                <w:color w:val="auto"/>
              </w:rPr>
            </w:pPr>
            <w:r>
              <w:rPr>
                <w:rFonts w:ascii="Courier New" w:cs="Courier New" w:eastAsia="Courier New" w:hAnsi="Courier New"/>
                <w:sz w:val="19"/>
                <w:szCs w:val="19"/>
                <w:color w:val="auto"/>
                <w:w w:val="95"/>
              </w:rPr>
              <w:t>By: /S/</w:t>
            </w:r>
          </w:p>
        </w:tc>
        <w:tc>
          <w:tcPr>
            <w:tcW w:w="3440" w:type="dxa"/>
            <w:vAlign w:val="bottom"/>
          </w:tcPr>
          <w:p>
            <w:pPr>
              <w:ind w:left="220"/>
              <w:spacing w:after="0"/>
              <w:rPr>
                <w:sz w:val="20"/>
                <w:szCs w:val="20"/>
                <w:color w:val="auto"/>
              </w:rPr>
            </w:pPr>
            <w:r>
              <w:rPr>
                <w:rFonts w:ascii="Courier New" w:cs="Courier New" w:eastAsia="Courier New" w:hAnsi="Courier New"/>
                <w:sz w:val="19"/>
                <w:szCs w:val="19"/>
                <w:color w:val="auto"/>
              </w:rPr>
              <w:t>JAMES HELBY</w:t>
            </w:r>
          </w:p>
        </w:tc>
        <w:tc>
          <w:tcPr>
            <w:tcW w:w="1120" w:type="dxa"/>
            <w:vAlign w:val="bottom"/>
          </w:tcPr>
          <w:p>
            <w:pPr>
              <w:ind w:left="34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jc w:val="right"/>
              <w:ind w:right="1247"/>
              <w:spacing w:after="0"/>
              <w:rPr>
                <w:sz w:val="20"/>
                <w:szCs w:val="20"/>
                <w:color w:val="auto"/>
              </w:rPr>
            </w:pPr>
            <w:r>
              <w:rPr>
                <w:rFonts w:ascii="Courier New" w:cs="Courier New" w:eastAsia="Courier New" w:hAnsi="Courier New"/>
                <w:sz w:val="19"/>
                <w:szCs w:val="19"/>
                <w:color w:val="auto"/>
              </w:rPr>
              <w:t>JAMES HELBY</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James Helby</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James Helby</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44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c>
          <w:tcPr>
            <w:tcW w:w="1120" w:type="dxa"/>
            <w:vAlign w:val="bottom"/>
          </w:tcPr>
          <w:p>
            <w:pPr>
              <w:ind w:left="34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jc w:val="right"/>
              <w:ind w:right="1247"/>
              <w:spacing w:after="0" w:line="214" w:lineRule="exact"/>
              <w:rPr>
                <w:sz w:val="20"/>
                <w:szCs w:val="20"/>
                <w:color w:val="auto"/>
              </w:rPr>
            </w:pPr>
            <w:r>
              <w:rPr>
                <w:rFonts w:ascii="Courier New" w:cs="Courier New" w:eastAsia="Courier New" w:hAnsi="Courier New"/>
                <w:sz w:val="19"/>
                <w:szCs w:val="19"/>
                <w:color w:val="auto"/>
                <w:w w:val="95"/>
              </w:rPr>
              <w:t>June 30,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WALTER SCOTT &amp; PARTNERS LIMITED</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w w:val="97"/>
              </w:rPr>
              <w:t>INSIGHT INVESTMENT INTERNATIONAL</w:t>
            </w:r>
          </w:p>
        </w:tc>
      </w:tr>
      <w:tr>
        <w:trPr>
          <w:trHeight w:val="214"/>
        </w:trPr>
        <w:tc>
          <w:tcPr>
            <w:tcW w:w="7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20" w:type="dxa"/>
            <w:vAlign w:val="bottom"/>
          </w:tcPr>
          <w:p>
            <w:pPr>
              <w:ind w:left="340"/>
              <w:spacing w:after="0" w:line="214" w:lineRule="exact"/>
              <w:rPr>
                <w:sz w:val="20"/>
                <w:szCs w:val="20"/>
                <w:color w:val="auto"/>
              </w:rPr>
            </w:pPr>
            <w:r>
              <w:rPr>
                <w:rFonts w:ascii="Courier New" w:cs="Courier New" w:eastAsia="Courier New" w:hAnsi="Courier New"/>
                <w:sz w:val="19"/>
                <w:szCs w:val="19"/>
                <w:color w:val="auto"/>
                <w:w w:val="95"/>
              </w:rPr>
              <w:t>LIMITED</w:t>
            </w:r>
          </w:p>
        </w:tc>
        <w:tc>
          <w:tcPr>
            <w:tcW w:w="2780" w:type="dxa"/>
            <w:vAlign w:val="bottom"/>
          </w:tcPr>
          <w:p>
            <w:pPr>
              <w:spacing w:after="0"/>
              <w:rPr>
                <w:sz w:val="18"/>
                <w:szCs w:val="18"/>
                <w:color w:val="auto"/>
              </w:rPr>
            </w:pP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 RODGER NISBET</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By: /S/ LEE PALMER</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Rodger Nisbet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Lee Palmer</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Executive Chairman</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Chief Compliance Officer</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July 15, 2015</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Date: February 14, 2018</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BNY MELLON WEALTH MANAGEMENT,</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w w:val="97"/>
              </w:rPr>
              <w:t>BNY MELLON INVESTMENT MANAGEMENT</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ADVISORY SERVICES, INC.</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CAYMAN LTD</w:t>
            </w:r>
          </w:p>
        </w:tc>
      </w:tr>
      <w:tr>
        <w:trPr>
          <w:trHeight w:val="428"/>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/S/ MARIE-CLAUDE LEPAGE</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By: /S/ BRENDON J. DONNELLAN</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Marie-Claude Lepage</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Brendon J.Donnellan</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440" w:type="dxa"/>
            <w:vAlign w:val="bottom"/>
          </w:tcPr>
          <w:p>
            <w:pPr>
              <w:spacing w:after="0" w:line="214" w:lineRule="exact"/>
              <w:rPr>
                <w:sz w:val="20"/>
                <w:szCs w:val="20"/>
                <w:color w:val="auto"/>
              </w:rPr>
            </w:pPr>
            <w:r>
              <w:rPr>
                <w:rFonts w:ascii="Courier New" w:cs="Courier New" w:eastAsia="Courier New" w:hAnsi="Courier New"/>
                <w:sz w:val="19"/>
                <w:szCs w:val="19"/>
                <w:color w:val="auto"/>
              </w:rPr>
              <w:t>May 9, 2016</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Date: August 22,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BNY MELLON TRUST COMPANY</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BNY MELLON TRUST COMPANY</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(CAYMAN) LIMITED</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(CAYMAN) LIMITED</w:t>
            </w:r>
          </w:p>
        </w:tc>
      </w:tr>
      <w:tr>
        <w:trPr>
          <w:trHeight w:val="428"/>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CANELLA SECRETARIES</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By: CANELLA SECRETARIES</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(CAYMAN) LTD, SECRETARY</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(CAYMAN) LTD, SECRETARY</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/S/GILLIAN NELSON</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By: /S/ PATRICIA BRUZIO</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Gillian Nelson</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Patricia Bruzio</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Authorized Person</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Authorized Person</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May 17, 2016</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Date: May 17, 2016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INSIGHT NORTH AMERICA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JOHN ARIOLA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John Ariola</w:t>
      </w:r>
    </w:p>
    <w:p>
      <w:pPr>
        <w:ind w:left="440"/>
        <w:spacing w:after="0" w:line="237" w:lineRule="auto"/>
        <w:rPr>
          <w:sz w:val="20"/>
          <w:szCs w:val="20"/>
          <w:color w:val="auto"/>
        </w:rPr>
      </w:pPr>
      <w:r>
        <w:rPr>
          <w:rFonts w:ascii="Courier New" w:cs="Courier New" w:eastAsia="Courier New" w:hAnsi="Courier New"/>
          <w:sz w:val="19"/>
          <w:szCs w:val="19"/>
          <w:color w:val="auto"/>
        </w:rPr>
        <w:t>Head of Financial Analysis</w:t>
      </w:r>
    </w:p>
    <w:p>
      <w:pPr>
        <w:spacing w:after="0"/>
        <w:rPr>
          <w:sz w:val="20"/>
          <w:szCs w:val="20"/>
          <w:color w:val="auto"/>
        </w:rPr>
      </w:pPr>
      <w:r>
        <w:rPr>
          <w:rFonts w:ascii="Courier New" w:cs="Courier New" w:eastAsia="Courier New" w:hAnsi="Courier New"/>
          <w:sz w:val="19"/>
          <w:szCs w:val="19"/>
          <w:color w:val="auto"/>
        </w:rPr>
        <w:t>Date: December 7, 2016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Parent Holding Companies/Control Persons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4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GROUP LLC</w:t>
      </w:r>
    </w:p>
    <w:p>
      <w:pPr>
        <w:spacing w:after="0" w:line="200" w:lineRule="exact"/>
        <w:rPr>
          <w:sz w:val="20"/>
          <w:szCs w:val="20"/>
          <w:color w:val="auto"/>
        </w:rPr>
      </w:pPr>
    </w:p>
    <w:p>
      <w:pPr>
        <w:sectPr>
          <w:pgSz w:w="12240" w:h="15840" w:orient="portrait"/>
          <w:cols w:equalWidth="0" w:num="2">
            <w:col w:w="4220" w:space="340"/>
            <w:col w:w="6120"/>
          </w:cols>
          <w:pgMar w:left="120" w:top="423" w:right="1440" w:bottom="0"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CLAIRE SANTANIELLO</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Claire Santaniello</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Chief Administrative Officer</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and Chief Risk Officer</w:t>
      </w:r>
    </w:p>
    <w:p>
      <w:pPr>
        <w:sectPr>
          <w:pgSz w:w="12240" w:h="15840" w:orient="portrait"/>
          <w:cols w:equalWidth="0" w:num="2">
            <w:col w:w="3840" w:space="720"/>
            <w:col w:w="6120"/>
          </w:cols>
          <w:pgMar w:left="120" w:top="423"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1"/>
        </w:trPr>
        <w:tc>
          <w:tcPr>
            <w:tcW w:w="780" w:type="dxa"/>
            <w:vAlign w:val="bottom"/>
          </w:tcPr>
          <w:p>
            <w:pPr>
              <w:spacing w:after="0" w:line="211"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1" w:lineRule="exact"/>
              <w:rPr>
                <w:sz w:val="20"/>
                <w:szCs w:val="20"/>
                <w:color w:val="auto"/>
              </w:rPr>
            </w:pPr>
            <w:r>
              <w:rPr>
                <w:rFonts w:ascii="Courier New" w:cs="Courier New" w:eastAsia="Courier New" w:hAnsi="Courier New"/>
                <w:sz w:val="19"/>
                <w:szCs w:val="19"/>
                <w:color w:val="auto"/>
              </w:rPr>
              <w:t>October 21, 2015</w:t>
            </w:r>
          </w:p>
        </w:tc>
        <w:tc>
          <w:tcPr>
            <w:tcW w:w="1160" w:type="dxa"/>
            <w:vAlign w:val="bottom"/>
          </w:tcPr>
          <w:p>
            <w:pPr>
              <w:ind w:left="500"/>
              <w:spacing w:after="0" w:line="211"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ind w:left="120"/>
              <w:spacing w:after="0" w:line="211" w:lineRule="exact"/>
              <w:rPr>
                <w:sz w:val="20"/>
                <w:szCs w:val="20"/>
                <w:color w:val="auto"/>
              </w:rPr>
            </w:pPr>
            <w:r>
              <w:rPr>
                <w:rFonts w:ascii="Courier New" w:cs="Courier New" w:eastAsia="Courier New" w:hAnsi="Courier New"/>
                <w:sz w:val="19"/>
                <w:szCs w:val="19"/>
                <w:color w:val="auto"/>
              </w:rPr>
              <w:t>May 11,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(APAC) HOLDINGS LIMITED</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(APAC) HOLDINGS 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EMILY CHAN</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Emily Chan</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April 19, 2016</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April 19,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INTERNATIONAL ASSET</w:t>
            </w:r>
          </w:p>
        </w:tc>
        <w:tc>
          <w:tcPr>
            <w:tcW w:w="4280" w:type="dxa"/>
            <w:vAlign w:val="bottom"/>
            <w:gridSpan w:val="2"/>
          </w:tcPr>
          <w:p>
            <w:pPr>
              <w:ind w:left="380"/>
              <w:spacing w:after="0"/>
              <w:rPr>
                <w:sz w:val="20"/>
                <w:szCs w:val="20"/>
                <w:color w:val="auto"/>
              </w:rPr>
            </w:pPr>
            <w:r>
              <w:rPr>
                <w:rFonts w:ascii="Courier New" w:cs="Courier New" w:eastAsia="Courier New" w:hAnsi="Courier New"/>
                <w:sz w:val="19"/>
                <w:szCs w:val="19"/>
                <w:color w:val="auto"/>
              </w:rPr>
              <w:t>NEWTON MANAGEMENT LIMITED</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MANAGEMENT GROUP LIMITED</w:t>
            </w:r>
          </w:p>
        </w:tc>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1160" w:type="dxa"/>
            <w:vAlign w:val="bottom"/>
          </w:tcPr>
          <w:p>
            <w:pPr>
              <w:ind w:left="380"/>
              <w:spacing w:after="0"/>
              <w:rPr>
                <w:sz w:val="20"/>
                <w:szCs w:val="20"/>
                <w:color w:val="auto"/>
              </w:rPr>
            </w:pPr>
            <w:r>
              <w:rPr>
                <w:rFonts w:ascii="Courier New" w:cs="Courier New" w:eastAsia="Courier New" w:hAnsi="Courier New"/>
                <w:sz w:val="19"/>
                <w:szCs w:val="19"/>
                <w:color w:val="auto"/>
                <w:w w:val="95"/>
              </w:rPr>
              <w:t>By: /S/</w:t>
            </w:r>
          </w:p>
        </w:tc>
        <w:tc>
          <w:tcPr>
            <w:tcW w:w="3120" w:type="dxa"/>
            <w:vAlign w:val="bottom"/>
          </w:tcPr>
          <w:p>
            <w:pPr>
              <w:ind w:left="220"/>
              <w:spacing w:after="0"/>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1160" w:type="dxa"/>
            <w:vAlign w:val="bottom"/>
          </w:tcPr>
          <w:p>
            <w:pPr>
              <w:ind w:left="38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IHC, LLC</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MBC INVESTMENTS 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PAUL A. GRIFFITHS</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Paul A. Griffiths</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Vice President and</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Chairman, President and</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Controller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Chief Executive Officer</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Date: March 29, 2017</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April 29,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MELLON OVERSEAS INVESTMENT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INSIGHT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Vice President and Controller</w:t>
            </w:r>
          </w:p>
        </w:tc>
        <w:tc>
          <w:tcPr>
            <w:tcW w:w="42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7, 2015</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February 16,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INTERNATIONAL FINANCING</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INTERNATIONAL FINANCING</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President and Comptroller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May 12, 2016</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1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August 15,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EUROPE HOLDINGS LIMITED</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(EUROPE)LIMITED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October 21, 2015</w:t>
            </w:r>
          </w:p>
        </w:tc>
        <w:tc>
          <w:tcPr>
            <w:tcW w:w="42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Date:  October 21,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w w:val="96"/>
              </w:rPr>
              <w:t>BNY CAPITAL MARKETS HOLDINGS, INC.</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(JERSEY)LIMITED</w:t>
            </w:r>
          </w:p>
        </w:tc>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2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Chairman and Chief</w:t>
            </w:r>
          </w:p>
        </w:tc>
      </w:tr>
      <w:tr>
        <w:trPr>
          <w:trHeight w:val="214"/>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Financial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42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October 24, 2015</w:t>
            </w:r>
          </w:p>
        </w:tc>
      </w:tr>
    </w:tbl>
    <w:p>
      <w:pPr>
        <w:sectPr>
          <w:pgSz w:w="12240" w:h="15840" w:orient="portrait"/>
          <w:cols w:equalWidth="0" w:num="1">
            <w:col w:w="10680"/>
          </w:cols>
          <w:pgMar w:left="120" w:top="0" w:right="1440" w:bottom="0" w:gutter="0" w:footer="0" w:header="0"/>
        </w:sectPr>
      </w:pPr>
    </w:p>
    <w:bookmarkStart w:id="10" w:name="page11"/>
    <w:bookmarkEnd w:id="10"/>
    <w:p>
      <w:pPr>
        <w:ind w:right="500"/>
        <w:spacing w:after="0" w:line="257" w:lineRule="auto"/>
        <w:rPr>
          <w:sz w:val="20"/>
          <w:szCs w:val="20"/>
          <w:color w:val="auto"/>
        </w:rPr>
      </w:pPr>
      <w:r>
        <w:rPr>
          <w:rFonts w:ascii="Courier New" w:cs="Courier New" w:eastAsia="Courier New" w:hAnsi="Courier New"/>
          <w:sz w:val="18"/>
          <w:szCs w:val="18"/>
          <w:color w:val="auto"/>
        </w:rPr>
        <w:t>BNY MELLON INTERNATIONAL ASSET MANAGEMENT (HOLDINGS) LIMITED</w:t>
      </w:r>
    </w:p>
    <w:p>
      <w:pPr>
        <w:spacing w:after="0" w:line="20" w:lineRule="exact"/>
        <w:rPr>
          <w:sz w:val="20"/>
          <w:szCs w:val="20"/>
          <w:color w:val="auto"/>
        </w:rPr>
      </w:pPr>
      <w:r>
        <w:rPr>
          <w:sz w:val="20"/>
          <w:szCs w:val="20"/>
          <w:color w:val="auto"/>
        </w:rPr>
        <w:br w:type="column"/>
      </w:r>
    </w:p>
    <w:p>
      <w:pPr>
        <w:ind w:right="2240"/>
        <w:spacing w:after="0" w:line="257" w:lineRule="auto"/>
        <w:rPr>
          <w:sz w:val="20"/>
          <w:szCs w:val="20"/>
          <w:color w:val="auto"/>
        </w:rPr>
      </w:pPr>
      <w:r>
        <w:rPr>
          <w:rFonts w:ascii="Courier New" w:cs="Courier New" w:eastAsia="Courier New" w:hAnsi="Courier New"/>
          <w:sz w:val="18"/>
          <w:szCs w:val="18"/>
          <w:color w:val="auto"/>
        </w:rPr>
        <w:t>BNY MELLON INTERNATIONAL ASSET MANAGEMENT (HOLDINGS) No. 1 LIMITED</w:t>
      </w:r>
    </w:p>
    <w:p>
      <w:pPr>
        <w:spacing w:after="0" w:line="198" w:lineRule="exact"/>
        <w:rPr>
          <w:sz w:val="20"/>
          <w:szCs w:val="20"/>
          <w:color w:val="auto"/>
        </w:rPr>
      </w:pPr>
    </w:p>
    <w:p>
      <w:pPr>
        <w:sectPr>
          <w:pgSz w:w="12240" w:h="15840" w:orient="portrait"/>
          <w:cols w:equalWidth="0" w:num="2">
            <w:col w:w="3840" w:space="720"/>
            <w:col w:w="6120"/>
          </w:cols>
          <w:pgMar w:left="120" w:top="216" w:right="1440" w:bottom="1440" w:gutter="0" w:footer="0" w:header="0"/>
        </w:sectPr>
      </w:pPr>
    </w:p>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0" w:lineRule="exact"/>
        <w:rPr>
          <w:sz w:val="20"/>
          <w:szCs w:val="20"/>
          <w:color w:val="auto"/>
        </w:rPr>
      </w:pPr>
    </w:p>
    <w:p>
      <w:pPr>
        <w:sectPr>
          <w:pgSz w:w="12240" w:h="15840" w:orient="portrait"/>
          <w:cols w:equalWidth="0" w:num="2">
            <w:col w:w="3840" w:space="720"/>
            <w:col w:w="6120"/>
          </w:cols>
          <w:pgMar w:left="120" w:top="216"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CANADA HOLDING COMPANY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KELLY SCHWARTZ</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Kelly Schwartz</w:t>
      </w:r>
    </w:p>
    <w:p>
      <w:pPr>
        <w:ind w:left="440"/>
        <w:spacing w:after="0" w:line="237" w:lineRule="auto"/>
        <w:rPr>
          <w:sz w:val="20"/>
          <w:szCs w:val="20"/>
          <w:color w:val="auto"/>
        </w:rPr>
      </w:pPr>
      <w:r>
        <w:rPr>
          <w:rFonts w:ascii="Courier New" w:cs="Courier New" w:eastAsia="Courier New" w:hAnsi="Courier New"/>
          <w:sz w:val="19"/>
          <w:szCs w:val="19"/>
          <w:color w:val="auto"/>
        </w:rPr>
        <w:t>President and 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May 3, 2016</w:t>
      </w:r>
    </w:p>
    <w:p>
      <w:pPr>
        <w:sectPr>
          <w:pgSz w:w="12240" w:h="15840" w:orient="portrait"/>
          <w:cols w:equalWidth="0" w:num="1">
            <w:col w:w="10680"/>
          </w:cols>
          <w:pgMar w:left="120" w:top="216" w:right="1440"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0" w:lineRule="exact"/>
        <w:rPr>
          <w:sz w:val="20"/>
          <w:szCs w:val="20"/>
          <w:color w:val="auto"/>
        </w:rPr>
      </w:pPr>
    </w:p>
    <w:p>
      <w:pPr>
        <w:sectPr>
          <w:pgSz w:w="12240" w:h="15840" w:orient="portrait"/>
          <w:cols w:equalWidth="0" w:num="2">
            <w:col w:w="3720" w:space="720"/>
            <w:col w:w="6240"/>
          </w:cols>
          <w:pgMar w:left="120" w:top="216" w:right="1440" w:bottom="144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w:t>
      </w:r>
    </w:p>
    <w:p>
      <w:pPr>
        <w:ind w:left="56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56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Marcus Vinicius Mathias Pereira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0" w:lineRule="exact"/>
        <w:rPr>
          <w:sz w:val="20"/>
          <w:szCs w:val="20"/>
          <w:color w:val="auto"/>
        </w:rPr>
      </w:pPr>
    </w:p>
    <w:p>
      <w:pPr>
        <w:sectPr>
          <w:pgSz w:w="12240" w:h="15840" w:orient="portrait"/>
          <w:cols w:equalWidth="0" w:num="2">
            <w:col w:w="3720" w:space="720"/>
            <w:col w:w="6240"/>
          </w:cols>
          <w:pgMar w:left="120" w:top="216"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GLOBAL INVESTING CORPORATION</w:t>
      </w:r>
    </w:p>
    <w:p>
      <w:pPr>
        <w:spacing w:after="0" w:line="3" w:lineRule="exact"/>
        <w:rPr>
          <w:sz w:val="20"/>
          <w:szCs w:val="20"/>
          <w:color w:val="auto"/>
        </w:rPr>
      </w:pPr>
    </w:p>
    <w:p>
      <w:pPr>
        <w:sectPr>
          <w:pgSz w:w="12240" w:h="15840" w:orient="portrait"/>
          <w:cols w:equalWidth="0" w:num="2">
            <w:col w:w="3720" w:space="720"/>
            <w:col w:w="6240"/>
          </w:cols>
          <w:pgMar w:left="120" w:top="216" w:right="1440" w:bottom="1440" w:gutter="0" w:footer="0" w:header="0"/>
          <w:type w:val="continuous"/>
        </w:sectPr>
      </w:pPr>
    </w:p>
    <w:p>
      <w:pPr>
        <w:spacing w:after="0"/>
        <w:rPr>
          <w:sz w:val="20"/>
          <w:szCs w:val="20"/>
          <w:color w:val="auto"/>
        </w:rPr>
      </w:pPr>
      <w:r>
        <w:rPr>
          <w:rFonts w:ascii="Courier New" w:cs="Courier New" w:eastAsia="Courier New" w:hAnsi="Courier New"/>
          <w:sz w:val="19"/>
          <w:szCs w:val="19"/>
          <w:color w:val="auto"/>
        </w:rPr>
        <w:t>APAC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BNY MELLON INVESTMENT MANAGEMENT</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HOLDINGS, LLC, GENERAL PARTNER</w:t>
      </w:r>
    </w:p>
    <w:p>
      <w:pPr>
        <w:sectPr>
          <w:pgSz w:w="12240" w:h="15840" w:orient="portrait"/>
          <w:cols w:equalWidth="0" w:num="1">
            <w:col w:w="10680"/>
          </w:cols>
          <w:pgMar w:left="120" w:top="21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9"/>
          <w:szCs w:val="19"/>
          <w:color w:val="auto"/>
        </w:rPr>
        <w:t>By: /S/ PAUL A. GRIFFITHS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Paul A. Griffiths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9"/>
          <w:szCs w:val="19"/>
          <w:color w:val="auto"/>
        </w:rPr>
        <w:t>By: /S/ LEO P. GROHOWSKI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Leo P . Grohowski</w:t>
      </w:r>
    </w:p>
    <w:p>
      <w:pPr>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June 29, 2018</w:t>
      </w:r>
    </w:p>
    <w:p>
      <w:pPr>
        <w:spacing w:after="0" w:line="200" w:lineRule="exact"/>
        <w:rPr>
          <w:sz w:val="20"/>
          <w:szCs w:val="20"/>
          <w:color w:val="auto"/>
        </w:rPr>
      </w:pPr>
    </w:p>
    <w:p>
      <w:pPr>
        <w:sectPr>
          <w:pgSz w:w="12240" w:h="15840" w:orient="portrait"/>
          <w:cols w:equalWidth="0" w:num="2">
            <w:col w:w="3720" w:space="720"/>
            <w:col w:w="6240"/>
          </w:cols>
          <w:pgMar w:left="120" w:top="216"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332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Fund Administrators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16" w:right="1440" w:bottom="1440" w:gutter="0" w:footer="0" w:header="0"/>
          <w:type w:val="continuous"/>
        </w:sectPr>
      </w:pPr>
    </w:p>
    <w:p>
      <w:pPr>
        <w:spacing w:after="0" w:line="22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0" w:lineRule="exact"/>
        <w:rPr>
          <w:sz w:val="20"/>
          <w:szCs w:val="20"/>
          <w:color w:val="auto"/>
        </w:rPr>
      </w:pPr>
    </w:p>
    <w:p>
      <w:pPr>
        <w:sectPr>
          <w:pgSz w:w="12240" w:h="15840" w:orient="portrait"/>
          <w:cols w:equalWidth="0" w:num="2">
            <w:col w:w="3840" w:space="720"/>
            <w:col w:w="6120"/>
          </w:cols>
          <w:pgMar w:left="120" w:top="21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KATARINA MELVAN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Katarina Melvan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Managing Director(Chairman)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 August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CAROLINE SPECHT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Caroline Specht</w:t>
      </w:r>
    </w:p>
    <w:p>
      <w:pPr>
        <w:ind w:left="440"/>
        <w:spacing w:after="0" w:line="238" w:lineRule="auto"/>
        <w:rPr>
          <w:sz w:val="20"/>
          <w:szCs w:val="20"/>
          <w:color w:val="auto"/>
        </w:rPr>
      </w:pPr>
      <w:r>
        <w:rPr>
          <w:rFonts w:ascii="Courier New" w:cs="Courier New" w:eastAsia="Courier New" w:hAnsi="Courier New"/>
          <w:sz w:val="19"/>
          <w:szCs w:val="19"/>
          <w:color w:val="auto"/>
        </w:rPr>
        <w:t>Managing Director</w:t>
      </w:r>
    </w:p>
    <w:p>
      <w:pPr>
        <w:spacing w:after="0"/>
        <w:rPr>
          <w:sz w:val="20"/>
          <w:szCs w:val="20"/>
          <w:color w:val="auto"/>
        </w:rPr>
      </w:pPr>
      <w:r>
        <w:rPr>
          <w:rFonts w:ascii="Courier New" w:cs="Courier New" w:eastAsia="Courier New" w:hAnsi="Courier New"/>
          <w:sz w:val="19"/>
          <w:szCs w:val="19"/>
          <w:color w:val="auto"/>
        </w:rPr>
        <w:t>Date: August 19, 2016</w:t>
      </w:r>
    </w:p>
    <w:p>
      <w:pPr>
        <w:sectPr>
          <w:pgSz w:w="12240" w:h="15840" w:orient="portrait"/>
          <w:cols w:equalWidth="0" w:num="2">
            <w:col w:w="3840" w:space="720"/>
            <w:col w:w="6120"/>
          </w:cols>
          <w:pgMar w:left="120" w:top="216" w:right="1440" w:bottom="1440" w:gutter="0" w:footer="0" w:header="0"/>
          <w:type w:val="continuous"/>
        </w:sectPr>
      </w:pPr>
    </w:p>
    <w:bookmarkStart w:id="11" w:name="page12"/>
    <w:bookmarkEnd w:id="11"/>
    <w:p>
      <w:pPr>
        <w:spacing w:after="0" w:line="158" w:lineRule="exact"/>
        <w:rPr>
          <w:sz w:val="20"/>
          <w:szCs w:val="20"/>
          <w:color w:val="auto"/>
        </w:rPr>
      </w:pPr>
    </w:p>
    <w:p>
      <w:pPr>
        <w:ind w:left="3000"/>
        <w:spacing w:after="0"/>
        <w:rPr>
          <w:sz w:val="20"/>
          <w:szCs w:val="20"/>
          <w:color w:val="auto"/>
        </w:rPr>
      </w:pPr>
      <w:r>
        <w:rPr>
          <w:rFonts w:ascii="Courier New" w:cs="Courier New" w:eastAsia="Courier New" w:hAnsi="Courier New"/>
          <w:sz w:val="19"/>
          <w:szCs w:val="19"/>
          <w:color w:val="auto"/>
        </w:rPr>
        <w:t>JOINT FILING AGREEMENT</w:t>
      </w:r>
    </w:p>
    <w:p>
      <w:pPr>
        <w:spacing w:after="0" w:line="219" w:lineRule="exact"/>
        <w:rPr>
          <w:sz w:val="20"/>
          <w:szCs w:val="20"/>
          <w:color w:val="auto"/>
        </w:rPr>
      </w:pPr>
    </w:p>
    <w:p>
      <w:pPr>
        <w:ind w:right="2340"/>
        <w:spacing w:after="0" w:line="252"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212" w:lineRule="exact"/>
        <w:rPr>
          <w:sz w:val="20"/>
          <w:szCs w:val="20"/>
          <w:color w:val="auto"/>
        </w:rPr>
      </w:pPr>
    </w:p>
    <w:p>
      <w:pPr>
        <w:ind w:right="3460"/>
        <w:spacing w:after="0" w:line="235" w:lineRule="auto"/>
        <w:rPr>
          <w:sz w:val="20"/>
          <w:szCs w:val="20"/>
          <w:color w:val="auto"/>
        </w:rPr>
      </w:pPr>
      <w:r>
        <w:rPr>
          <w:rFonts w:ascii="Courier New" w:cs="Courier New" w:eastAsia="Courier New" w:hAnsi="Courier New"/>
          <w:sz w:val="19"/>
          <w:szCs w:val="19"/>
          <w:color w:val="auto"/>
        </w:rPr>
        <w:t>IN WITNESS WHEREOF, the undersigned hereby execute this Agreement effective as of the date set forth below.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86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Banks/Bank Holding Companies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998" w:orient="portrait"/>
          <w:cols w:equalWidth="0" w:num="1">
            <w:col w:w="10680"/>
          </w:cols>
          <w:pgMar w:left="120" w:top="822" w:right="1440" w:bottom="0" w:gutter="0" w:footer="0" w:header="0"/>
        </w:sectPr>
      </w:pPr>
    </w:p>
    <w:p>
      <w:pPr>
        <w:spacing w:after="0" w:line="224"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9"/>
          <w:szCs w:val="19"/>
          <w:color w:val="auto"/>
        </w:rPr>
        <w:t>THE BANK OF NEW YORK MELLON CORPORATION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ind w:left="440"/>
        <w:spacing w:after="0"/>
        <w:rPr>
          <w:sz w:val="20"/>
          <w:szCs w:val="20"/>
          <w:color w:val="auto"/>
        </w:rPr>
      </w:pPr>
      <w:r>
        <w:rPr>
          <w:rFonts w:ascii="Courier New" w:cs="Courier New" w:eastAsia="Courier New" w:hAnsi="Courier New"/>
          <w:sz w:val="19"/>
          <w:szCs w:val="19"/>
          <w:color w:val="auto"/>
        </w:rPr>
        <w:t>Investment Management</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March 17,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THOMAS J. DICKER</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Thomas J. Dicker</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9,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MITCHELL E. HARRIS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Mitchell E. Harris</w:t>
      </w:r>
    </w:p>
    <w:p>
      <w:pPr>
        <w:jc w:val="right"/>
        <w:spacing w:after="0" w:line="237" w:lineRule="auto"/>
        <w:rPr>
          <w:sz w:val="20"/>
          <w:szCs w:val="20"/>
          <w:color w:val="auto"/>
        </w:rPr>
      </w:pPr>
      <w:r>
        <w:rPr>
          <w:rFonts w:ascii="Courier New" w:cs="Courier New" w:eastAsia="Courier New" w:hAnsi="Courier New"/>
          <w:sz w:val="19"/>
          <w:szCs w:val="19"/>
          <w:color w:val="auto"/>
        </w:rPr>
        <w:t>Senior 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August 27, 2015</w:t>
      </w:r>
    </w:p>
    <w:p>
      <w:pPr>
        <w:spacing w:after="0" w:line="200" w:lineRule="exact"/>
        <w:rPr>
          <w:sz w:val="20"/>
          <w:szCs w:val="20"/>
          <w:color w:val="auto"/>
        </w:rPr>
      </w:pPr>
    </w:p>
    <w:p>
      <w:pPr>
        <w:spacing w:after="0" w:line="233" w:lineRule="exact"/>
        <w:rPr>
          <w:sz w:val="20"/>
          <w:szCs w:val="20"/>
          <w:color w:val="auto"/>
        </w:rPr>
      </w:pPr>
    </w:p>
    <w:p>
      <w:pPr>
        <w:ind w:right="22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ANTONIO PORTUONDO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Antonio Portuondo</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7" w:lineRule="auto"/>
        <w:rPr>
          <w:sz w:val="20"/>
          <w:szCs w:val="20"/>
          <w:color w:val="auto"/>
        </w:rPr>
      </w:pPr>
      <w:r>
        <w:rPr>
          <w:rFonts w:ascii="Courier New" w:cs="Courier New" w:eastAsia="Courier New" w:hAnsi="Courier New"/>
          <w:sz w:val="19"/>
          <w:szCs w:val="19"/>
          <w:color w:val="auto"/>
        </w:rPr>
        <w:t>President</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21, 2015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NATIONAL ASSOCIATION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DONALD HEBERLE</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Donald Heberle</w:t>
      </w:r>
    </w:p>
    <w:p>
      <w:pPr>
        <w:ind w:left="56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September 16, 2015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SA/NV</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LAURA AHTO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Laura Ahto</w:t>
      </w:r>
    </w:p>
    <w:p>
      <w:pPr>
        <w:ind w:left="440"/>
        <w:spacing w:after="0" w:line="237" w:lineRule="auto"/>
        <w:rPr>
          <w:sz w:val="20"/>
          <w:szCs w:val="20"/>
          <w:color w:val="auto"/>
        </w:rPr>
      </w:pPr>
      <w:r>
        <w:rPr>
          <w:rFonts w:ascii="Courier New" w:cs="Courier New" w:eastAsia="Courier New" w:hAnsi="Courier New"/>
          <w:sz w:val="19"/>
          <w:szCs w:val="19"/>
          <w:color w:val="auto"/>
        </w:rPr>
        <w:t>Chief Executive Officer</w:t>
      </w:r>
    </w:p>
    <w:p>
      <w:pPr>
        <w:spacing w:after="0"/>
        <w:rPr>
          <w:sz w:val="20"/>
          <w:szCs w:val="20"/>
          <w:color w:val="auto"/>
        </w:rPr>
      </w:pPr>
      <w:r>
        <w:rPr>
          <w:rFonts w:ascii="Courier New" w:cs="Courier New" w:eastAsia="Courier New" w:hAnsi="Courier New"/>
          <w:sz w:val="19"/>
          <w:szCs w:val="19"/>
          <w:color w:val="auto"/>
        </w:rPr>
        <w:t>Date: May 17,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BANK OF NEW YORK MELLON</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CURTIS ARLEDGE</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Curtis Arledge</w:t>
      </w:r>
    </w:p>
    <w:p>
      <w:pPr>
        <w:ind w:left="560"/>
        <w:spacing w:after="0" w:line="237" w:lineRule="auto"/>
        <w:rPr>
          <w:sz w:val="20"/>
          <w:szCs w:val="20"/>
          <w:color w:val="auto"/>
        </w:rPr>
      </w:pPr>
      <w:r>
        <w:rPr>
          <w:rFonts w:ascii="Courier New" w:cs="Courier New" w:eastAsia="Courier New" w:hAnsi="Courier New"/>
          <w:sz w:val="19"/>
          <w:szCs w:val="19"/>
          <w:color w:val="auto"/>
        </w:rPr>
        <w:t>Vice Chairman</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August 26, 2015</w:t>
      </w:r>
    </w:p>
    <w:p>
      <w:pPr>
        <w:spacing w:after="0" w:line="200" w:lineRule="exact"/>
        <w:rPr>
          <w:sz w:val="20"/>
          <w:szCs w:val="20"/>
          <w:color w:val="auto"/>
        </w:rPr>
      </w:pPr>
    </w:p>
    <w:p>
      <w:pPr>
        <w:spacing w:after="0" w:line="233" w:lineRule="exact"/>
        <w:rPr>
          <w:sz w:val="20"/>
          <w:szCs w:val="20"/>
          <w:color w:val="auto"/>
        </w:rPr>
      </w:pPr>
    </w:p>
    <w:p>
      <w:pPr>
        <w:ind w:right="2460"/>
        <w:spacing w:after="0" w:line="257" w:lineRule="auto"/>
        <w:rPr>
          <w:sz w:val="20"/>
          <w:szCs w:val="20"/>
          <w:color w:val="auto"/>
        </w:rPr>
      </w:pPr>
      <w:r>
        <w:rPr>
          <w:rFonts w:ascii="Courier New" w:cs="Courier New" w:eastAsia="Courier New" w:hAnsi="Courier New"/>
          <w:sz w:val="18"/>
          <w:szCs w:val="18"/>
          <w:color w:val="auto"/>
        </w:rPr>
        <w:t>THE BANK OF NEW YORK MELLON TRUST COMPANY, NATIONAL ASSOCIATION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KURTIS R. KURIMSKY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Kurtis R. Kurimsky</w:t>
      </w:r>
    </w:p>
    <w:p>
      <w:pPr>
        <w:ind w:left="560"/>
        <w:spacing w:after="0" w:line="237" w:lineRule="auto"/>
        <w:rPr>
          <w:sz w:val="20"/>
          <w:szCs w:val="20"/>
          <w:color w:val="auto"/>
        </w:rPr>
      </w:pPr>
      <w:r>
        <w:rPr>
          <w:rFonts w:ascii="Courier New" w:cs="Courier New" w:eastAsia="Courier New" w:hAnsi="Courier New"/>
          <w:sz w:val="19"/>
          <w:szCs w:val="19"/>
          <w:color w:val="auto"/>
        </w:rPr>
        <w:t>Executive Vice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March 8,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TRUST OF DELAWARE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LEE JAMES WOOLLEY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660"/>
        <w:spacing w:after="0"/>
        <w:rPr>
          <w:sz w:val="20"/>
          <w:szCs w:val="20"/>
          <w:color w:val="auto"/>
        </w:rPr>
      </w:pPr>
      <w:r>
        <w:rPr>
          <w:rFonts w:ascii="Courier New" w:cs="Courier New" w:eastAsia="Courier New" w:hAnsi="Courier New"/>
          <w:sz w:val="19"/>
          <w:szCs w:val="19"/>
          <w:color w:val="auto"/>
        </w:rPr>
        <w:t>Lee James Woolley</w:t>
      </w:r>
    </w:p>
    <w:p>
      <w:pPr>
        <w:ind w:left="660"/>
        <w:spacing w:after="0" w:line="237" w:lineRule="auto"/>
        <w:rPr>
          <w:sz w:val="20"/>
          <w:szCs w:val="20"/>
          <w:color w:val="auto"/>
        </w:rPr>
      </w:pPr>
      <w:r>
        <w:rPr>
          <w:rFonts w:ascii="Courier New" w:cs="Courier New" w:eastAsia="Courier New" w:hAnsi="Courier New"/>
          <w:sz w:val="19"/>
          <w:szCs w:val="19"/>
          <w:color w:val="auto"/>
        </w:rPr>
        <w:t>Chairman and</w:t>
      </w:r>
    </w:p>
    <w:p>
      <w:pPr>
        <w:ind w:left="660"/>
        <w:spacing w:after="0"/>
        <w:rPr>
          <w:sz w:val="20"/>
          <w:szCs w:val="20"/>
          <w:color w:val="auto"/>
        </w:rPr>
      </w:pPr>
      <w:r>
        <w:rPr>
          <w:rFonts w:ascii="Courier New" w:cs="Courier New" w:eastAsia="Courier New" w:hAnsi="Courier New"/>
          <w:sz w:val="19"/>
          <w:szCs w:val="19"/>
          <w:color w:val="auto"/>
        </w:rPr>
        <w:t>Chief Executive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2015</w:t>
      </w:r>
    </w:p>
    <w:p>
      <w:pPr>
        <w:spacing w:after="0" w:line="200" w:lineRule="exact"/>
        <w:rPr>
          <w:sz w:val="20"/>
          <w:szCs w:val="20"/>
          <w:color w:val="auto"/>
        </w:rPr>
      </w:pPr>
    </w:p>
    <w:p>
      <w:pPr>
        <w:sectPr>
          <w:pgSz w:w="12240" w:h="15998" w:orient="portrait"/>
          <w:cols w:equalWidth="0" w:num="2">
            <w:col w:w="3880" w:space="680"/>
            <w:col w:w="6120"/>
          </w:cols>
          <w:pgMar w:left="120" w:top="822" w:right="1440"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Investment Advisers and/or Broker-Dealers</w:t>
      </w:r>
      <w:r>
        <w:rPr>
          <w:sz w:val="20"/>
          <w:szCs w:val="20"/>
          <w:color w:val="auto"/>
        </w:rPr>
        <w:tab/>
      </w:r>
      <w:r>
        <w:rPr>
          <w:rFonts w:ascii="Courier New" w:cs="Courier New" w:eastAsia="Courier New" w:hAnsi="Courier New"/>
          <w:sz w:val="19"/>
          <w:szCs w:val="19"/>
          <w:color w:val="auto"/>
        </w:rPr>
        <w:t>|</w:t>
      </w:r>
    </w:p>
    <w:p>
      <w:pPr>
        <w:sectPr>
          <w:pgSz w:w="12240" w:h="15998" w:orient="portrait"/>
          <w:cols w:equalWidth="0" w:num="1">
            <w:col w:w="10680"/>
          </w:cols>
          <w:pgMar w:left="120" w:top="822"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 w:right="1440" w:bottom="0" w:gutter="0" w:footer="0" w:header="0"/>
        </w:sect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PERSHING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CLAIRE SANTANIELLO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Claire Santaniello</w:t>
      </w:r>
    </w:p>
    <w:p>
      <w:pPr>
        <w:ind w:left="440"/>
        <w:spacing w:after="0" w:line="237" w:lineRule="auto"/>
        <w:rPr>
          <w:sz w:val="20"/>
          <w:szCs w:val="20"/>
          <w:color w:val="auto"/>
        </w:rPr>
      </w:pPr>
      <w:r>
        <w:rPr>
          <w:rFonts w:ascii="Courier New" w:cs="Courier New" w:eastAsia="Courier New" w:hAnsi="Courier New"/>
          <w:sz w:val="19"/>
          <w:szCs w:val="19"/>
          <w:color w:val="auto"/>
        </w:rPr>
        <w:t>Chief Administrative Officer</w:t>
      </w:r>
    </w:p>
    <w:p>
      <w:pPr>
        <w:ind w:left="440"/>
        <w:spacing w:after="0"/>
        <w:rPr>
          <w:sz w:val="20"/>
          <w:szCs w:val="20"/>
          <w:color w:val="auto"/>
        </w:rPr>
      </w:pPr>
      <w:r>
        <w:rPr>
          <w:rFonts w:ascii="Courier New" w:cs="Courier New" w:eastAsia="Courier New" w:hAnsi="Courier New"/>
          <w:sz w:val="19"/>
          <w:szCs w:val="19"/>
          <w:color w:val="auto"/>
        </w:rPr>
        <w:t>and Chief Risk Officer</w:t>
      </w:r>
    </w:p>
    <w:p>
      <w:pPr>
        <w:spacing w:after="0"/>
        <w:tabs>
          <w:tab w:leader="none" w:pos="760" w:val="left"/>
          <w:tab w:leader="none" w:pos="1300" w:val="left"/>
        </w:tabs>
        <w:rPr>
          <w:sz w:val="20"/>
          <w:szCs w:val="20"/>
          <w:color w:val="auto"/>
        </w:rPr>
      </w:pPr>
      <w:r>
        <w:rPr>
          <w:rFonts w:ascii="Courier New" w:cs="Courier New" w:eastAsia="Courier New" w:hAnsi="Courier New"/>
          <w:sz w:val="19"/>
          <w:szCs w:val="19"/>
          <w:color w:val="auto"/>
        </w:rPr>
        <w:t>Date:</w:t>
        <w:tab/>
        <w:t>May</w:t>
      </w:r>
      <w:r>
        <w:rPr>
          <w:sz w:val="20"/>
          <w:szCs w:val="20"/>
          <w:color w:val="auto"/>
        </w:rPr>
        <w:tab/>
      </w:r>
      <w:r>
        <w:rPr>
          <w:rFonts w:ascii="Courier New" w:cs="Courier New" w:eastAsia="Courier New" w:hAnsi="Courier New"/>
          <w:sz w:val="18"/>
          <w:szCs w:val="18"/>
          <w:color w:val="auto"/>
        </w:rPr>
        <w:t>24, 2016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33" w:lineRule="exact"/>
        <w:rPr>
          <w:sz w:val="20"/>
          <w:szCs w:val="20"/>
          <w:color w:val="auto"/>
        </w:rPr>
      </w:pPr>
    </w:p>
    <w:p>
      <w:pPr>
        <w:ind w:right="6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tabs>
          <w:tab w:leader="none" w:pos="760" w:val="left"/>
        </w:tabs>
        <w:rPr>
          <w:sz w:val="20"/>
          <w:szCs w:val="20"/>
          <w:color w:val="auto"/>
        </w:rPr>
      </w:pPr>
      <w:r>
        <w:rPr>
          <w:rFonts w:ascii="Courier New" w:cs="Courier New" w:eastAsia="Courier New" w:hAnsi="Courier New"/>
          <w:sz w:val="19"/>
          <w:szCs w:val="19"/>
          <w:color w:val="auto"/>
        </w:rPr>
        <w:t>Date:</w:t>
        <w:tab/>
        <w:t>May 5, 2016</w:t>
      </w:r>
    </w:p>
    <w:p>
      <w:pPr>
        <w:spacing w:after="0" w:line="200" w:lineRule="exact"/>
        <w:rPr>
          <w:sz w:val="20"/>
          <w:szCs w:val="20"/>
          <w:color w:val="auto"/>
        </w:rPr>
      </w:pPr>
    </w:p>
    <w:p>
      <w:pPr>
        <w:spacing w:after="0" w:line="23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GUSTAVO CASTELLO BRANCO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Gustavo Castello Branco</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THE DREYFUS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BITETTO</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James Bitetto</w:t>
      </w:r>
    </w:p>
    <w:p>
      <w:pPr>
        <w:ind w:left="440"/>
        <w:spacing w:after="0" w:line="237" w:lineRule="auto"/>
        <w:rPr>
          <w:sz w:val="20"/>
          <w:szCs w:val="20"/>
          <w:color w:val="auto"/>
        </w:rPr>
      </w:pPr>
      <w:r>
        <w:rPr>
          <w:rFonts w:ascii="Courier New" w:cs="Courier New" w:eastAsia="Courier New" w:hAnsi="Courier New"/>
          <w:sz w:val="19"/>
          <w:szCs w:val="19"/>
          <w:color w:val="auto"/>
        </w:rPr>
        <w:t>Secretary</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LOCKWOOD ADVISORS, INC.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JOHN J. BRETT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John J. Brett</w:t>
      </w:r>
    </w:p>
    <w:p>
      <w:pPr>
        <w:ind w:left="440"/>
        <w:spacing w:after="0" w:line="237" w:lineRule="auto"/>
        <w:rPr>
          <w:sz w:val="20"/>
          <w:szCs w:val="20"/>
          <w:color w:val="auto"/>
        </w:rPr>
      </w:pPr>
      <w:r>
        <w:rPr>
          <w:rFonts w:ascii="Courier New" w:cs="Courier New" w:eastAsia="Courier New" w:hAnsi="Courier New"/>
          <w:sz w:val="19"/>
          <w:szCs w:val="19"/>
          <w:color w:val="auto"/>
        </w:rPr>
        <w:t>Chairman</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July 30, 2015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BNY MELLON CAPITAL MARKETS, LLC</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JEFF GEARHART</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Jeff Gearhart</w:t>
      </w:r>
    </w:p>
    <w:p>
      <w:pPr>
        <w:ind w:left="440"/>
        <w:spacing w:after="0" w:line="237" w:lineRule="auto"/>
        <w:rPr>
          <w:sz w:val="20"/>
          <w:szCs w:val="20"/>
          <w:color w:val="auto"/>
        </w:rPr>
      </w:pPr>
      <w:r>
        <w:rPr>
          <w:rFonts w:ascii="Courier New" w:cs="Courier New" w:eastAsia="Courier New" w:hAnsi="Courier New"/>
          <w:sz w:val="19"/>
          <w:szCs w:val="19"/>
          <w:color w:val="auto"/>
        </w:rPr>
        <w:t>Chief Operating Officer</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October 19,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ARX INVESTIMENTOS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GUILHERME ABRY</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Guilherme Abry</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33" w:lineRule="exact"/>
        <w:rPr>
          <w:sz w:val="20"/>
          <w:szCs w:val="20"/>
          <w:color w:val="auto"/>
        </w:rPr>
      </w:pPr>
    </w:p>
    <w:p>
      <w:pPr>
        <w:ind w:right="2340"/>
        <w:spacing w:after="0" w:line="236" w:lineRule="auto"/>
        <w:rPr>
          <w:sz w:val="20"/>
          <w:szCs w:val="20"/>
          <w:color w:val="auto"/>
        </w:rPr>
      </w:pPr>
      <w:r>
        <w:rPr>
          <w:rFonts w:ascii="Courier New" w:cs="Courier New" w:eastAsia="Courier New" w:hAnsi="Courier New"/>
          <w:sz w:val="19"/>
          <w:szCs w:val="19"/>
          <w:color w:val="auto"/>
        </w:rPr>
        <w:t>BNY MELLON SERVICOS FINANCEIROS DISTRIBUIDORA DE TITULOS E VALORES MOBILIARIOS S.A.</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340"/>
        <w:spacing w:after="0" w:line="235" w:lineRule="auto"/>
        <w:rPr>
          <w:sz w:val="20"/>
          <w:szCs w:val="20"/>
          <w:color w:val="auto"/>
        </w:rPr>
      </w:pPr>
      <w:r>
        <w:rPr>
          <w:rFonts w:ascii="Courier New" w:cs="Courier New" w:eastAsia="Courier New" w:hAnsi="Courier New"/>
          <w:sz w:val="19"/>
          <w:szCs w:val="19"/>
          <w:color w:val="auto"/>
        </w:rPr>
        <w:t>BNY MELLON ADMINISTRACAO DE ATIVOS LTDA</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Marcus Vinicius Mathias Pereira</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5, 2016</w:t>
      </w:r>
    </w:p>
    <w:p>
      <w:pPr>
        <w:spacing w:after="0" w:line="200" w:lineRule="exact"/>
        <w:rPr>
          <w:sz w:val="20"/>
          <w:szCs w:val="20"/>
          <w:color w:val="auto"/>
        </w:rPr>
      </w:pPr>
    </w:p>
    <w:p>
      <w:pPr>
        <w:spacing w:after="0" w:line="232"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ALOCACAO DE PATRIMONIO LTDA</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CAMILA SOUZA</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Camila Souza</w:t>
      </w:r>
    </w:p>
    <w:p>
      <w:pPr>
        <w:ind w:left="440"/>
        <w:spacing w:after="0" w:line="237" w:lineRule="auto"/>
        <w:rPr>
          <w:sz w:val="20"/>
          <w:szCs w:val="20"/>
          <w:color w:val="auto"/>
        </w:rPr>
      </w:pPr>
      <w:r>
        <w:rPr>
          <w:rFonts w:ascii="Courier New" w:cs="Courier New" w:eastAsia="Courier New" w:hAnsi="Courier New"/>
          <w:sz w:val="19"/>
          <w:szCs w:val="19"/>
          <w:color w:val="auto"/>
        </w:rPr>
        <w:t>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January 4, 2016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INSIGHT INVESTMENT MANAGEMENT</w:t>
      </w:r>
    </w:p>
    <w:p>
      <w:pPr>
        <w:spacing w:after="0" w:line="238" w:lineRule="auto"/>
        <w:rPr>
          <w:sz w:val="20"/>
          <w:szCs w:val="20"/>
          <w:color w:val="auto"/>
        </w:rPr>
      </w:pPr>
      <w:r>
        <w:rPr>
          <w:rFonts w:ascii="Courier New" w:cs="Courier New" w:eastAsia="Courier New" w:hAnsi="Courier New"/>
          <w:sz w:val="19"/>
          <w:szCs w:val="19"/>
          <w:color w:val="auto"/>
        </w:rPr>
        <w:t>(GLOBAL) LIMITED</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CHARLES FARQUHARSON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Charles Farquharson</w:t>
      </w:r>
    </w:p>
    <w:p>
      <w:pPr>
        <w:ind w:left="440"/>
        <w:spacing w:after="0" w:line="237" w:lineRule="auto"/>
        <w:rPr>
          <w:sz w:val="20"/>
          <w:szCs w:val="20"/>
          <w:color w:val="auto"/>
        </w:rPr>
      </w:pPr>
      <w:r>
        <w:rPr>
          <w:rFonts w:ascii="Courier New" w:cs="Courier New" w:eastAsia="Courier New" w:hAnsi="Courier New"/>
          <w:sz w:val="19"/>
          <w:szCs w:val="19"/>
          <w:color w:val="auto"/>
        </w:rPr>
        <w:t>Chief Risk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February 16, 2016</w:t>
      </w:r>
    </w:p>
    <w:p>
      <w:pPr>
        <w:spacing w:after="0" w:line="200" w:lineRule="exact"/>
        <w:rPr>
          <w:sz w:val="20"/>
          <w:szCs w:val="20"/>
          <w:color w:val="auto"/>
        </w:rPr>
      </w:pPr>
    </w:p>
    <w:p>
      <w:pPr>
        <w:spacing w:after="0" w:line="233"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ASSET MANAGEMENT JAPAN LIMITED</w:t>
      </w:r>
    </w:p>
    <w:p>
      <w:pPr>
        <w:spacing w:after="0"/>
        <w:rPr>
          <w:sz w:val="20"/>
          <w:szCs w:val="20"/>
          <w:color w:val="auto"/>
        </w:rPr>
      </w:pPr>
      <w:r>
        <w:rPr>
          <w:rFonts w:ascii="Courier New" w:cs="Courier New" w:eastAsia="Courier New" w:hAnsi="Courier New"/>
          <w:sz w:val="19"/>
          <w:szCs w:val="19"/>
          <w:color w:val="auto"/>
        </w:rPr>
        <w:t>By: /S/ SHIZU KISHIMOTO</w:t>
      </w:r>
    </w:p>
    <w:p>
      <w:pPr>
        <w:spacing w:after="0" w:line="238" w:lineRule="auto"/>
        <w:rPr>
          <w:sz w:val="20"/>
          <w:szCs w:val="20"/>
          <w:color w:val="auto"/>
        </w:rPr>
      </w:pPr>
      <w:r>
        <w:rPr>
          <w:rFonts w:ascii="Courier New" w:cs="Courier New" w:eastAsia="Courier New" w:hAnsi="Courier New"/>
          <w:sz w:val="19"/>
          <w:szCs w:val="19"/>
          <w:color w:val="auto"/>
        </w:rPr>
        <w:t>---------------------</w:t>
      </w:r>
    </w:p>
    <w:p>
      <w:pPr>
        <w:spacing w:after="0" w:line="238" w:lineRule="auto"/>
        <w:rPr>
          <w:sz w:val="20"/>
          <w:szCs w:val="20"/>
          <w:color w:val="auto"/>
        </w:rPr>
      </w:pPr>
      <w:r>
        <w:rPr>
          <w:rFonts w:ascii="Courier New" w:cs="Courier New" w:eastAsia="Courier New" w:hAnsi="Courier New"/>
          <w:sz w:val="19"/>
          <w:szCs w:val="19"/>
          <w:color w:val="auto"/>
        </w:rPr>
        <w:t>Shizu Kishimoto</w:t>
      </w:r>
    </w:p>
    <w:p>
      <w:pPr>
        <w:spacing w:after="0"/>
        <w:rPr>
          <w:sz w:val="20"/>
          <w:szCs w:val="20"/>
          <w:color w:val="auto"/>
        </w:rPr>
      </w:pPr>
      <w:r>
        <w:rPr>
          <w:rFonts w:ascii="Courier New" w:cs="Courier New" w:eastAsia="Courier New" w:hAnsi="Courier New"/>
          <w:sz w:val="19"/>
          <w:szCs w:val="19"/>
          <w:color w:val="auto"/>
        </w:rPr>
        <w:t>Representative Director</w:t>
      </w:r>
    </w:p>
    <w:p>
      <w:pPr>
        <w:spacing w:after="0" w:line="237" w:lineRule="auto"/>
        <w:rPr>
          <w:sz w:val="20"/>
          <w:szCs w:val="20"/>
          <w:color w:val="auto"/>
        </w:rPr>
      </w:pPr>
      <w:r>
        <w:rPr>
          <w:rFonts w:ascii="Courier New" w:cs="Courier New" w:eastAsia="Courier New" w:hAnsi="Courier New"/>
          <w:sz w:val="19"/>
          <w:szCs w:val="19"/>
          <w:color w:val="auto"/>
        </w:rPr>
        <w:t>and President</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August 5, 2015</w:t>
      </w:r>
    </w:p>
    <w:p>
      <w:pPr>
        <w:spacing w:after="0" w:line="200" w:lineRule="exact"/>
        <w:rPr>
          <w:sz w:val="20"/>
          <w:szCs w:val="20"/>
          <w:color w:val="auto"/>
        </w:rPr>
      </w:pPr>
    </w:p>
    <w:p>
      <w:pPr>
        <w:sectPr>
          <w:pgSz w:w="12240" w:h="15840" w:orient="portrait"/>
          <w:cols w:equalWidth="0" w:num="2">
            <w:col w:w="3840" w:space="720"/>
            <w:col w:w="6120"/>
          </w:cols>
          <w:pgMar w:left="120" w:top="2" w:right="1440" w:bottom="0" w:gutter="0" w:footer="0" w:header="0"/>
          <w:type w:val="continuous"/>
        </w:sectPr>
      </w:pPr>
    </w:p>
    <w:p>
      <w:pPr>
        <w:spacing w:after="0" w:line="226"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9"/>
          <w:szCs w:val="19"/>
          <w:color w:val="auto"/>
        </w:rPr>
        <w:t>MELLON INVESTMENTS CORPORATION</w:t>
      </w:r>
      <w:r>
        <w:rPr>
          <w:sz w:val="20"/>
          <w:szCs w:val="20"/>
          <w:color w:val="auto"/>
        </w:rPr>
        <w:tab/>
      </w:r>
      <w:r>
        <w:rPr>
          <w:rFonts w:ascii="Courier New" w:cs="Courier New" w:eastAsia="Courier New" w:hAnsi="Courier New"/>
          <w:sz w:val="18"/>
          <w:szCs w:val="18"/>
          <w:color w:val="auto"/>
        </w:rPr>
        <w:t>MBSC SECURITIES CORPORATION</w:t>
      </w:r>
    </w:p>
    <w:p>
      <w:pPr>
        <w:sectPr>
          <w:pgSz w:w="12240" w:h="15840" w:orient="portrait"/>
          <w:cols w:equalWidth="0" w:num="1">
            <w:col w:w="10680"/>
          </w:cols>
          <w:pgMar w:left="120" w:top="2"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/S/ JENNIFER CASSEDY</w:t>
            </w:r>
          </w:p>
        </w:tc>
        <w:tc>
          <w:tcPr>
            <w:tcW w:w="1120" w:type="dxa"/>
            <w:vAlign w:val="bottom"/>
          </w:tcPr>
          <w:p>
            <w:pPr>
              <w:ind w:left="34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jc w:val="right"/>
              <w:ind w:right="587"/>
              <w:spacing w:after="0"/>
              <w:rPr>
                <w:sz w:val="20"/>
                <w:szCs w:val="20"/>
                <w:color w:val="auto"/>
              </w:rPr>
            </w:pPr>
            <w:r>
              <w:rPr>
                <w:rFonts w:ascii="Courier New" w:cs="Courier New" w:eastAsia="Courier New" w:hAnsi="Courier New"/>
                <w:sz w:val="19"/>
                <w:szCs w:val="19"/>
                <w:color w:val="auto"/>
              </w:rPr>
              <w:t>KENNETH J. BRADLE</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Jennifer Cassedy</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Kenneth J. Bradle</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440" w:type="dxa"/>
            <w:vAlign w:val="bottom"/>
          </w:tcPr>
          <w:p>
            <w:pPr>
              <w:spacing w:after="0" w:line="214" w:lineRule="exact"/>
              <w:rPr>
                <w:sz w:val="20"/>
                <w:szCs w:val="20"/>
                <w:color w:val="auto"/>
              </w:rPr>
            </w:pPr>
            <w:r>
              <w:rPr>
                <w:rFonts w:ascii="Courier New" w:cs="Courier New" w:eastAsia="Courier New" w:hAnsi="Courier New"/>
                <w:sz w:val="19"/>
                <w:szCs w:val="19"/>
                <w:color w:val="auto"/>
              </w:rPr>
              <w:t>January 10, 2019</w:t>
            </w:r>
          </w:p>
        </w:tc>
        <w:tc>
          <w:tcPr>
            <w:tcW w:w="3900" w:type="dxa"/>
            <w:vAlign w:val="bottom"/>
            <w:gridSpan w:val="2"/>
          </w:tcPr>
          <w:p>
            <w:pPr>
              <w:jc w:val="right"/>
              <w:ind w:right="1247"/>
              <w:spacing w:after="0" w:line="214" w:lineRule="exact"/>
              <w:rPr>
                <w:sz w:val="20"/>
                <w:szCs w:val="20"/>
                <w:color w:val="auto"/>
              </w:rPr>
            </w:pPr>
            <w:r>
              <w:rPr>
                <w:rFonts w:ascii="Courier New" w:cs="Courier New" w:eastAsia="Courier New" w:hAnsi="Courier New"/>
                <w:sz w:val="19"/>
                <w:szCs w:val="19"/>
                <w:color w:val="auto"/>
              </w:rPr>
              <w:t>Date:  April 29,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NEWTON INVESTMENT MANAGEMENT LIMITED</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NEWTON INVESTMENT MANAGEMENT</w:t>
            </w:r>
          </w:p>
        </w:tc>
      </w:tr>
      <w:tr>
        <w:trPr>
          <w:trHeight w:val="214"/>
        </w:trPr>
        <w:tc>
          <w:tcPr>
            <w:tcW w:w="7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(NORTH AMERICA) LIMITED</w:t>
            </w:r>
          </w:p>
        </w:tc>
      </w:tr>
      <w:tr>
        <w:trPr>
          <w:trHeight w:val="428"/>
        </w:trPr>
        <w:tc>
          <w:tcPr>
            <w:tcW w:w="780" w:type="dxa"/>
            <w:vAlign w:val="bottom"/>
          </w:tcPr>
          <w:p>
            <w:pPr>
              <w:spacing w:after="0"/>
              <w:rPr>
                <w:sz w:val="20"/>
                <w:szCs w:val="20"/>
                <w:color w:val="auto"/>
              </w:rPr>
            </w:pPr>
            <w:r>
              <w:rPr>
                <w:rFonts w:ascii="Courier New" w:cs="Courier New" w:eastAsia="Courier New" w:hAnsi="Courier New"/>
                <w:sz w:val="19"/>
                <w:szCs w:val="19"/>
                <w:color w:val="auto"/>
                <w:w w:val="95"/>
              </w:rPr>
              <w:t>By: /S/</w:t>
            </w:r>
          </w:p>
        </w:tc>
        <w:tc>
          <w:tcPr>
            <w:tcW w:w="3440" w:type="dxa"/>
            <w:vAlign w:val="bottom"/>
          </w:tcPr>
          <w:p>
            <w:pPr>
              <w:ind w:left="220"/>
              <w:spacing w:after="0"/>
              <w:rPr>
                <w:sz w:val="20"/>
                <w:szCs w:val="20"/>
                <w:color w:val="auto"/>
              </w:rPr>
            </w:pPr>
            <w:r>
              <w:rPr>
                <w:rFonts w:ascii="Courier New" w:cs="Courier New" w:eastAsia="Courier New" w:hAnsi="Courier New"/>
                <w:sz w:val="19"/>
                <w:szCs w:val="19"/>
                <w:color w:val="auto"/>
              </w:rPr>
              <w:t>JAMES HELBY</w:t>
            </w:r>
          </w:p>
        </w:tc>
        <w:tc>
          <w:tcPr>
            <w:tcW w:w="1120" w:type="dxa"/>
            <w:vAlign w:val="bottom"/>
          </w:tcPr>
          <w:p>
            <w:pPr>
              <w:ind w:left="340"/>
              <w:spacing w:after="0"/>
              <w:rPr>
                <w:sz w:val="20"/>
                <w:szCs w:val="20"/>
                <w:color w:val="auto"/>
              </w:rPr>
            </w:pPr>
            <w:r>
              <w:rPr>
                <w:rFonts w:ascii="Courier New" w:cs="Courier New" w:eastAsia="Courier New" w:hAnsi="Courier New"/>
                <w:sz w:val="19"/>
                <w:szCs w:val="19"/>
                <w:color w:val="auto"/>
                <w:w w:val="95"/>
              </w:rPr>
              <w:t>By: /S/</w:t>
            </w:r>
          </w:p>
        </w:tc>
        <w:tc>
          <w:tcPr>
            <w:tcW w:w="2780" w:type="dxa"/>
            <w:vAlign w:val="bottom"/>
          </w:tcPr>
          <w:p>
            <w:pPr>
              <w:jc w:val="right"/>
              <w:ind w:right="1247"/>
              <w:spacing w:after="0"/>
              <w:rPr>
                <w:sz w:val="20"/>
                <w:szCs w:val="20"/>
                <w:color w:val="auto"/>
              </w:rPr>
            </w:pPr>
            <w:r>
              <w:rPr>
                <w:rFonts w:ascii="Courier New" w:cs="Courier New" w:eastAsia="Courier New" w:hAnsi="Courier New"/>
                <w:sz w:val="19"/>
                <w:szCs w:val="19"/>
                <w:color w:val="auto"/>
              </w:rPr>
              <w:t>JAMES HELBY</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James Helby</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James Helby</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44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c>
          <w:tcPr>
            <w:tcW w:w="1120" w:type="dxa"/>
            <w:vAlign w:val="bottom"/>
          </w:tcPr>
          <w:p>
            <w:pPr>
              <w:ind w:left="340"/>
              <w:spacing w:after="0" w:line="214" w:lineRule="exact"/>
              <w:rPr>
                <w:sz w:val="20"/>
                <w:szCs w:val="20"/>
                <w:color w:val="auto"/>
              </w:rPr>
            </w:pPr>
            <w:r>
              <w:rPr>
                <w:rFonts w:ascii="Courier New" w:cs="Courier New" w:eastAsia="Courier New" w:hAnsi="Courier New"/>
                <w:sz w:val="19"/>
                <w:szCs w:val="19"/>
                <w:color w:val="auto"/>
              </w:rPr>
              <w:t>Date:</w:t>
            </w:r>
          </w:p>
        </w:tc>
        <w:tc>
          <w:tcPr>
            <w:tcW w:w="2780" w:type="dxa"/>
            <w:vAlign w:val="bottom"/>
          </w:tcPr>
          <w:p>
            <w:pPr>
              <w:jc w:val="right"/>
              <w:ind w:right="1247"/>
              <w:spacing w:after="0" w:line="214" w:lineRule="exact"/>
              <w:rPr>
                <w:sz w:val="20"/>
                <w:szCs w:val="20"/>
                <w:color w:val="auto"/>
              </w:rPr>
            </w:pPr>
            <w:r>
              <w:rPr>
                <w:rFonts w:ascii="Courier New" w:cs="Courier New" w:eastAsia="Courier New" w:hAnsi="Courier New"/>
                <w:sz w:val="19"/>
                <w:szCs w:val="19"/>
                <w:color w:val="auto"/>
                <w:w w:val="95"/>
              </w:rPr>
              <w:t>June 30,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WALTER SCOTT &amp; PARTNERS LIMITED</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w w:val="97"/>
              </w:rPr>
              <w:t>INSIGHT INVESTMENT INTERNATIONAL</w:t>
            </w:r>
          </w:p>
        </w:tc>
      </w:tr>
      <w:tr>
        <w:trPr>
          <w:trHeight w:val="214"/>
        </w:trPr>
        <w:tc>
          <w:tcPr>
            <w:tcW w:w="7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20" w:type="dxa"/>
            <w:vAlign w:val="bottom"/>
          </w:tcPr>
          <w:p>
            <w:pPr>
              <w:ind w:left="340"/>
              <w:spacing w:after="0" w:line="214" w:lineRule="exact"/>
              <w:rPr>
                <w:sz w:val="20"/>
                <w:szCs w:val="20"/>
                <w:color w:val="auto"/>
              </w:rPr>
            </w:pPr>
            <w:r>
              <w:rPr>
                <w:rFonts w:ascii="Courier New" w:cs="Courier New" w:eastAsia="Courier New" w:hAnsi="Courier New"/>
                <w:sz w:val="19"/>
                <w:szCs w:val="19"/>
                <w:color w:val="auto"/>
                <w:w w:val="95"/>
              </w:rPr>
              <w:t>LIMITED</w:t>
            </w:r>
          </w:p>
        </w:tc>
        <w:tc>
          <w:tcPr>
            <w:tcW w:w="2780" w:type="dxa"/>
            <w:vAlign w:val="bottom"/>
          </w:tcPr>
          <w:p>
            <w:pPr>
              <w:spacing w:after="0"/>
              <w:rPr>
                <w:sz w:val="18"/>
                <w:szCs w:val="18"/>
                <w:color w:val="auto"/>
              </w:rPr>
            </w:pP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 RODGER NISBET</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By: /S/ LEE PALMER</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Rodger Nisbet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Lee Palmer</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Executive Chairman</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Chief Compliance Officer</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July 15, 2015</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Date: February 14, 2018</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BNY MELLON WEALTH MANAGEMENT,</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w w:val="97"/>
              </w:rPr>
              <w:t>BNY MELLON INVESTMENT MANAGEMENT</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ADVISORY SERVICES, INC.</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CAYMAN LTD</w:t>
            </w:r>
          </w:p>
        </w:tc>
      </w:tr>
      <w:tr>
        <w:trPr>
          <w:trHeight w:val="428"/>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/S/ MARIE-CLAUDE LEPAGE</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By: /S/ BRENDON J. DONNELLAN</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Marie-Claude Lepage</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Brendon J.Donnellan</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Chief Compliance Officer</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440" w:type="dxa"/>
            <w:vAlign w:val="bottom"/>
          </w:tcPr>
          <w:p>
            <w:pPr>
              <w:spacing w:after="0" w:line="214" w:lineRule="exact"/>
              <w:rPr>
                <w:sz w:val="20"/>
                <w:szCs w:val="20"/>
                <w:color w:val="auto"/>
              </w:rPr>
            </w:pPr>
            <w:r>
              <w:rPr>
                <w:rFonts w:ascii="Courier New" w:cs="Courier New" w:eastAsia="Courier New" w:hAnsi="Courier New"/>
                <w:sz w:val="19"/>
                <w:szCs w:val="19"/>
                <w:color w:val="auto"/>
              </w:rPr>
              <w:t>May 9, 2016</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Date: August 22,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BNY MELLON TRUST COMPANY</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BNY MELLON TRUST COMPANY</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(CAYMAN) LIMITED</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(CAYMAN) LIMITED</w:t>
            </w:r>
          </w:p>
        </w:tc>
      </w:tr>
      <w:tr>
        <w:trPr>
          <w:trHeight w:val="428"/>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CANELLA SECRETARIES</w:t>
            </w:r>
          </w:p>
        </w:tc>
        <w:tc>
          <w:tcPr>
            <w:tcW w:w="3900" w:type="dxa"/>
            <w:vAlign w:val="bottom"/>
            <w:gridSpan w:val="2"/>
          </w:tcPr>
          <w:p>
            <w:pPr>
              <w:ind w:left="340"/>
              <w:spacing w:after="0"/>
              <w:rPr>
                <w:sz w:val="20"/>
                <w:szCs w:val="20"/>
                <w:color w:val="auto"/>
              </w:rPr>
            </w:pPr>
            <w:r>
              <w:rPr>
                <w:rFonts w:ascii="Courier New" w:cs="Courier New" w:eastAsia="Courier New" w:hAnsi="Courier New"/>
                <w:sz w:val="19"/>
                <w:szCs w:val="19"/>
                <w:color w:val="auto"/>
              </w:rPr>
              <w:t>By: CANELLA SECRETARIES</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(CAYMAN) LTD, SECRETARY</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(CAYMAN) LTD, SECRETARY</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By: /S/GILLIAN NELSON</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By: /S/ PATRICIA BRUZIO</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Gillian Nelson</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Patricia Bruzio</w:t>
            </w: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Authorized Person</w:t>
            </w:r>
          </w:p>
        </w:tc>
        <w:tc>
          <w:tcPr>
            <w:tcW w:w="3900" w:type="dxa"/>
            <w:vAlign w:val="bottom"/>
            <w:gridSpan w:val="2"/>
          </w:tcPr>
          <w:p>
            <w:pPr>
              <w:ind w:left="780"/>
              <w:spacing w:after="0" w:line="214" w:lineRule="exact"/>
              <w:rPr>
                <w:sz w:val="20"/>
                <w:szCs w:val="20"/>
                <w:color w:val="auto"/>
              </w:rPr>
            </w:pPr>
            <w:r>
              <w:rPr>
                <w:rFonts w:ascii="Courier New" w:cs="Courier New" w:eastAsia="Courier New" w:hAnsi="Courier New"/>
                <w:sz w:val="19"/>
                <w:szCs w:val="19"/>
                <w:color w:val="auto"/>
              </w:rPr>
              <w:t>Authorized Person</w:t>
            </w: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May 17, 2016</w:t>
            </w:r>
          </w:p>
        </w:tc>
        <w:tc>
          <w:tcPr>
            <w:tcW w:w="3900" w:type="dxa"/>
            <w:vAlign w:val="bottom"/>
            <w:gridSpan w:val="2"/>
          </w:tcPr>
          <w:p>
            <w:pPr>
              <w:ind w:left="340"/>
              <w:spacing w:after="0" w:line="214" w:lineRule="exact"/>
              <w:rPr>
                <w:sz w:val="20"/>
                <w:szCs w:val="20"/>
                <w:color w:val="auto"/>
              </w:rPr>
            </w:pPr>
            <w:r>
              <w:rPr>
                <w:rFonts w:ascii="Courier New" w:cs="Courier New" w:eastAsia="Courier New" w:hAnsi="Courier New"/>
                <w:sz w:val="19"/>
                <w:szCs w:val="19"/>
                <w:color w:val="auto"/>
              </w:rPr>
              <w:t>Date: May 17, 2016</w:t>
            </w:r>
          </w:p>
        </w:tc>
      </w:tr>
      <w:tr>
        <w:trPr>
          <w:trHeight w:val="642"/>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INSIGHT NORTH AMERICA LLC</w:t>
            </w:r>
          </w:p>
        </w:tc>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28"/>
        </w:trPr>
        <w:tc>
          <w:tcPr>
            <w:tcW w:w="4220" w:type="dxa"/>
            <w:vAlign w:val="bottom"/>
            <w:gridSpan w:val="2"/>
          </w:tcPr>
          <w:p>
            <w:pPr>
              <w:spacing w:after="0"/>
              <w:rPr>
                <w:sz w:val="20"/>
                <w:szCs w:val="20"/>
                <w:color w:val="auto"/>
              </w:rPr>
            </w:pPr>
            <w:r>
              <w:rPr>
                <w:rFonts w:ascii="Courier New" w:cs="Courier New" w:eastAsia="Courier New" w:hAnsi="Courier New"/>
                <w:sz w:val="19"/>
                <w:szCs w:val="19"/>
                <w:color w:val="auto"/>
              </w:rPr>
              <w:t>By: /S/ JOHN ARIOLA</w:t>
            </w:r>
          </w:p>
        </w:tc>
        <w:tc>
          <w:tcPr>
            <w:tcW w:w="11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John Ariola</w:t>
            </w:r>
          </w:p>
        </w:tc>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2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Head of Financial Analysis</w:t>
            </w:r>
          </w:p>
        </w:tc>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4"/>
        </w:trPr>
        <w:tc>
          <w:tcPr>
            <w:tcW w:w="422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December 7, 2016</w:t>
            </w:r>
          </w:p>
        </w:tc>
        <w:tc>
          <w:tcPr>
            <w:tcW w:w="1120" w:type="dxa"/>
            <w:vAlign w:val="bottom"/>
          </w:tcPr>
          <w:p>
            <w:pPr>
              <w:spacing w:after="0"/>
              <w:rPr>
                <w:sz w:val="18"/>
                <w:szCs w:val="18"/>
                <w:color w:val="auto"/>
              </w:rPr>
            </w:pPr>
          </w:p>
        </w:tc>
        <w:tc>
          <w:tcPr>
            <w:tcW w:w="278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220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Parent Holding Companies/Control Persons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423" w:right="1440" w:bottom="91"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GROUP LLC</w:t>
      </w:r>
    </w:p>
    <w:p>
      <w:pPr>
        <w:spacing w:after="0" w:line="200" w:lineRule="exact"/>
        <w:rPr>
          <w:sz w:val="20"/>
          <w:szCs w:val="20"/>
          <w:color w:val="auto"/>
        </w:rPr>
      </w:pPr>
    </w:p>
    <w:p>
      <w:pPr>
        <w:sectPr>
          <w:pgSz w:w="12240" w:h="15840" w:orient="portrait"/>
          <w:cols w:equalWidth="0" w:num="2">
            <w:col w:w="4220" w:space="340"/>
            <w:col w:w="6120"/>
          </w:cols>
          <w:pgMar w:left="120" w:top="423" w:right="1440" w:bottom="91" w:gutter="0" w:footer="0" w:header="0"/>
          <w:type w:val="continuous"/>
        </w:sectPr>
      </w:pP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JAMES P. AMBAGIS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James P. Ambagis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line="2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CLAIRE SANTANIELLO</w:t>
      </w:r>
    </w:p>
    <w:p>
      <w:pPr>
        <w:ind w:left="560"/>
        <w:spacing w:after="0" w:line="238" w:lineRule="auto"/>
        <w:rPr>
          <w:sz w:val="20"/>
          <w:szCs w:val="20"/>
          <w:color w:val="auto"/>
        </w:rPr>
      </w:pPr>
      <w:r>
        <w:rPr>
          <w:rFonts w:ascii="Courier New" w:cs="Courier New" w:eastAsia="Courier New" w:hAnsi="Courier New"/>
          <w:sz w:val="19"/>
          <w:szCs w:val="19"/>
          <w:color w:val="auto"/>
        </w:rPr>
        <w:t>---------------------</w:t>
      </w:r>
    </w:p>
    <w:p>
      <w:pPr>
        <w:ind w:left="560"/>
        <w:spacing w:after="0"/>
        <w:rPr>
          <w:sz w:val="20"/>
          <w:szCs w:val="20"/>
          <w:color w:val="auto"/>
        </w:rPr>
      </w:pPr>
      <w:r>
        <w:rPr>
          <w:rFonts w:ascii="Courier New" w:cs="Courier New" w:eastAsia="Courier New" w:hAnsi="Courier New"/>
          <w:sz w:val="19"/>
          <w:szCs w:val="19"/>
          <w:color w:val="auto"/>
        </w:rPr>
        <w:t>Claire Santaniello</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8"/>
          <w:szCs w:val="18"/>
          <w:color w:val="auto"/>
        </w:rPr>
        <w:t>Chief Administrative Officer</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and Chief Risk Officer</w:t>
      </w:r>
    </w:p>
    <w:p>
      <w:pPr>
        <w:spacing w:after="0"/>
        <w:tabs>
          <w:tab w:leader="none" w:pos="76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8"/>
          <w:szCs w:val="18"/>
          <w:color w:val="auto"/>
        </w:rPr>
        <w:t>May 11, 2016</w:t>
      </w:r>
    </w:p>
    <w:p>
      <w:pPr>
        <w:sectPr>
          <w:pgSz w:w="12240" w:h="15840" w:orient="portrait"/>
          <w:cols w:equalWidth="0" w:num="2">
            <w:col w:w="3840" w:space="720"/>
            <w:col w:w="6120"/>
          </w:cols>
          <w:pgMar w:left="120" w:top="423" w:right="1440" w:bottom="91"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1"/>
        </w:trPr>
        <w:tc>
          <w:tcPr>
            <w:tcW w:w="4060" w:type="dxa"/>
            <w:vAlign w:val="bottom"/>
            <w:gridSpan w:val="2"/>
          </w:tcPr>
          <w:p>
            <w:pPr>
              <w:spacing w:after="0" w:line="211" w:lineRule="exact"/>
              <w:rPr>
                <w:sz w:val="20"/>
                <w:szCs w:val="20"/>
                <w:color w:val="auto"/>
              </w:rPr>
            </w:pPr>
            <w:r>
              <w:rPr>
                <w:rFonts w:ascii="Courier New" w:cs="Courier New" w:eastAsia="Courier New" w:hAnsi="Courier New"/>
                <w:sz w:val="19"/>
                <w:szCs w:val="19"/>
                <w:color w:val="auto"/>
              </w:rPr>
              <w:t>BNY MELLON INVESTMENT MANAGEMENT</w:t>
            </w:r>
          </w:p>
        </w:tc>
        <w:tc>
          <w:tcPr>
            <w:tcW w:w="4380" w:type="dxa"/>
            <w:vAlign w:val="bottom"/>
            <w:gridSpan w:val="2"/>
          </w:tcPr>
          <w:p>
            <w:pPr>
              <w:ind w:left="500"/>
              <w:spacing w:after="0" w:line="211" w:lineRule="exact"/>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(APAC) HOLDINGS LIMITED</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(APAC) HOLDINGS 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EMILY CHAN</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Emily Chan</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Doni Shamsuddin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April 19, 2016</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April 19,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INTERNATIONAL ASSET</w:t>
            </w:r>
          </w:p>
        </w:tc>
        <w:tc>
          <w:tcPr>
            <w:tcW w:w="4380" w:type="dxa"/>
            <w:vAlign w:val="bottom"/>
            <w:gridSpan w:val="2"/>
          </w:tcPr>
          <w:p>
            <w:pPr>
              <w:ind w:left="380"/>
              <w:spacing w:after="0"/>
              <w:rPr>
                <w:sz w:val="20"/>
                <w:szCs w:val="20"/>
                <w:color w:val="auto"/>
              </w:rPr>
            </w:pPr>
            <w:r>
              <w:rPr>
                <w:rFonts w:ascii="Courier New" w:cs="Courier New" w:eastAsia="Courier New" w:hAnsi="Courier New"/>
                <w:sz w:val="19"/>
                <w:szCs w:val="19"/>
                <w:color w:val="auto"/>
              </w:rPr>
              <w:t>NEWTON MANAGEMENT LIMITED</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MANAGEMENT GROUP LIMITED</w:t>
            </w:r>
          </w:p>
        </w:tc>
        <w:tc>
          <w:tcPr>
            <w:tcW w:w="11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1160" w:type="dxa"/>
            <w:vAlign w:val="bottom"/>
          </w:tcPr>
          <w:p>
            <w:pPr>
              <w:ind w:left="380"/>
              <w:spacing w:after="0"/>
              <w:rPr>
                <w:sz w:val="20"/>
                <w:szCs w:val="20"/>
                <w:color w:val="auto"/>
              </w:rPr>
            </w:pPr>
            <w:r>
              <w:rPr>
                <w:rFonts w:ascii="Courier New" w:cs="Courier New" w:eastAsia="Courier New" w:hAnsi="Courier New"/>
                <w:sz w:val="19"/>
                <w:szCs w:val="19"/>
                <w:color w:val="auto"/>
                <w:w w:val="95"/>
              </w:rPr>
              <w:t>By: /S/</w:t>
            </w:r>
          </w:p>
        </w:tc>
        <w:tc>
          <w:tcPr>
            <w:tcW w:w="3220" w:type="dxa"/>
            <w:vAlign w:val="bottom"/>
          </w:tcPr>
          <w:p>
            <w:pPr>
              <w:ind w:left="220"/>
              <w:spacing w:after="0"/>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Helena Morrissey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1160" w:type="dxa"/>
            <w:vAlign w:val="bottom"/>
          </w:tcPr>
          <w:p>
            <w:pPr>
              <w:ind w:left="380"/>
              <w:spacing w:after="0" w:line="214" w:lineRule="exact"/>
              <w:rPr>
                <w:sz w:val="20"/>
                <w:szCs w:val="20"/>
                <w:color w:val="auto"/>
              </w:rPr>
            </w:pPr>
            <w:r>
              <w:rPr>
                <w:rFonts w:ascii="Courier New" w:cs="Courier New" w:eastAsia="Courier New" w:hAnsi="Courier New"/>
                <w:sz w:val="19"/>
                <w:szCs w:val="19"/>
                <w:color w:val="auto"/>
              </w:rPr>
              <w:t>Date:</w:t>
            </w:r>
          </w:p>
        </w:tc>
        <w:tc>
          <w:tcPr>
            <w:tcW w:w="3220" w:type="dxa"/>
            <w:vAlign w:val="bottom"/>
          </w:tcPr>
          <w:p>
            <w:pPr>
              <w:spacing w:after="0" w:line="214" w:lineRule="exact"/>
              <w:rPr>
                <w:sz w:val="20"/>
                <w:szCs w:val="20"/>
                <w:color w:val="auto"/>
              </w:rPr>
            </w:pPr>
            <w:r>
              <w:rPr>
                <w:rFonts w:ascii="Courier New" w:cs="Courier New" w:eastAsia="Courier New" w:hAnsi="Courier New"/>
                <w:sz w:val="19"/>
                <w:szCs w:val="19"/>
                <w:color w:val="auto"/>
              </w:rPr>
              <w:t>July 17,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IHC, LLC</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MBC INVESTMENTS 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PAUL A. GRIFFITHS</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Paul A. Griffiths</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Vice President and</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Chairman, President and</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Controller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Chief Executive Officer</w:t>
            </w:r>
          </w:p>
        </w:tc>
      </w:tr>
      <w:tr>
        <w:trPr>
          <w:trHeight w:val="214"/>
        </w:trPr>
        <w:tc>
          <w:tcPr>
            <w:tcW w:w="4060" w:type="dxa"/>
            <w:vAlign w:val="bottom"/>
            <w:gridSpan w:val="2"/>
          </w:tcPr>
          <w:p>
            <w:pPr>
              <w:ind w:left="100"/>
              <w:spacing w:after="0" w:line="214" w:lineRule="exact"/>
              <w:rPr>
                <w:sz w:val="20"/>
                <w:szCs w:val="20"/>
                <w:color w:val="auto"/>
              </w:rPr>
            </w:pPr>
            <w:r>
              <w:rPr>
                <w:rFonts w:ascii="Courier New" w:cs="Courier New" w:eastAsia="Courier New" w:hAnsi="Courier New"/>
                <w:sz w:val="19"/>
                <w:szCs w:val="19"/>
                <w:color w:val="auto"/>
              </w:rPr>
              <w:t>Date: March 29, 2017</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2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April 29,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MELLON OVERSEAS INVESTMENT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INSIGHT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3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Charles Farquharson</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Vice President and Controller</w:t>
            </w:r>
          </w:p>
        </w:tc>
        <w:tc>
          <w:tcPr>
            <w:tcW w:w="4380" w:type="dxa"/>
            <w:vAlign w:val="bottom"/>
            <w:gridSpan w:val="2"/>
          </w:tcPr>
          <w:p>
            <w:pPr>
              <w:ind w:left="1060"/>
              <w:spacing w:after="0" w:line="214" w:lineRule="exact"/>
              <w:rPr>
                <w:sz w:val="20"/>
                <w:szCs w:val="20"/>
                <w:color w:val="auto"/>
              </w:rPr>
            </w:pPr>
            <w:r>
              <w:rPr>
                <w:rFonts w:ascii="Courier New" w:cs="Courier New" w:eastAsia="Courier New" w:hAnsi="Courier New"/>
                <w:sz w:val="19"/>
                <w:szCs w:val="19"/>
                <w:color w:val="auto"/>
              </w:rPr>
              <w:t>Chief Risk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7, 2015</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February 16,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INTERNATIONAL FINANCING</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INTERNATIONAL FINANCING</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CORPORATION</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CORPORATION</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KURTIS R. KURIMSKY</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Kurtis R. Kurimsky</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John M. Roy</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President and Comptroller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President</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May 12, 2016</w:t>
            </w:r>
          </w:p>
        </w:tc>
        <w:tc>
          <w:tcPr>
            <w:tcW w:w="1160" w:type="dxa"/>
            <w:vAlign w:val="bottom"/>
          </w:tcPr>
          <w:p>
            <w:pPr>
              <w:ind w:left="500"/>
              <w:spacing w:after="0" w:line="214" w:lineRule="exact"/>
              <w:rPr>
                <w:sz w:val="20"/>
                <w:szCs w:val="20"/>
                <w:color w:val="auto"/>
              </w:rPr>
            </w:pPr>
            <w:r>
              <w:rPr>
                <w:rFonts w:ascii="Courier New" w:cs="Courier New" w:eastAsia="Courier New" w:hAnsi="Courier New"/>
                <w:sz w:val="19"/>
                <w:szCs w:val="19"/>
                <w:color w:val="auto"/>
              </w:rPr>
              <w:t>Date:</w:t>
            </w:r>
          </w:p>
        </w:tc>
        <w:tc>
          <w:tcPr>
            <w:tcW w:w="3220" w:type="dxa"/>
            <w:vAlign w:val="bottom"/>
          </w:tcPr>
          <w:p>
            <w:pPr>
              <w:ind w:left="120"/>
              <w:spacing w:after="0" w:line="214" w:lineRule="exact"/>
              <w:rPr>
                <w:sz w:val="20"/>
                <w:szCs w:val="20"/>
                <w:color w:val="auto"/>
              </w:rPr>
            </w:pPr>
            <w:r>
              <w:rPr>
                <w:rFonts w:ascii="Courier New" w:cs="Courier New" w:eastAsia="Courier New" w:hAnsi="Courier New"/>
                <w:sz w:val="19"/>
                <w:szCs w:val="19"/>
                <w:color w:val="auto"/>
              </w:rPr>
              <w:t>August 15, 2016</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INVESTMENT MANAGEMENT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EUROPE HOLDINGS LIMITED</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(EUROPE)LIMITED</w:t>
            </w: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Greg Brisk</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Director</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Date:</w:t>
            </w:r>
          </w:p>
        </w:tc>
        <w:tc>
          <w:tcPr>
            <w:tcW w:w="3280" w:type="dxa"/>
            <w:vAlign w:val="bottom"/>
          </w:tcPr>
          <w:p>
            <w:pPr>
              <w:spacing w:after="0" w:line="214" w:lineRule="exact"/>
              <w:rPr>
                <w:sz w:val="20"/>
                <w:szCs w:val="20"/>
                <w:color w:val="auto"/>
              </w:rPr>
            </w:pPr>
            <w:r>
              <w:rPr>
                <w:rFonts w:ascii="Courier New" w:cs="Courier New" w:eastAsia="Courier New" w:hAnsi="Courier New"/>
                <w:sz w:val="19"/>
                <w:szCs w:val="19"/>
                <w:color w:val="auto"/>
              </w:rPr>
              <w:t>October 21, 2015</w:t>
            </w:r>
          </w:p>
        </w:tc>
        <w:tc>
          <w:tcPr>
            <w:tcW w:w="4380" w:type="dxa"/>
            <w:vAlign w:val="bottom"/>
            <w:gridSpan w:val="2"/>
          </w:tcPr>
          <w:p>
            <w:pPr>
              <w:ind w:left="820"/>
              <w:spacing w:after="0" w:line="214" w:lineRule="exact"/>
              <w:rPr>
                <w:sz w:val="20"/>
                <w:szCs w:val="20"/>
                <w:color w:val="auto"/>
              </w:rPr>
            </w:pPr>
            <w:r>
              <w:rPr>
                <w:rFonts w:ascii="Courier New" w:cs="Courier New" w:eastAsia="Courier New" w:hAnsi="Courier New"/>
                <w:sz w:val="19"/>
                <w:szCs w:val="19"/>
                <w:color w:val="auto"/>
              </w:rPr>
              <w:t>Date:  October 21,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INVESTMENT MANAGEMENT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w w:val="99"/>
              </w:rPr>
              <w:t>BNY CAPITAL MARKETS HOLDINGS, INC.</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(JERSEY)LIMITED</w:t>
            </w:r>
          </w:p>
        </w:tc>
        <w:tc>
          <w:tcPr>
            <w:tcW w:w="116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428"/>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By: /S/ GREG BRISK</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By: /S/ 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Greg Brisk</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Thomas P. Gibbons</w:t>
            </w:r>
          </w:p>
        </w:tc>
      </w:tr>
      <w:tr>
        <w:trPr>
          <w:trHeight w:val="214"/>
        </w:trPr>
        <w:tc>
          <w:tcPr>
            <w:tcW w:w="4060" w:type="dxa"/>
            <w:vAlign w:val="bottom"/>
            <w:gridSpan w:val="2"/>
          </w:tcPr>
          <w:p>
            <w:pPr>
              <w:ind w:left="440"/>
              <w:spacing w:after="0" w:line="214" w:lineRule="exact"/>
              <w:rPr>
                <w:sz w:val="20"/>
                <w:szCs w:val="20"/>
                <w:color w:val="auto"/>
              </w:rPr>
            </w:pPr>
            <w:r>
              <w:rPr>
                <w:rFonts w:ascii="Courier New" w:cs="Courier New" w:eastAsia="Courier New" w:hAnsi="Courier New"/>
                <w:sz w:val="19"/>
                <w:szCs w:val="19"/>
                <w:color w:val="auto"/>
              </w:rPr>
              <w:t>Director</w:t>
            </w: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Vice Chairman and Chief</w:t>
            </w:r>
          </w:p>
        </w:tc>
      </w:tr>
      <w:tr>
        <w:trPr>
          <w:trHeight w:val="214"/>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380" w:type="dxa"/>
            <w:vAlign w:val="bottom"/>
            <w:gridSpan w:val="2"/>
          </w:tcPr>
          <w:p>
            <w:pPr>
              <w:ind w:left="940"/>
              <w:spacing w:after="0" w:line="214" w:lineRule="exact"/>
              <w:rPr>
                <w:sz w:val="20"/>
                <w:szCs w:val="20"/>
                <w:color w:val="auto"/>
              </w:rPr>
            </w:pPr>
            <w:r>
              <w:rPr>
                <w:rFonts w:ascii="Courier New" w:cs="Courier New" w:eastAsia="Courier New" w:hAnsi="Courier New"/>
                <w:sz w:val="19"/>
                <w:szCs w:val="19"/>
                <w:color w:val="auto"/>
              </w:rPr>
              <w:t>Financial Officer</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Date: October 21, 2015</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rPr>
              <w:t>Date: October 24, 2015</w:t>
            </w:r>
          </w:p>
        </w:tc>
      </w:tr>
      <w:tr>
        <w:trPr>
          <w:trHeight w:val="642"/>
        </w:trPr>
        <w:tc>
          <w:tcPr>
            <w:tcW w:w="4060" w:type="dxa"/>
            <w:vAlign w:val="bottom"/>
            <w:gridSpan w:val="2"/>
          </w:tcPr>
          <w:p>
            <w:pPr>
              <w:spacing w:after="0"/>
              <w:rPr>
                <w:sz w:val="20"/>
                <w:szCs w:val="20"/>
                <w:color w:val="auto"/>
              </w:rPr>
            </w:pPr>
            <w:r>
              <w:rPr>
                <w:rFonts w:ascii="Courier New" w:cs="Courier New" w:eastAsia="Courier New" w:hAnsi="Courier New"/>
                <w:sz w:val="19"/>
                <w:szCs w:val="19"/>
                <w:color w:val="auto"/>
              </w:rPr>
              <w:t>BNY MELLON INTERNATIONAL ASSET</w:t>
            </w:r>
          </w:p>
        </w:tc>
        <w:tc>
          <w:tcPr>
            <w:tcW w:w="4380" w:type="dxa"/>
            <w:vAlign w:val="bottom"/>
            <w:gridSpan w:val="2"/>
          </w:tcPr>
          <w:p>
            <w:pPr>
              <w:ind w:left="500"/>
              <w:spacing w:after="0"/>
              <w:rPr>
                <w:sz w:val="20"/>
                <w:szCs w:val="20"/>
                <w:color w:val="auto"/>
              </w:rPr>
            </w:pPr>
            <w:r>
              <w:rPr>
                <w:rFonts w:ascii="Courier New" w:cs="Courier New" w:eastAsia="Courier New" w:hAnsi="Courier New"/>
                <w:sz w:val="19"/>
                <w:szCs w:val="19"/>
                <w:color w:val="auto"/>
              </w:rPr>
              <w:t>BNY MELLON INTERNATIONAL ASSET</w:t>
            </w:r>
          </w:p>
        </w:tc>
      </w:tr>
      <w:tr>
        <w:trPr>
          <w:trHeight w:val="214"/>
        </w:trPr>
        <w:tc>
          <w:tcPr>
            <w:tcW w:w="4060" w:type="dxa"/>
            <w:vAlign w:val="bottom"/>
            <w:gridSpan w:val="2"/>
          </w:tcPr>
          <w:p>
            <w:pPr>
              <w:spacing w:after="0" w:line="214" w:lineRule="exact"/>
              <w:rPr>
                <w:sz w:val="20"/>
                <w:szCs w:val="20"/>
                <w:color w:val="auto"/>
              </w:rPr>
            </w:pPr>
            <w:r>
              <w:rPr>
                <w:rFonts w:ascii="Courier New" w:cs="Courier New" w:eastAsia="Courier New" w:hAnsi="Courier New"/>
                <w:sz w:val="19"/>
                <w:szCs w:val="19"/>
                <w:color w:val="auto"/>
              </w:rPr>
              <w:t>MANAGEMENT (HOLDINGS) LIMITED</w:t>
            </w:r>
          </w:p>
        </w:tc>
        <w:tc>
          <w:tcPr>
            <w:tcW w:w="4380" w:type="dxa"/>
            <w:vAlign w:val="bottom"/>
            <w:gridSpan w:val="2"/>
          </w:tcPr>
          <w:p>
            <w:pPr>
              <w:ind w:left="500"/>
              <w:spacing w:after="0" w:line="214" w:lineRule="exact"/>
              <w:rPr>
                <w:sz w:val="20"/>
                <w:szCs w:val="20"/>
                <w:color w:val="auto"/>
              </w:rPr>
            </w:pPr>
            <w:r>
              <w:rPr>
                <w:rFonts w:ascii="Courier New" w:cs="Courier New" w:eastAsia="Courier New" w:hAnsi="Courier New"/>
                <w:sz w:val="19"/>
                <w:szCs w:val="19"/>
                <w:color w:val="auto"/>
                <w:w w:val="96"/>
              </w:rPr>
              <w:t>MANAGEMENT (HOLDINGS) No. 1 LIMITED</w:t>
            </w:r>
          </w:p>
        </w:tc>
      </w:tr>
    </w:tbl>
    <w:p>
      <w:pPr>
        <w:sectPr>
          <w:pgSz w:w="12240" w:h="15840" w:orient="portrait"/>
          <w:cols w:equalWidth="0" w:num="1">
            <w:col w:w="10680"/>
          </w:cols>
          <w:pgMar w:left="120" w:top="0"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GREG BRISK</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Greg Brisk</w:t>
      </w:r>
    </w:p>
    <w:p>
      <w:pPr>
        <w:ind w:left="440"/>
        <w:spacing w:after="0" w:line="238" w:lineRule="auto"/>
        <w:rPr>
          <w:sz w:val="20"/>
          <w:szCs w:val="20"/>
          <w:color w:val="auto"/>
        </w:rPr>
      </w:pPr>
      <w:r>
        <w:rPr>
          <w:rFonts w:ascii="Courier New" w:cs="Courier New" w:eastAsia="Courier New" w:hAnsi="Courier New"/>
          <w:sz w:val="19"/>
          <w:szCs w:val="19"/>
          <w:color w:val="auto"/>
        </w:rPr>
        <w:t>Director</w:t>
      </w:r>
    </w:p>
    <w:p>
      <w:pPr>
        <w:spacing w:after="0"/>
        <w:rPr>
          <w:sz w:val="20"/>
          <w:szCs w:val="20"/>
          <w:color w:val="auto"/>
        </w:rPr>
      </w:pPr>
      <w:r>
        <w:rPr>
          <w:rFonts w:ascii="Courier New" w:cs="Courier New" w:eastAsia="Courier New" w:hAnsi="Courier New"/>
          <w:sz w:val="19"/>
          <w:szCs w:val="19"/>
          <w:color w:val="auto"/>
        </w:rPr>
        <w:t>Date: October 21, 2015</w:t>
      </w:r>
    </w:p>
    <w:p>
      <w:pPr>
        <w:spacing w:after="0" w:line="200" w:lineRule="exact"/>
        <w:rPr>
          <w:sz w:val="20"/>
          <w:szCs w:val="20"/>
          <w:color w:val="auto"/>
        </w:rPr>
      </w:pPr>
    </w:p>
    <w:p>
      <w:pPr>
        <w:sectPr>
          <w:pgSz w:w="12240" w:h="15840" w:orient="portrait"/>
          <w:cols w:equalWidth="0" w:num="2">
            <w:col w:w="3840" w:space="720"/>
            <w:col w:w="6120"/>
          </w:cols>
          <w:pgMar w:left="120" w:top="209" w:right="1440" w:bottom="1440" w:gutter="0" w:footer="0" w:header="0"/>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CANADA HOLDING COMPANY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KELLY SCHWARTZ</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Kelly Schwartz</w:t>
      </w:r>
    </w:p>
    <w:p>
      <w:pPr>
        <w:ind w:left="440"/>
        <w:spacing w:after="0" w:line="237" w:lineRule="auto"/>
        <w:rPr>
          <w:sz w:val="20"/>
          <w:szCs w:val="20"/>
          <w:color w:val="auto"/>
        </w:rPr>
      </w:pPr>
      <w:r>
        <w:rPr>
          <w:rFonts w:ascii="Courier New" w:cs="Courier New" w:eastAsia="Courier New" w:hAnsi="Courier New"/>
          <w:sz w:val="19"/>
          <w:szCs w:val="19"/>
          <w:color w:val="auto"/>
        </w:rPr>
        <w:t>President and Director</w:t>
      </w: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May 3, 2016</w:t>
      </w:r>
    </w:p>
    <w:p>
      <w:pPr>
        <w:sectPr>
          <w:pgSz w:w="12240" w:h="15840" w:orient="portrait"/>
          <w:cols w:equalWidth="0" w:num="1">
            <w:col w:w="10680"/>
          </w:cols>
          <w:pgMar w:left="120" w:top="209" w:right="1440"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PARTICIPACOES LTDA</w:t>
      </w:r>
    </w:p>
    <w:p>
      <w:pPr>
        <w:spacing w:after="0" w:line="200"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CARLOS ALBERTO SARAIVA</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w:t>
      </w:r>
    </w:p>
    <w:p>
      <w:pPr>
        <w:ind w:left="560"/>
        <w:spacing w:after="0" w:line="238" w:lineRule="auto"/>
        <w:rPr>
          <w:sz w:val="20"/>
          <w:szCs w:val="20"/>
          <w:color w:val="auto"/>
        </w:rPr>
      </w:pPr>
      <w:r>
        <w:rPr>
          <w:rFonts w:ascii="Courier New" w:cs="Courier New" w:eastAsia="Courier New" w:hAnsi="Courier New"/>
          <w:sz w:val="19"/>
          <w:szCs w:val="19"/>
          <w:color w:val="auto"/>
        </w:rPr>
        <w:t>Carlos Alberto Saraiva</w:t>
      </w:r>
    </w:p>
    <w:p>
      <w:pPr>
        <w:ind w:left="56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MARCUS VINICIUS MATHIAS PEREIRA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w:t>
      </w:r>
    </w:p>
    <w:p>
      <w:pPr>
        <w:ind w:left="440"/>
        <w:spacing w:after="0" w:line="238" w:lineRule="auto"/>
        <w:rPr>
          <w:sz w:val="20"/>
          <w:szCs w:val="20"/>
          <w:color w:val="auto"/>
        </w:rPr>
      </w:pPr>
      <w:r>
        <w:rPr>
          <w:rFonts w:ascii="Courier New" w:cs="Courier New" w:eastAsia="Courier New" w:hAnsi="Courier New"/>
          <w:sz w:val="19"/>
          <w:szCs w:val="19"/>
          <w:color w:val="auto"/>
        </w:rPr>
        <w:t>Marcus Vinicius Mathias Pereira</w:t>
      </w:r>
    </w:p>
    <w:p>
      <w:pPr>
        <w:ind w:left="440"/>
        <w:spacing w:after="0"/>
        <w:rPr>
          <w:sz w:val="20"/>
          <w:szCs w:val="20"/>
          <w:color w:val="auto"/>
        </w:rPr>
      </w:pPr>
      <w:r>
        <w:rPr>
          <w:rFonts w:ascii="Courier New" w:cs="Courier New" w:eastAsia="Courier New" w:hAnsi="Courier New"/>
          <w:sz w:val="19"/>
          <w:szCs w:val="19"/>
          <w:color w:val="auto"/>
        </w:rPr>
        <w:t>Director</w:t>
      </w:r>
    </w:p>
    <w:p>
      <w:pPr>
        <w:spacing w:after="0" w:line="237" w:lineRule="auto"/>
        <w:rPr>
          <w:sz w:val="20"/>
          <w:szCs w:val="20"/>
          <w:color w:val="auto"/>
        </w:rPr>
      </w:pPr>
      <w:r>
        <w:rPr>
          <w:rFonts w:ascii="Courier New" w:cs="Courier New" w:eastAsia="Courier New" w:hAnsi="Courier New"/>
          <w:sz w:val="19"/>
          <w:szCs w:val="19"/>
          <w:color w:val="auto"/>
        </w:rPr>
        <w:t>Date: May 5, 2016</w:t>
      </w:r>
    </w:p>
    <w:p>
      <w:pPr>
        <w:spacing w:after="0" w:line="200"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GLOBAL INVESTING CORPORATION</w:t>
      </w:r>
    </w:p>
    <w:p>
      <w:pPr>
        <w:spacing w:after="0" w:line="3"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rPr>
          <w:sz w:val="20"/>
          <w:szCs w:val="20"/>
          <w:color w:val="auto"/>
        </w:rPr>
      </w:pPr>
      <w:r>
        <w:rPr>
          <w:rFonts w:ascii="Courier New" w:cs="Courier New" w:eastAsia="Courier New" w:hAnsi="Courier New"/>
          <w:sz w:val="19"/>
          <w:szCs w:val="19"/>
          <w:color w:val="auto"/>
        </w:rPr>
        <w:t>APAC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BNY MELLON INVESTMENT MANAGEMENT</w:t>
      </w: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HOLDINGS, LLC, GENERAL PARTNER</w:t>
      </w:r>
    </w:p>
    <w:p>
      <w:pPr>
        <w:sectPr>
          <w:pgSz w:w="12240" w:h="15840" w:orient="portrait"/>
          <w:cols w:equalWidth="0" w:num="1">
            <w:col w:w="10680"/>
          </w:cols>
          <w:pgMar w:left="120" w:top="209"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9"/>
          <w:szCs w:val="19"/>
          <w:color w:val="auto"/>
        </w:rPr>
        <w:t>By: /S/ PAUL A. GRIFFITHS</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Paul A. Griffiths</w:t>
      </w:r>
    </w:p>
    <w:p>
      <w:pPr>
        <w:ind w:left="440"/>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9"/>
          <w:szCs w:val="19"/>
          <w:color w:val="auto"/>
        </w:rPr>
        <w:t>By: /S/ LEO P. GROHOWSKI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Leo P . Grohowski</w:t>
      </w:r>
    </w:p>
    <w:p>
      <w:pPr>
        <w:spacing w:after="0" w:line="238" w:lineRule="auto"/>
        <w:rPr>
          <w:sz w:val="20"/>
          <w:szCs w:val="20"/>
          <w:color w:val="auto"/>
        </w:rPr>
      </w:pPr>
      <w:r>
        <w:rPr>
          <w:rFonts w:ascii="Courier New" w:cs="Courier New" w:eastAsia="Courier New" w:hAnsi="Courier New"/>
          <w:sz w:val="19"/>
          <w:szCs w:val="19"/>
          <w:color w:val="auto"/>
        </w:rPr>
        <w:t>President</w:t>
      </w:r>
    </w:p>
    <w:p>
      <w:pPr>
        <w:spacing w:after="0"/>
        <w:rPr>
          <w:sz w:val="20"/>
          <w:szCs w:val="20"/>
          <w:color w:val="auto"/>
        </w:rPr>
      </w:pPr>
      <w:r>
        <w:rPr>
          <w:rFonts w:ascii="Courier New" w:cs="Courier New" w:eastAsia="Courier New" w:hAnsi="Courier New"/>
          <w:sz w:val="19"/>
          <w:szCs w:val="19"/>
          <w:color w:val="auto"/>
        </w:rPr>
        <w:t>Date: June 29, 2018</w:t>
      </w:r>
    </w:p>
    <w:p>
      <w:pPr>
        <w:spacing w:after="0" w:line="200" w:lineRule="exact"/>
        <w:rPr>
          <w:sz w:val="20"/>
          <w:szCs w:val="20"/>
          <w:color w:val="auto"/>
        </w:rPr>
      </w:pPr>
    </w:p>
    <w:p>
      <w:pPr>
        <w:sectPr>
          <w:pgSz w:w="12240" w:h="15840" w:orient="portrait"/>
          <w:cols w:equalWidth="0" w:num="2">
            <w:col w:w="3720" w:space="720"/>
            <w:col w:w="6240"/>
          </w:cols>
          <w:pgMar w:left="120" w:top="209"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tabs>
          <w:tab w:leader="none" w:pos="3320" w:val="left"/>
          <w:tab w:leader="none" w:pos="8420" w:val="left"/>
        </w:tabs>
        <w:rPr>
          <w:sz w:val="20"/>
          <w:szCs w:val="20"/>
          <w:color w:val="auto"/>
        </w:rPr>
      </w:pPr>
      <w:r>
        <w:rPr>
          <w:rFonts w:ascii="Courier New" w:cs="Courier New" w:eastAsia="Courier New" w:hAnsi="Courier New"/>
          <w:sz w:val="19"/>
          <w:szCs w:val="19"/>
          <w:color w:val="auto"/>
        </w:rPr>
        <w:t>|</w:t>
      </w:r>
      <w:r>
        <w:rPr>
          <w:sz w:val="20"/>
          <w:szCs w:val="20"/>
          <w:color w:val="auto"/>
        </w:rPr>
        <w:tab/>
      </w:r>
      <w:r>
        <w:rPr>
          <w:rFonts w:ascii="Courier New" w:cs="Courier New" w:eastAsia="Courier New" w:hAnsi="Courier New"/>
          <w:sz w:val="19"/>
          <w:szCs w:val="19"/>
          <w:color w:val="auto"/>
        </w:rPr>
        <w:t>Fund Administrators</w:t>
      </w:r>
      <w:r>
        <w:rPr>
          <w:sz w:val="20"/>
          <w:szCs w:val="20"/>
          <w:color w:val="auto"/>
        </w:rPr>
        <w:tab/>
      </w:r>
      <w:r>
        <w:rPr>
          <w:rFonts w:ascii="Courier New" w:cs="Courier New" w:eastAsia="Courier New" w:hAnsi="Courier New"/>
          <w:sz w:val="19"/>
          <w:szCs w:val="19"/>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209" w:right="1440" w:bottom="1440" w:gutter="0" w:footer="0" w:header="0"/>
          <w:type w:val="continuous"/>
        </w:sectPr>
      </w:pPr>
    </w:p>
    <w:p>
      <w:pPr>
        <w:spacing w:after="0" w:line="224"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60"/>
        <w:spacing w:after="0" w:line="235" w:lineRule="auto"/>
        <w:rPr>
          <w:sz w:val="20"/>
          <w:szCs w:val="20"/>
          <w:color w:val="auto"/>
        </w:rPr>
      </w:pPr>
      <w:r>
        <w:rPr>
          <w:rFonts w:ascii="Courier New" w:cs="Courier New" w:eastAsia="Courier New" w:hAnsi="Courier New"/>
          <w:sz w:val="19"/>
          <w:szCs w:val="19"/>
          <w:color w:val="auto"/>
        </w:rPr>
        <w:t>BNY MELLON SERVICE KAPITALANLAGE-GESELLSCHAFT mbH</w:t>
      </w:r>
    </w:p>
    <w:p>
      <w:pPr>
        <w:spacing w:after="0" w:line="200" w:lineRule="exact"/>
        <w:rPr>
          <w:sz w:val="20"/>
          <w:szCs w:val="20"/>
          <w:color w:val="auto"/>
        </w:rPr>
      </w:pPr>
    </w:p>
    <w:p>
      <w:pPr>
        <w:sectPr>
          <w:pgSz w:w="12240" w:h="15840" w:orient="portrait"/>
          <w:cols w:equalWidth="0" w:num="2">
            <w:col w:w="3840" w:space="720"/>
            <w:col w:w="6120"/>
          </w:cols>
          <w:pgMar w:left="120" w:top="209"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 /S/ KATARINA MELVAN</w:t>
      </w:r>
    </w:p>
    <w:p>
      <w:pPr>
        <w:ind w:left="440"/>
        <w:spacing w:after="0" w:line="238" w:lineRule="auto"/>
        <w:rPr>
          <w:sz w:val="20"/>
          <w:szCs w:val="20"/>
          <w:color w:val="auto"/>
        </w:rPr>
      </w:pPr>
      <w:r>
        <w:rPr>
          <w:rFonts w:ascii="Courier New" w:cs="Courier New" w:eastAsia="Courier New" w:hAnsi="Courier New"/>
          <w:sz w:val="19"/>
          <w:szCs w:val="19"/>
          <w:color w:val="auto"/>
        </w:rPr>
        <w:t>----------------------</w:t>
      </w:r>
    </w:p>
    <w:p>
      <w:pPr>
        <w:ind w:left="440"/>
        <w:spacing w:after="0"/>
        <w:rPr>
          <w:sz w:val="20"/>
          <w:szCs w:val="20"/>
          <w:color w:val="auto"/>
        </w:rPr>
      </w:pPr>
      <w:r>
        <w:rPr>
          <w:rFonts w:ascii="Courier New" w:cs="Courier New" w:eastAsia="Courier New" w:hAnsi="Courier New"/>
          <w:sz w:val="19"/>
          <w:szCs w:val="19"/>
          <w:color w:val="auto"/>
        </w:rPr>
        <w:t>Katarina Melvan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Managing Director(Chairman)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 August 19,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9"/>
          <w:szCs w:val="19"/>
          <w:color w:val="auto"/>
        </w:rPr>
        <w:t>By: /S/ CAROLINE SPECHT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Caroline Specht</w:t>
      </w:r>
    </w:p>
    <w:p>
      <w:pPr>
        <w:ind w:left="440"/>
        <w:spacing w:after="0" w:line="238" w:lineRule="auto"/>
        <w:rPr>
          <w:sz w:val="20"/>
          <w:szCs w:val="20"/>
          <w:color w:val="auto"/>
        </w:rPr>
      </w:pPr>
      <w:r>
        <w:rPr>
          <w:rFonts w:ascii="Courier New" w:cs="Courier New" w:eastAsia="Courier New" w:hAnsi="Courier New"/>
          <w:sz w:val="19"/>
          <w:szCs w:val="19"/>
          <w:color w:val="auto"/>
        </w:rPr>
        <w:t>Managing Director</w:t>
      </w:r>
    </w:p>
    <w:p>
      <w:pPr>
        <w:spacing w:after="0"/>
        <w:rPr>
          <w:sz w:val="20"/>
          <w:szCs w:val="20"/>
          <w:color w:val="auto"/>
        </w:rPr>
      </w:pPr>
      <w:r>
        <w:rPr>
          <w:rFonts w:ascii="Courier New" w:cs="Courier New" w:eastAsia="Courier New" w:hAnsi="Courier New"/>
          <w:sz w:val="19"/>
          <w:szCs w:val="19"/>
          <w:color w:val="auto"/>
        </w:rPr>
        <w:t>Date: August 19, 2016</w:t>
      </w:r>
    </w:p>
    <w:sectPr>
      <w:pgSz w:w="12240" w:h="15840" w:orient="portrait"/>
      <w:cols w:equalWidth="0" w:num="2">
        <w:col w:w="3840" w:space="720"/>
        <w:col w:w="6120"/>
      </w:cols>
      <w:pgMar w:left="120" w:top="2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lvl w:ilvl="1">
      <w:lvlJc w:val="left"/>
      <w:lvlText w:val="(%2)"/>
      <w:numFmt w:val="lowerLetter"/>
      <w:start w:val="1"/>
    </w:lvl>
  </w:abstractNum>
  <w:abstractNum w:abstractNumId="3">
    <w:nsid w:val="333AB105"/>
    <w:multiLevelType w:val="hybridMultilevel"/>
    <w:lvl w:ilvl="0">
      <w:lvlJc w:val="left"/>
      <w:lvlText w:val="(%1)"/>
      <w:numFmt w:val="decimal"/>
      <w:start w:val="9"/>
    </w:lvl>
  </w:abstractNum>
  <w:abstractNum w:abstractNumId="4">
    <w:nsid w:val="721DA317"/>
    <w:multiLevelType w:val="hybridMultilevel"/>
    <w:lvl w:ilvl="0">
      <w:lvlJc w:val="left"/>
      <w:lvlText w:val="(%1)"/>
      <w:numFmt w:val="decimal"/>
      <w:start w:val="2"/>
    </w:lvl>
    <w:lvl w:ilvl="1">
      <w:lvlJc w:val="left"/>
      <w:lvlText w:val="(%2)"/>
      <w:numFmt w:val="lowerLetter"/>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9"/>
    </w:lvl>
  </w:abstractNum>
  <w:abstractNum w:abstractNumId="7">
    <w:nsid w:val="6763845E"/>
    <w:multiLevelType w:val="hybridMultilevel"/>
    <w:lvl w:ilvl="0">
      <w:lvlJc w:val="left"/>
      <w:lvlText w:val="(%1)"/>
      <w:numFmt w:val="decimal"/>
      <w:start w:val="2"/>
    </w:lvl>
    <w:lvl w:ilvl="1">
      <w:lvlJc w:val="left"/>
      <w:lvlText w:val="(%2)"/>
      <w:numFmt w:val="lowerLetter"/>
      <w:start w:val="1"/>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1)"/>
      <w:numFmt w:val="decimal"/>
      <w:start w:val="2"/>
    </w:lvl>
    <w:lvl w:ilvl="1">
      <w:lvlJc w:val="left"/>
      <w:lvlText w:val="(%2)"/>
      <w:numFmt w:val="lowerLetter"/>
      <w:start w:val="1"/>
    </w:lvl>
  </w:abstractNum>
  <w:abstractNum w:abstractNumId="10">
    <w:nsid w:val="79838CB2"/>
    <w:multiLevelType w:val="hybridMultilevel"/>
    <w:lvl w:ilvl="0">
      <w:lvlJc w:val="left"/>
      <w:lvlText w:val="(%1)"/>
      <w:numFmt w:val="decimal"/>
      <w:start w:val="9"/>
    </w:lvl>
  </w:abstractNum>
  <w:abstractNum w:abstractNumId="11">
    <w:nsid w:val="4353D0CD"/>
    <w:multiLevelType w:val="hybridMultilevel"/>
    <w:lvl w:ilvl="0">
      <w:lvlJc w:val="left"/>
      <w:lvlText w:val="(%1)"/>
      <w:numFmt w:val="upperLetter"/>
      <w:start w:val="1"/>
    </w:lvl>
  </w:abstractNum>
  <w:abstractNum w:abstractNumId="12">
    <w:nsid w:val="B03E0C6"/>
    <w:multiLevelType w:val="hybridMultilevel"/>
    <w:lvl w:ilvl="0">
      <w:lvlJc w:val="left"/>
      <w:lvlText w:val="(%1)"/>
      <w:numFmt w:val="upperLetter"/>
      <w:start w:val="24"/>
    </w:lvl>
  </w:abstractNum>
  <w:abstractNum w:abstractNumId="13">
    <w:nsid w:val="189A769B"/>
    <w:multiLevelType w:val="hybridMultilevel"/>
    <w:lvl w:ilvl="0">
      <w:lvlJc w:val="left"/>
      <w:lvlText w:val="(%1)"/>
      <w:numFmt w:val="upperLetter"/>
      <w:start w:val="24"/>
    </w:lvl>
  </w:abstractNum>
  <w:abstractNum w:abstractNumId="14">
    <w:nsid w:val="54E49EB4"/>
    <w:multiLevelType w:val="hybridMultilevel"/>
    <w:lvl w:ilvl="0">
      <w:lvlJc w:val="left"/>
      <w:lvlText w:val="(%1)"/>
      <w:numFmt w:val="upperLetter"/>
      <w:start w:val="24"/>
    </w:lvl>
  </w:abstractNum>
  <w:abstractNum w:abstractNumId="15">
    <w:nsid w:val="71F32454"/>
    <w:multiLevelType w:val="hybridMultilevel"/>
    <w:lvl w:ilvl="0">
      <w:lvlJc w:val="left"/>
      <w:lvlText w:val="(%1)"/>
      <w:numFmt w:val="upperLetter"/>
      <w:start w:val="1"/>
    </w:lvl>
    <w:lvl w:ilvl="1">
      <w:lvlJc w:val="left"/>
      <w:lvlText w:val="("/>
      <w:numFmt w:val="bullet"/>
      <w:start w:val="1"/>
    </w:lvl>
  </w:abstractNum>
  <w:abstractNum w:abstractNumId="16">
    <w:nsid w:val="2CA88611"/>
    <w:multiLevelType w:val="hybridMultilevel"/>
    <w:lvl w:ilvl="0">
      <w:lvlJc w:val="left"/>
      <w:lvlText w:val="(%1)"/>
      <w:numFmt w:val="upperLetter"/>
      <w:start w:val="24"/>
    </w:lvl>
  </w:abstractNum>
  <w:abstractNum w:abstractNumId="17">
    <w:nsid w:val="836C40E"/>
    <w:multiLevelType w:val="hybridMultilevel"/>
    <w:lvl w:ilvl="0">
      <w:lvlJc w:val="left"/>
      <w:lvlText w:val="(%1)"/>
      <w:numFmt w:val="upperLetter"/>
      <w:start w:val="24"/>
    </w:lvl>
  </w:abstractNum>
  <w:abstractNum w:abstractNumId="18">
    <w:nsid w:val="2901D82"/>
    <w:multiLevelType w:val="hybridMultilevel"/>
    <w:lvl w:ilvl="0">
      <w:lvlJc w:val="left"/>
      <w:lvlText w:val="(%1)"/>
      <w:numFmt w:val="upperLetter"/>
      <w:start w:val="2"/>
    </w:lvl>
    <w:lvl w:ilvl="1">
      <w:lvlJc w:val="left"/>
      <w:lvlText w:val="("/>
      <w:numFmt w:val="bullet"/>
      <w:start w:val="1"/>
    </w:lvl>
  </w:abstractNum>
  <w:abstractNum w:abstractNumId="19">
    <w:nsid w:val="3A95F874"/>
    <w:multiLevelType w:val="hybridMultilevel"/>
    <w:lvl w:ilvl="0">
      <w:lvlJc w:val="left"/>
      <w:lvlText w:val="(%1)"/>
      <w:numFmt w:val="upperLetter"/>
      <w:start w:val="24"/>
    </w:lvl>
  </w:abstractNum>
  <w:abstractNum w:abstractNumId="20">
    <w:nsid w:val="8138641"/>
    <w:multiLevelType w:val="hybridMultilevel"/>
    <w:lvl w:ilvl="0">
      <w:lvlJc w:val="left"/>
      <w:lvlText w:val="(%1)"/>
      <w:numFmt w:val="upperLetter"/>
      <w:start w:val="24"/>
    </w:lvl>
  </w:abstractNum>
  <w:abstractNum w:abstractNumId="21">
    <w:nsid w:val="1E7FF521"/>
    <w:multiLevelType w:val="hybridMultilevel"/>
    <w:lvl w:ilvl="0">
      <w:lvlJc w:val="left"/>
      <w:lvlText w:val="(%1)"/>
      <w:numFmt w:val="upperLetter"/>
      <w:start w:val="24"/>
    </w:lvl>
  </w:abstractNum>
  <w:abstractNum w:abstractNumId="22">
    <w:nsid w:val="7C3DBD3D"/>
    <w:multiLevelType w:val="hybridMultilevel"/>
    <w:lvl w:ilvl="0">
      <w:lvlJc w:val="left"/>
      <w:lvlText w:val="(%1)"/>
      <w:numFmt w:val="upperLetter"/>
      <w:start w:val="24"/>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upperLetter"/>
      <w:start w:val="24"/>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2019-12-15T18:28:31Z</dcterms:created>
  <dcterms:modified xsi:type="dcterms:W3CDTF">2019-12-15T18:28:31Z</dcterms:modified>
</cp:coreProperties>
</file>