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2886d1_8k.htm"/>
      <w:bookmarkStart w:id="1" w:name="kstm2312886d1_8k"/>
      <w:bookmarkEnd w:id="0"/>
      <w:bookmarkEnd w:id="1"/>
      <w:r>
        <w:rPr/>
        <w:t> </w:t>
      </w:r>
    </w:p>
    <w:p>
      <w:pPr>
        <w:pStyle w:val="TextBody"/>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C_edei--DocumentType_c20230412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April 12,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3"/>
      <w:bookmarkEnd w:id="4"/>
      <w:r>
        <w:rPr>
          <w:rFonts w:ascii="Times New Roman;Times;Serif" w:hAnsi="Times New Roman;Times;Serif"/>
          <w:b/>
          <w:i w:val="false"/>
          <w:caps w:val="false"/>
          <w:smallCaps w:val="false"/>
          <w:sz w:val="36"/>
        </w:rPr>
        <w:t>Clearway Energy,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845" w:type="dxa"/>
        <w:jc w:val="left"/>
        <w:tblInd w:w="0" w:type="dxa"/>
        <w:tblCellMar>
          <w:top w:w="0" w:type="dxa"/>
          <w:left w:w="0" w:type="dxa"/>
          <w:bottom w:w="0" w:type="dxa"/>
          <w:right w:w="0" w:type="dxa"/>
        </w:tblCellMar>
      </w:tblPr>
      <w:tblGrid>
        <w:gridCol w:w="2735"/>
        <w:gridCol w:w="60"/>
        <w:gridCol w:w="2210"/>
        <w:gridCol w:w="60"/>
        <w:gridCol w:w="2780"/>
      </w:tblGrid>
      <w:tr>
        <w:trPr/>
        <w:tc>
          <w:tcPr>
            <w:tcW w:w="2735" w:type="dxa"/>
            <w:tcBorders/>
            <w:shd w:fill="auto" w:val="clear"/>
            <w:vAlign w:val="center"/>
          </w:tcPr>
          <w:p>
            <w:pPr>
              <w:pStyle w:val="TableContents"/>
              <w:spacing w:before="0" w:after="283"/>
              <w:jc w:val="center"/>
              <w:rPr>
                <w:b/>
                <w:sz w:val="20"/>
              </w:rPr>
            </w:pPr>
            <w:bookmarkStart w:id="5" w:name="xdx_90A_edei--EntityIncorporationStateCo"/>
            <w:bookmarkEnd w:id="5"/>
            <w:r>
              <w:rPr>
                <w:b/>
                <w:sz w:val="20"/>
              </w:rPr>
              <w:t>Delaware</w:t>
            </w:r>
          </w:p>
        </w:tc>
        <w:tc>
          <w:tcPr>
            <w:tcW w:w="60" w:type="dxa"/>
            <w:tcBorders/>
            <w:shd w:fill="auto" w:val="clear"/>
            <w:vAlign w:val="center"/>
          </w:tcPr>
          <w:p>
            <w:pPr>
              <w:pStyle w:val="TableContents"/>
              <w:spacing w:before="0" w:after="283"/>
              <w:jc w:val="center"/>
              <w:rPr/>
            </w:pPr>
            <w:r>
              <w:rPr/>
              <w:t> </w:t>
            </w:r>
          </w:p>
        </w:tc>
        <w:tc>
          <w:tcPr>
            <w:tcW w:w="2210" w:type="dxa"/>
            <w:tcBorders/>
            <w:shd w:fill="auto" w:val="clear"/>
            <w:vAlign w:val="center"/>
          </w:tcPr>
          <w:p>
            <w:pPr>
              <w:pStyle w:val="TableContents"/>
              <w:spacing w:before="0" w:after="283"/>
              <w:jc w:val="center"/>
              <w:rPr>
                <w:b/>
                <w:sz w:val="20"/>
              </w:rPr>
            </w:pPr>
            <w:bookmarkStart w:id="6" w:name="xdx_909_edei--EntityFileNumber_c20230412"/>
            <w:bookmarkEnd w:id="6"/>
            <w:r>
              <w:rPr>
                <w:b/>
                <w:sz w:val="20"/>
              </w:rPr>
              <w:t>001-36002</w:t>
            </w:r>
          </w:p>
        </w:tc>
        <w:tc>
          <w:tcPr>
            <w:tcW w:w="60" w:type="dxa"/>
            <w:tcBorders/>
            <w:shd w:fill="auto" w:val="clear"/>
            <w:vAlign w:val="center"/>
          </w:tcPr>
          <w:p>
            <w:pPr>
              <w:pStyle w:val="TableContents"/>
              <w:spacing w:before="0" w:after="283"/>
              <w:jc w:val="center"/>
              <w:rPr/>
            </w:pPr>
            <w:r>
              <w:rPr/>
              <w:t> </w:t>
            </w:r>
          </w:p>
        </w:tc>
        <w:tc>
          <w:tcPr>
            <w:tcW w:w="2780" w:type="dxa"/>
            <w:tcBorders/>
            <w:shd w:fill="auto" w:val="clear"/>
            <w:vAlign w:val="center"/>
          </w:tcPr>
          <w:p>
            <w:pPr>
              <w:pStyle w:val="TableContents"/>
              <w:spacing w:before="0" w:after="283"/>
              <w:jc w:val="center"/>
              <w:rPr>
                <w:b/>
                <w:sz w:val="20"/>
              </w:rPr>
            </w:pPr>
            <w:bookmarkStart w:id="7" w:name="xdx_906_edei--EntityTaxIdentificationNum"/>
            <w:bookmarkEnd w:id="7"/>
            <w:r>
              <w:rPr>
                <w:b/>
                <w:sz w:val="20"/>
              </w:rPr>
              <w:t>46-1777204</w:t>
            </w:r>
          </w:p>
        </w:tc>
      </w:tr>
      <w:tr>
        <w:trPr/>
        <w:tc>
          <w:tcPr>
            <w:tcW w:w="2735" w:type="dxa"/>
            <w:tcBorders/>
            <w:shd w:fill="auto" w:val="clear"/>
            <w:vAlign w:val="center"/>
          </w:tcPr>
          <w:p>
            <w:pPr>
              <w:pStyle w:val="TableContents"/>
              <w:spacing w:before="0" w:after="283"/>
              <w:jc w:val="center"/>
              <w:rPr/>
            </w:pPr>
            <w:r>
              <w:rPr/>
              <w:t>(State or other jurisdiction of</w:t>
              <w:br/>
              <w:t>incorporation)</w:t>
            </w:r>
          </w:p>
        </w:tc>
        <w:tc>
          <w:tcPr>
            <w:tcW w:w="60" w:type="dxa"/>
            <w:tcBorders/>
            <w:shd w:fill="auto" w:val="clear"/>
            <w:vAlign w:val="center"/>
          </w:tcPr>
          <w:p>
            <w:pPr>
              <w:pStyle w:val="TableContents"/>
              <w:spacing w:before="0" w:after="283"/>
              <w:jc w:val="center"/>
              <w:rPr/>
            </w:pPr>
            <w:r>
              <w:rPr/>
              <w:t> </w:t>
            </w:r>
          </w:p>
        </w:tc>
        <w:tc>
          <w:tcPr>
            <w:tcW w:w="2210" w:type="dxa"/>
            <w:tcBorders/>
            <w:shd w:fill="auto" w:val="clear"/>
            <w:vAlign w:val="center"/>
          </w:tcPr>
          <w:p>
            <w:pPr>
              <w:pStyle w:val="TableContents"/>
              <w:spacing w:before="0" w:after="283"/>
              <w:jc w:val="center"/>
              <w:rPr>
                <w:sz w:val="20"/>
              </w:rPr>
            </w:pPr>
            <w:r>
              <w:rPr>
                <w:sz w:val="20"/>
              </w:rPr>
              <w:t>(Commission File Number)</w:t>
            </w:r>
          </w:p>
        </w:tc>
        <w:tc>
          <w:tcPr>
            <w:tcW w:w="60" w:type="dxa"/>
            <w:tcBorders/>
            <w:shd w:fill="auto" w:val="clear"/>
            <w:vAlign w:val="center"/>
          </w:tcPr>
          <w:p>
            <w:pPr>
              <w:pStyle w:val="TableContents"/>
              <w:spacing w:before="0" w:after="283"/>
              <w:jc w:val="center"/>
              <w:rPr/>
            </w:pPr>
            <w:r>
              <w:rPr/>
              <w:t> </w:t>
            </w:r>
          </w:p>
        </w:tc>
        <w:tc>
          <w:tcPr>
            <w:tcW w:w="2780" w:type="dxa"/>
            <w:tcBorders/>
            <w:shd w:fill="auto" w:val="clear"/>
            <w:vAlign w:val="center"/>
          </w:tcPr>
          <w:p>
            <w:pPr>
              <w:pStyle w:val="TableContents"/>
              <w:spacing w:before="0" w:after="283"/>
              <w:jc w:val="center"/>
              <w:rPr>
                <w:sz w:val="20"/>
              </w:rPr>
            </w:pPr>
            <w:r>
              <w:rPr>
                <w:sz w:val="2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300 Carnegie Center, </w:t>
      </w:r>
      <w:bookmarkStart w:id="9" w:name="xdx_90F_edei--EntityAddressAddressLine2_"/>
      <w:bookmarkEnd w:id="9"/>
      <w:r>
        <w:rPr>
          <w:rFonts w:ascii="Times New Roman;Times;Serif" w:hAnsi="Times New Roman;Times;Serif"/>
          <w:b/>
          <w:i w:val="false"/>
          <w:caps w:val="false"/>
          <w:smallCaps w:val="false"/>
          <w:sz w:val="20"/>
        </w:rPr>
        <w:t xml:space="preserve">Suite 300, </w:t>
      </w:r>
      <w:bookmarkStart w:id="10" w:name="xdx_90B_edei--EntityAddressCityOrTown_c2"/>
      <w:bookmarkEnd w:id="10"/>
      <w:r>
        <w:rPr>
          <w:rFonts w:ascii="Times New Roman;Times;Serif" w:hAnsi="Times New Roman;Times;Serif"/>
          <w:b/>
          <w:i w:val="false"/>
          <w:caps w:val="false"/>
          <w:smallCaps w:val="false"/>
          <w:sz w:val="20"/>
        </w:rPr>
        <w:t xml:space="preserve">Princeton, </w:t>
      </w:r>
      <w:bookmarkStart w:id="11" w:name="xdx_902_edei--EntityAddressStateOrProvin"/>
      <w:bookmarkEnd w:id="11"/>
      <w:r>
        <w:rPr>
          <w:rFonts w:ascii="Times New Roman;Times;Serif" w:hAnsi="Times New Roman;Times;Serif"/>
          <w:b/>
          <w:i w:val="false"/>
          <w:caps w:val="false"/>
          <w:smallCaps w:val="false"/>
          <w:sz w:val="20"/>
        </w:rPr>
        <w:t xml:space="preserve">New Jersey </w:t>
      </w:r>
      <w:bookmarkStart w:id="12" w:name="xdx_90A_edei--EntityAddressPostalZipCode"/>
      <w:bookmarkEnd w:id="12"/>
      <w:r>
        <w:rPr>
          <w:rFonts w:ascii="Times New Roman;Times;Serif" w:hAnsi="Times New Roman;Times;Serif"/>
          <w:b/>
          <w:i w:val="false"/>
          <w:caps w:val="false"/>
          <w:smallCaps w:val="false"/>
          <w:sz w:val="20"/>
        </w:rPr>
        <w:t>08540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30412__20"/>
      <w:bookmarkEnd w:id="13"/>
      <w:r>
        <w:rPr>
          <w:rFonts w:ascii="Times New Roman;Times;Serif" w:hAnsi="Times New Roman;Times;Serif"/>
          <w:b/>
          <w:i w:val="false"/>
          <w:caps w:val="false"/>
          <w:smallCaps w:val="false"/>
          <w:sz w:val="20"/>
        </w:rPr>
        <w:t xml:space="preserve">609) </w:t>
      </w:r>
      <w:bookmarkStart w:id="14" w:name="xdx_908_edei--LocalPhoneNumber_c20230412"/>
      <w:bookmarkEnd w:id="14"/>
      <w:r>
        <w:rPr>
          <w:rFonts w:ascii="Times New Roman;Times;Serif" w:hAnsi="Times New Roman;Times;Serif"/>
          <w:b/>
          <w:i w:val="false"/>
          <w:caps w:val="false"/>
          <w:smallCaps w:val="false"/>
          <w:sz w:val="20"/>
        </w:rPr>
        <w:t>608-1525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7600" w:type="dxa"/>
        <w:jc w:val="left"/>
        <w:tblInd w:w="0" w:type="dxa"/>
        <w:tblCellMar>
          <w:top w:w="0" w:type="dxa"/>
          <w:left w:w="0" w:type="dxa"/>
          <w:bottom w:w="0" w:type="dxa"/>
          <w:right w:w="0" w:type="dxa"/>
        </w:tblCellMar>
      </w:tblPr>
      <w:tblGrid>
        <w:gridCol w:w="75"/>
        <w:gridCol w:w="230"/>
        <w:gridCol w:w="729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5" w:name="xdx_90D_edei--WrittenCommunications_c202"/>
            <w:bookmarkEnd w:id="15"/>
            <w:r>
              <w:rPr>
                <w:caps w:val="false"/>
                <w:smallCaps w:val="false"/>
              </w:rPr>
              <w:t>☐</w:t>
            </w:r>
          </w:p>
        </w:tc>
        <w:tc>
          <w:tcPr>
            <w:tcW w:w="7295" w:type="dxa"/>
            <w:tcBorders/>
            <w:shd w:fill="auto" w:val="clear"/>
            <w:vAlign w:val="center"/>
          </w:tcPr>
          <w:p>
            <w:pPr>
              <w:pStyle w:val="TableContents"/>
              <w:spacing w:before="0" w:after="283"/>
              <w:jc w:val="both"/>
              <w:rPr>
                <w:sz w:val="20"/>
              </w:rPr>
            </w:pPr>
            <w:r>
              <w:rPr>
                <w:sz w:val="20"/>
              </w:rPr>
              <w:t>Written communications pursuant to Rule 425 under the Securities Act (17 CFR 230.425)</w:t>
            </w:r>
          </w:p>
        </w:tc>
      </w:tr>
    </w:tbl>
    <w:p>
      <w:pPr>
        <w:pStyle w:val="TextBody"/>
        <w:spacing w:before="0" w:after="0"/>
        <w:ind w:left="0" w:right="0" w:hanging="0"/>
        <w:rPr>
          <w:caps w:val="false"/>
          <w:smallCaps w:val="false"/>
        </w:rPr>
      </w:pPr>
      <w:r>
        <w:rPr>
          <w:caps w:val="false"/>
          <w:smallCaps w:val="false"/>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6" w:name="xdx_906_edei--SolicitingMaterial_c202304"/>
            <w:bookmarkEnd w:id="16"/>
            <w:r>
              <w:rPr>
                <w:caps w:val="false"/>
                <w:smallCaps w:val="false"/>
              </w:rPr>
              <w:t>☐</w:t>
            </w:r>
          </w:p>
        </w:tc>
        <w:tc>
          <w:tcPr>
            <w:tcW w:w="7325" w:type="dxa"/>
            <w:tcBorders/>
            <w:shd w:fill="auto" w:val="clear"/>
            <w:vAlign w:val="center"/>
          </w:tcPr>
          <w:p>
            <w:pPr>
              <w:pStyle w:val="TableContents"/>
              <w:spacing w:before="0" w:after="283"/>
              <w:jc w:val="both"/>
              <w:rPr>
                <w:sz w:val="20"/>
              </w:rPr>
            </w:pPr>
            <w:r>
              <w:rPr>
                <w:sz w:val="20"/>
              </w:rPr>
              <w:t>Soliciting material pursuant to Rule 14a-12 under the Exchange Act (17 CFR 240.14a-12)</w:t>
            </w:r>
          </w:p>
        </w:tc>
      </w:tr>
    </w:tbl>
    <w:p>
      <w:pPr>
        <w:pStyle w:val="TextBody"/>
        <w:spacing w:before="0" w:after="0"/>
        <w:ind w:left="0" w:right="0" w:hanging="0"/>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7" w:name="xdx_902_edei--PreCommencementTenderOffer"/>
            <w:bookmarkEnd w:id="17"/>
            <w:r>
              <w:rPr>
                <w:caps w:val="false"/>
                <w:smallCaps w:val="false"/>
              </w:rPr>
              <w:t>☐</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14d-2(b) under the Exchange Act (17 CFR 240.14d-2(b))</w:t>
            </w:r>
          </w:p>
        </w:tc>
      </w:tr>
    </w:tbl>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8" w:name="xdx_907_edei--PreCommencementIssuerTende"/>
            <w:bookmarkEnd w:id="18"/>
            <w:r>
              <w:rPr>
                <w:caps w:val="false"/>
                <w:smallCaps w:val="false"/>
              </w:rPr>
              <w:t>☐</w:t>
            </w:r>
          </w:p>
        </w:tc>
        <w:tc>
          <w:tcPr>
            <w:tcW w:w="9005" w:type="dxa"/>
            <w:tcBorders/>
            <w:shd w:fill="auto" w:val="clear"/>
            <w:vAlign w:val="center"/>
          </w:tcPr>
          <w:p>
            <w:pPr>
              <w:pStyle w:val="TableContents"/>
              <w:spacing w:before="0" w:after="283"/>
              <w:jc w:val="both"/>
              <w:rPr>
                <w:sz w:val="20"/>
              </w:rPr>
            </w:pPr>
            <w:r>
              <w:rPr>
                <w:sz w:val="20"/>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625" w:type="dxa"/>
        <w:jc w:val="left"/>
        <w:tblInd w:w="0" w:type="dxa"/>
        <w:tblCellMar>
          <w:top w:w="0" w:type="dxa"/>
          <w:left w:w="0" w:type="dxa"/>
          <w:bottom w:w="28" w:type="dxa"/>
          <w:right w:w="0" w:type="dxa"/>
        </w:tblCellMar>
      </w:tblPr>
      <w:tblGrid>
        <w:gridCol w:w="3305"/>
        <w:gridCol w:w="1610"/>
        <w:gridCol w:w="3710"/>
      </w:tblGrid>
      <w:tr>
        <w:trPr/>
        <w:tc>
          <w:tcPr>
            <w:tcW w:w="3305"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1610" w:type="dxa"/>
            <w:tcBorders>
              <w:bottom w:val="single" w:sz="8" w:space="0" w:color="000000"/>
            </w:tcBorders>
            <w:shd w:fill="auto" w:val="clear"/>
            <w:vAlign w:val="center"/>
          </w:tcPr>
          <w:p>
            <w:pPr>
              <w:pStyle w:val="TableContents"/>
              <w:spacing w:before="0" w:after="283"/>
              <w:jc w:val="center"/>
              <w:rPr>
                <w:b/>
                <w:sz w:val="20"/>
              </w:rPr>
            </w:pPr>
            <w:r>
              <w:rPr>
                <w:b/>
                <w:sz w:val="20"/>
              </w:rPr>
              <w:t>Trading Symbol(s)</w:t>
            </w:r>
          </w:p>
        </w:tc>
        <w:tc>
          <w:tcPr>
            <w:tcW w:w="3710"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3305" w:type="dxa"/>
            <w:tcBorders/>
            <w:shd w:fill="auto" w:val="clear"/>
            <w:tcMar>
              <w:bottom w:w="0" w:type="dxa"/>
            </w:tcMar>
            <w:vAlign w:val="center"/>
          </w:tcPr>
          <w:p>
            <w:pPr>
              <w:pStyle w:val="TableContents"/>
              <w:spacing w:before="0" w:after="283"/>
              <w:jc w:val="center"/>
              <w:rPr>
                <w:sz w:val="20"/>
              </w:rPr>
            </w:pPr>
            <w:bookmarkStart w:id="19" w:name="xdx_905_edei--Security12bTitle_c20230412"/>
            <w:bookmarkEnd w:id="19"/>
            <w:r>
              <w:rPr>
                <w:sz w:val="20"/>
              </w:rPr>
              <w:t>Class A Common Stock, par value $0.01</w:t>
            </w:r>
          </w:p>
        </w:tc>
        <w:tc>
          <w:tcPr>
            <w:tcW w:w="1610" w:type="dxa"/>
            <w:tcBorders/>
            <w:shd w:fill="auto" w:val="clear"/>
            <w:tcMar>
              <w:bottom w:w="0" w:type="dxa"/>
            </w:tcMar>
            <w:vAlign w:val="center"/>
          </w:tcPr>
          <w:p>
            <w:pPr>
              <w:pStyle w:val="TableContents"/>
              <w:spacing w:before="0" w:after="283"/>
              <w:jc w:val="center"/>
              <w:rPr>
                <w:sz w:val="20"/>
              </w:rPr>
            </w:pPr>
            <w:bookmarkStart w:id="20" w:name="xdx_904_edei--TradingSymbol_c20230412__2"/>
            <w:bookmarkEnd w:id="20"/>
            <w:r>
              <w:rPr>
                <w:sz w:val="20"/>
              </w:rPr>
              <w:t>CWEN.A</w:t>
            </w:r>
          </w:p>
        </w:tc>
        <w:tc>
          <w:tcPr>
            <w:tcW w:w="3710" w:type="dxa"/>
            <w:tcBorders/>
            <w:shd w:fill="auto" w:val="clear"/>
            <w:tcMar>
              <w:bottom w:w="0" w:type="dxa"/>
            </w:tcMar>
            <w:vAlign w:val="center"/>
          </w:tcPr>
          <w:p>
            <w:pPr>
              <w:pStyle w:val="TableContents"/>
              <w:spacing w:before="0" w:after="283"/>
              <w:jc w:val="center"/>
              <w:rPr>
                <w:sz w:val="20"/>
              </w:rPr>
            </w:pPr>
            <w:bookmarkStart w:id="21" w:name="xdx_90F_edei--SecurityExchangeName_c2023"/>
            <w:bookmarkEnd w:id="21"/>
            <w:r>
              <w:rPr>
                <w:sz w:val="20"/>
              </w:rPr>
              <w:t>New York Stock Exchange</w:t>
            </w:r>
          </w:p>
        </w:tc>
      </w:tr>
      <w:tr>
        <w:trPr/>
        <w:tc>
          <w:tcPr>
            <w:tcW w:w="3305" w:type="dxa"/>
            <w:tcBorders/>
            <w:shd w:fill="auto" w:val="clear"/>
            <w:tcMar>
              <w:bottom w:w="0" w:type="dxa"/>
            </w:tcMar>
            <w:vAlign w:val="center"/>
          </w:tcPr>
          <w:p>
            <w:pPr>
              <w:pStyle w:val="TableContents"/>
              <w:spacing w:before="0" w:after="283"/>
              <w:jc w:val="center"/>
              <w:rPr>
                <w:sz w:val="20"/>
              </w:rPr>
            </w:pPr>
            <w:bookmarkStart w:id="22" w:name="xdx_902_edei--Security12bTitle_c20230412"/>
            <w:bookmarkEnd w:id="22"/>
            <w:r>
              <w:rPr>
                <w:sz w:val="20"/>
              </w:rPr>
              <w:t>Class C Common Stock, par value $0.01</w:t>
            </w:r>
          </w:p>
        </w:tc>
        <w:tc>
          <w:tcPr>
            <w:tcW w:w="1610" w:type="dxa"/>
            <w:tcBorders/>
            <w:shd w:fill="auto" w:val="clear"/>
            <w:tcMar>
              <w:bottom w:w="0" w:type="dxa"/>
            </w:tcMar>
            <w:vAlign w:val="center"/>
          </w:tcPr>
          <w:p>
            <w:pPr>
              <w:pStyle w:val="TableContents"/>
              <w:spacing w:before="0" w:after="283"/>
              <w:jc w:val="center"/>
              <w:rPr>
                <w:sz w:val="20"/>
              </w:rPr>
            </w:pPr>
            <w:bookmarkStart w:id="23" w:name="xdx_901_edei--TradingSymbol_c20230412__2"/>
            <w:bookmarkEnd w:id="23"/>
            <w:r>
              <w:rPr>
                <w:sz w:val="20"/>
              </w:rPr>
              <w:t>CWEN</w:t>
            </w:r>
          </w:p>
        </w:tc>
        <w:tc>
          <w:tcPr>
            <w:tcW w:w="3710" w:type="dxa"/>
            <w:tcBorders/>
            <w:shd w:fill="auto" w:val="clear"/>
            <w:tcMar>
              <w:bottom w:w="0" w:type="dxa"/>
            </w:tcMar>
            <w:vAlign w:val="center"/>
          </w:tcPr>
          <w:p>
            <w:pPr>
              <w:pStyle w:val="TableContents"/>
              <w:spacing w:before="0" w:after="283"/>
              <w:jc w:val="center"/>
              <w:rPr>
                <w:sz w:val="20"/>
              </w:rPr>
            </w:pPr>
            <w:bookmarkStart w:id="24" w:name="xdx_908_edei--SecurityExchangeName_c2023"/>
            <w:bookmarkEnd w:id="24"/>
            <w:r>
              <w:rPr>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0_edei--EntityEmergingGrowthCompan"/>
      <w:bookmarkEnd w:id="25"/>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762"/>
        <w:gridCol w:w="9405"/>
      </w:tblGrid>
      <w:tr>
        <w:trPr/>
        <w:tc>
          <w:tcPr>
            <w:tcW w:w="3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b/>
              </w:rPr>
            </w:pPr>
            <w:r>
              <w:rPr>
                <w:b/>
              </w:rPr>
              <w:t>Item 5.02</w:t>
            </w:r>
          </w:p>
        </w:tc>
        <w:tc>
          <w:tcPr>
            <w:tcW w:w="9405" w:type="dxa"/>
            <w:tcBorders/>
            <w:shd w:fill="auto" w:val="clear"/>
            <w:vAlign w:val="center"/>
          </w:tcPr>
          <w:p>
            <w:pPr>
              <w:pStyle w:val="TableContents"/>
              <w:spacing w:before="0" w:after="283"/>
              <w:rPr>
                <w:b/>
              </w:rPr>
            </w:pPr>
            <w:r>
              <w:rPr>
                <w:b/>
              </w:rPr>
              <w:t>Departure of Directors or Certain Officers; Election of Directors; Appointment of Certain Officers; Compensatory Arrangements of Certain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2023, Sarah Rubenstein was appointed as Executive Vice President and Chief Financial Officer of Clearway Energy, Inc. (the “Company”). Ms. Rubenstein previously served as Senior Vice President and Chief Accounting Officer of the Company. In addition to serving as the Company’s principal financial officer, Ms. Rubenstein will continue to serve as the Company’s principal accounting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Rubenstein, age 45, has served as Senior Vice President and Chief Accounting Officer of the Company since January 2022 and previously served as Vice President and Controller from November 2020 through December 2021. Ms. Rubenstein previously served as Assistant Controller of the Company since August 2018,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920" w:type="dxa"/>
        <w:jc w:val="left"/>
        <w:tblInd w:w="0" w:type="dxa"/>
        <w:tblCellMar>
          <w:top w:w="0" w:type="dxa"/>
          <w:left w:w="0" w:type="dxa"/>
          <w:bottom w:w="0" w:type="dxa"/>
          <w:right w:w="0" w:type="dxa"/>
        </w:tblCellMar>
      </w:tblPr>
      <w:tblGrid>
        <w:gridCol w:w="1220"/>
        <w:gridCol w:w="320"/>
        <w:gridCol w:w="3380"/>
      </w:tblGrid>
      <w:tr>
        <w:trPr/>
        <w:tc>
          <w:tcPr>
            <w:tcW w:w="1220" w:type="dxa"/>
            <w:tcBorders/>
            <w:shd w:fill="auto" w:val="clear"/>
            <w:vAlign w:val="center"/>
          </w:tcPr>
          <w:p>
            <w:pPr>
              <w:pStyle w:val="TableContents"/>
              <w:spacing w:before="0" w:after="283"/>
              <w:rPr/>
            </w:pPr>
            <w:r>
              <w:rPr/>
              <w:t> </w:t>
            </w:r>
          </w:p>
        </w:tc>
        <w:tc>
          <w:tcPr>
            <w:tcW w:w="3700"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Clearway Energy, Inc.</w:t>
            </w:r>
          </w:p>
        </w:tc>
      </w:tr>
      <w:tr>
        <w:trPr/>
        <w:tc>
          <w:tcPr>
            <w:tcW w:w="1220" w:type="dxa"/>
            <w:tcBorders/>
            <w:shd w:fill="auto" w:val="clear"/>
            <w:vAlign w:val="center"/>
          </w:tcPr>
          <w:p>
            <w:pPr>
              <w:pStyle w:val="TableContents"/>
              <w:spacing w:before="0" w:after="283"/>
              <w:rPr/>
            </w:pPr>
            <w:r>
              <w:rPr/>
              <w:t> </w:t>
            </w:r>
          </w:p>
        </w:tc>
        <w:tc>
          <w:tcPr>
            <w:tcW w:w="3700" w:type="dxa"/>
            <w:gridSpan w:val="2"/>
            <w:tcBorders/>
            <w:shd w:fill="auto" w:val="clear"/>
            <w:vAlign w:val="center"/>
          </w:tcPr>
          <w:p>
            <w:pPr>
              <w:pStyle w:val="TableContents"/>
              <w:spacing w:before="0" w:after="283"/>
              <w:rPr/>
            </w:pPr>
            <w:r>
              <w:rPr/>
              <w:t> </w:t>
            </w:r>
            <w:r>
              <w:rPr/>
              <w:t>(Registrant)</w:t>
            </w:r>
          </w:p>
        </w:tc>
      </w:tr>
      <w:tr>
        <w:trPr/>
        <w:tc>
          <w:tcPr>
            <w:tcW w:w="1220" w:type="dxa"/>
            <w:tcBorders/>
            <w:shd w:fill="auto" w:val="clear"/>
            <w:vAlign w:val="center"/>
          </w:tcPr>
          <w:p>
            <w:pPr>
              <w:pStyle w:val="TableContents"/>
              <w:spacing w:before="0" w:after="283"/>
              <w:rPr/>
            </w:pPr>
            <w:r>
              <w:rPr/>
              <w:t> </w:t>
            </w:r>
          </w:p>
        </w:tc>
        <w:tc>
          <w:tcPr>
            <w:tcW w:w="3700" w:type="dxa"/>
            <w:gridSpan w:val="2"/>
            <w:tcBorders/>
            <w:shd w:fill="auto"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38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Kevin P. Malcarney</w:t>
            </w:r>
          </w:p>
        </w:tc>
      </w:tr>
      <w:tr>
        <w:trPr/>
        <w:tc>
          <w:tcPr>
            <w:tcW w:w="12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Kevin P. Malcarney </w:t>
            </w:r>
          </w:p>
        </w:tc>
      </w:tr>
      <w:tr>
        <w:trPr/>
        <w:tc>
          <w:tcPr>
            <w:tcW w:w="12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General Counsel and Corporate Secretary</w:t>
            </w:r>
          </w:p>
        </w:tc>
      </w:tr>
      <w:tr>
        <w:trPr/>
        <w:tc>
          <w:tcPr>
            <w:tcW w:w="1220" w:type="dxa"/>
            <w:tcBorders/>
            <w:shd w:fill="auto" w:val="clear"/>
            <w:vAlign w:val="center"/>
          </w:tcPr>
          <w:p>
            <w:pPr>
              <w:pStyle w:val="TableContents"/>
              <w:spacing w:before="0" w:after="283"/>
              <w:rPr/>
            </w:pPr>
            <w:r>
              <w:rPr/>
              <w:t> </w:t>
            </w:r>
          </w:p>
        </w:tc>
        <w:tc>
          <w:tcPr>
            <w:tcW w:w="3700" w:type="dxa"/>
            <w:gridSpan w:val="2"/>
            <w:tcBorders/>
            <w:shd w:fill="auto"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17, 2023</w:t>
            </w:r>
          </w:p>
        </w:tc>
        <w:tc>
          <w:tcPr>
            <w:tcW w:w="3700" w:type="dxa"/>
            <w:gridSpan w:val="2"/>
            <w:tcBorders/>
            <w:shd w:fill="auto" w:val="cle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3 </w:t>
      </w:r>
    </w:p>
    <w:p>
      <w:pPr>
        <w:pStyle w:val="TextBody"/>
        <w:spacing w:before="0" w:after="0"/>
        <w:ind w:left="0" w:right="0" w:hanging="0"/>
        <w:jc w:val="center"/>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562</Words>
  <CharactersWithSpaces>3725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