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207010</wp:posOffset>
            </wp:positionH>
            <wp:positionV relativeFrom="page">
              <wp:posOffset>1032510</wp:posOffset>
            </wp:positionV>
            <wp:extent cx="71348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Pursuant to Section 13 OR 15(d) of The Securities Exchange Act of 1934</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30, 2024</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CLEARWAY ENERGY, INC.</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9" w:lineRule="exact"/>
        <w:rPr>
          <w:sz w:val="24"/>
          <w:szCs w:val="24"/>
          <w:color w:val="auto"/>
        </w:rPr>
      </w:pPr>
    </w:p>
    <w:tbl>
      <w:tblPr>
        <w:tblLayout w:type="fixed"/>
        <w:tblInd w:w="320" w:type="dxa"/>
        <w:tblCellMar>
          <w:top w:w="0" w:type="dxa"/>
          <w:left w:w="0" w:type="dxa"/>
          <w:bottom w:w="0" w:type="dxa"/>
          <w:right w:w="0" w:type="dxa"/>
        </w:tblCellMar>
      </w:tblPr>
      <w:tr>
        <w:trPr>
          <w:trHeight w:val="247"/>
        </w:trPr>
        <w:tc>
          <w:tcPr>
            <w:tcW w:w="3640" w:type="dxa"/>
            <w:vAlign w:val="bottom"/>
          </w:tcPr>
          <w:p>
            <w:pPr>
              <w:jc w:val="center"/>
              <w:ind w:right="31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212"/>
              <w:spacing w:after="0"/>
              <w:rPr>
                <w:sz w:val="20"/>
                <w:szCs w:val="20"/>
                <w:color w:val="auto"/>
              </w:rPr>
            </w:pPr>
            <w:r>
              <w:rPr>
                <w:rFonts w:ascii="Times New Roman" w:cs="Times New Roman" w:eastAsia="Times New Roman" w:hAnsi="Times New Roman"/>
                <w:sz w:val="18"/>
                <w:szCs w:val="18"/>
                <w:b w:val="1"/>
                <w:bCs w:val="1"/>
                <w:color w:val="auto"/>
              </w:rPr>
              <w:t>001-36002</w:t>
            </w:r>
          </w:p>
        </w:tc>
        <w:tc>
          <w:tcPr>
            <w:tcW w:w="3280" w:type="dxa"/>
            <w:vAlign w:val="bottom"/>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46-1777204</w:t>
            </w:r>
          </w:p>
        </w:tc>
        <w:tc>
          <w:tcPr>
            <w:tcW w:w="0" w:type="dxa"/>
            <w:vAlign w:val="bottom"/>
          </w:tcPr>
          <w:p>
            <w:pPr>
              <w:spacing w:after="0"/>
              <w:rPr>
                <w:sz w:val="1"/>
                <w:szCs w:val="1"/>
                <w:color w:val="auto"/>
              </w:rPr>
            </w:pPr>
          </w:p>
        </w:tc>
      </w:tr>
      <w:tr>
        <w:trPr>
          <w:trHeight w:val="198"/>
        </w:trPr>
        <w:tc>
          <w:tcPr>
            <w:tcW w:w="3640" w:type="dxa"/>
            <w:vAlign w:val="bottom"/>
          </w:tcPr>
          <w:p>
            <w:pPr>
              <w:jc w:val="center"/>
              <w:ind w:right="312"/>
              <w:spacing w:after="0" w:line="198" w:lineRule="exact"/>
              <w:rPr>
                <w:sz w:val="20"/>
                <w:szCs w:val="20"/>
                <w:color w:val="auto"/>
              </w:rPr>
            </w:pPr>
            <w:r>
              <w:rPr>
                <w:rFonts w:ascii="Times New Roman" w:cs="Times New Roman" w:eastAsia="Times New Roman" w:hAnsi="Times New Roman"/>
                <w:sz w:val="18"/>
                <w:szCs w:val="18"/>
                <w:color w:val="auto"/>
                <w:w w:val="98"/>
              </w:rPr>
              <w:t>(State or other jurisdiction of incorporation or</w:t>
            </w:r>
          </w:p>
        </w:tc>
        <w:tc>
          <w:tcPr>
            <w:tcW w:w="3080" w:type="dxa"/>
            <w:vAlign w:val="bottom"/>
            <w:vMerge w:val="restart"/>
          </w:tcPr>
          <w:p>
            <w:pPr>
              <w:jc w:val="center"/>
              <w:ind w:right="212"/>
              <w:spacing w:after="0"/>
              <w:rPr>
                <w:sz w:val="20"/>
                <w:szCs w:val="20"/>
                <w:color w:val="auto"/>
              </w:rPr>
            </w:pPr>
            <w:r>
              <w:rPr>
                <w:rFonts w:ascii="Times New Roman" w:cs="Times New Roman" w:eastAsia="Times New Roman" w:hAnsi="Times New Roman"/>
                <w:sz w:val="18"/>
                <w:szCs w:val="18"/>
                <w:color w:val="auto"/>
                <w:w w:val="97"/>
              </w:rPr>
              <w:t>(Commission File Number)</w:t>
            </w:r>
          </w:p>
        </w:tc>
        <w:tc>
          <w:tcPr>
            <w:tcW w:w="3280" w:type="dxa"/>
            <w:vAlign w:val="bottom"/>
            <w:vMerge w:val="restart"/>
          </w:tcPr>
          <w:p>
            <w:pPr>
              <w:jc w:val="center"/>
              <w:ind w:left="612"/>
              <w:spacing w:after="0"/>
              <w:rPr>
                <w:sz w:val="20"/>
                <w:szCs w:val="20"/>
                <w:color w:val="auto"/>
              </w:rPr>
            </w:pPr>
            <w:r>
              <w:rPr>
                <w:rFonts w:ascii="Times New Roman" w:cs="Times New Roman" w:eastAsia="Times New Roman" w:hAnsi="Times New Roman"/>
                <w:sz w:val="18"/>
                <w:szCs w:val="18"/>
                <w:color w:val="auto"/>
                <w:w w:val="98"/>
              </w:rPr>
              <w:t>(I.R.S. Employer Identification No.)</w:t>
            </w:r>
          </w:p>
        </w:tc>
        <w:tc>
          <w:tcPr>
            <w:tcW w:w="0" w:type="dxa"/>
            <w:vAlign w:val="bottom"/>
          </w:tcPr>
          <w:p>
            <w:pPr>
              <w:spacing w:after="0"/>
              <w:rPr>
                <w:sz w:val="1"/>
                <w:szCs w:val="1"/>
                <w:color w:val="auto"/>
              </w:rPr>
            </w:pPr>
          </w:p>
        </w:tc>
      </w:tr>
      <w:tr>
        <w:trPr>
          <w:trHeight w:val="134"/>
        </w:trPr>
        <w:tc>
          <w:tcPr>
            <w:tcW w:w="3640" w:type="dxa"/>
            <w:vAlign w:val="bottom"/>
            <w:vMerge w:val="restart"/>
          </w:tcPr>
          <w:p>
            <w:pPr>
              <w:jc w:val="center"/>
              <w:ind w:right="292"/>
              <w:spacing w:after="0"/>
              <w:rPr>
                <w:sz w:val="20"/>
                <w:szCs w:val="20"/>
                <w:color w:val="auto"/>
              </w:rPr>
            </w:pPr>
            <w:r>
              <w:rPr>
                <w:rFonts w:ascii="Times New Roman" w:cs="Times New Roman" w:eastAsia="Times New Roman" w:hAnsi="Times New Roman"/>
                <w:sz w:val="18"/>
                <w:szCs w:val="18"/>
                <w:color w:val="auto"/>
                <w:w w:val="97"/>
              </w:rPr>
              <w:t>organization)</w:t>
            </w:r>
          </w:p>
        </w:tc>
        <w:tc>
          <w:tcPr>
            <w:tcW w:w="3080" w:type="dxa"/>
            <w:vAlign w:val="bottom"/>
            <w:vMerge w:val="continue"/>
          </w:tcPr>
          <w:p>
            <w:pPr>
              <w:spacing w:after="0"/>
              <w:rPr>
                <w:sz w:val="11"/>
                <w:szCs w:val="11"/>
                <w:color w:val="auto"/>
              </w:rPr>
            </w:pPr>
          </w:p>
        </w:tc>
        <w:tc>
          <w:tcPr>
            <w:tcW w:w="3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3640" w:type="dxa"/>
            <w:vAlign w:val="bottom"/>
            <w:vMerge w:val="continue"/>
          </w:tcPr>
          <w:p>
            <w:pPr>
              <w:spacing w:after="0"/>
              <w:rPr>
                <w:sz w:val="8"/>
                <w:szCs w:val="8"/>
                <w:color w:val="auto"/>
              </w:rPr>
            </w:pPr>
          </w:p>
        </w:tc>
        <w:tc>
          <w:tcPr>
            <w:tcW w:w="3080" w:type="dxa"/>
            <w:vAlign w:val="bottom"/>
          </w:tcPr>
          <w:p>
            <w:pPr>
              <w:spacing w:after="0"/>
              <w:rPr>
                <w:sz w:val="8"/>
                <w:szCs w:val="8"/>
                <w:color w:val="auto"/>
              </w:rPr>
            </w:pPr>
          </w:p>
        </w:tc>
        <w:tc>
          <w:tcPr>
            <w:tcW w:w="3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 Carnegie Center, Suite 300, Princeton, New Jersey 08540</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N/A</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225" w:lineRule="exact"/>
        <w:rPr>
          <w:sz w:val="24"/>
          <w:szCs w:val="24"/>
          <w:color w:val="auto"/>
        </w:rPr>
      </w:pPr>
    </w:p>
    <w:p>
      <w:pPr>
        <w:ind w:right="140"/>
        <w:spacing w:after="0" w:line="274"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1" w:lineRule="exact"/>
        <w:rPr>
          <w:sz w:val="24"/>
          <w:szCs w:val="24"/>
          <w:color w:val="auto"/>
        </w:rPr>
      </w:pPr>
    </w:p>
    <w:p>
      <w:pPr>
        <w:ind w:left="380" w:hanging="33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8" w:lineRule="exact"/>
        <w:rPr>
          <w:rFonts w:ascii="MS PGothic" w:cs="MS PGothic" w:eastAsia="MS PGothic" w:hAnsi="MS PGothic"/>
          <w:sz w:val="18"/>
          <w:szCs w:val="18"/>
          <w:color w:val="auto"/>
        </w:rPr>
      </w:pPr>
    </w:p>
    <w:p>
      <w:pPr>
        <w:ind w:left="380" w:hanging="33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18" w:lineRule="exact"/>
        <w:rPr>
          <w:rFonts w:ascii="MS PGothic" w:cs="MS PGothic" w:eastAsia="MS PGothic" w:hAnsi="MS PGothic"/>
          <w:sz w:val="18"/>
          <w:szCs w:val="18"/>
          <w:color w:val="auto"/>
        </w:rPr>
      </w:pPr>
    </w:p>
    <w:p>
      <w:pPr>
        <w:ind w:left="380" w:hanging="33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30" w:lineRule="exact"/>
        <w:rPr>
          <w:rFonts w:ascii="MS PGothic" w:cs="MS PGothic" w:eastAsia="MS PGothic" w:hAnsi="MS PGothic"/>
          <w:sz w:val="18"/>
          <w:szCs w:val="18"/>
          <w:color w:val="auto"/>
        </w:rPr>
      </w:pPr>
    </w:p>
    <w:p>
      <w:pPr>
        <w:ind w:right="2960" w:firstLine="46"/>
        <w:spacing w:after="0" w:line="264" w:lineRule="auto"/>
        <w:tabs>
          <w:tab w:leader="none" w:pos="37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5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7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14"/>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Class A Common Stock, par value $0.01</w:t>
            </w:r>
          </w:p>
        </w:tc>
        <w:tc>
          <w:tcPr>
            <w:tcW w:w="25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CWEN.A</w:t>
            </w:r>
          </w:p>
        </w:tc>
        <w:tc>
          <w:tcPr>
            <w:tcW w:w="47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7"/>
              </w:rPr>
              <w:t>New York Stock Exchange</w:t>
            </w:r>
          </w:p>
        </w:tc>
      </w:tr>
      <w:tr>
        <w:trPr>
          <w:trHeight w:val="232"/>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Class C Common Stock, par value $0.01</w:t>
            </w:r>
          </w:p>
        </w:tc>
        <w:tc>
          <w:tcPr>
            <w:tcW w:w="25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8"/>
              </w:rPr>
              <w:t>CWEN</w:t>
            </w:r>
          </w:p>
        </w:tc>
        <w:tc>
          <w:tcPr>
            <w:tcW w:w="47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7"/>
              </w:rPr>
              <w:t>New York Stock Exchange</w:t>
            </w:r>
          </w:p>
        </w:tc>
      </w:tr>
    </w:tbl>
    <w:p>
      <w:pPr>
        <w:spacing w:after="0" w:line="312" w:lineRule="exact"/>
        <w:rPr>
          <w:sz w:val="24"/>
          <w:szCs w:val="24"/>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910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242" w:lineRule="exact"/>
        <w:rPr>
          <w:sz w:val="24"/>
          <w:szCs w:val="24"/>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 w:lineRule="exact"/>
        <w:rPr>
          <w:sz w:val="24"/>
          <w:szCs w:val="24"/>
          <w:color w:val="auto"/>
        </w:rPr>
      </w:pP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887095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6" w:lineRule="exact"/>
        <w:rPr>
          <w:sz w:val="20"/>
          <w:szCs w:val="20"/>
          <w:color w:val="auto"/>
        </w:rPr>
      </w:pPr>
    </w:p>
    <w:p>
      <w:pPr>
        <w:jc w:val="both"/>
        <w:ind w:firstLine="178"/>
        <w:spacing w:after="0" w:line="255" w:lineRule="auto"/>
        <w:rPr>
          <w:sz w:val="20"/>
          <w:szCs w:val="20"/>
          <w:color w:val="auto"/>
        </w:rPr>
      </w:pPr>
      <w:r>
        <w:rPr>
          <w:rFonts w:ascii="Times New Roman" w:cs="Times New Roman" w:eastAsia="Times New Roman" w:hAnsi="Times New Roman"/>
          <w:sz w:val="18"/>
          <w:szCs w:val="18"/>
          <w:color w:val="auto"/>
        </w:rPr>
        <w:t xml:space="preserve">On October 30, 2024, Clearway Energy, Inc. issued a press release announcing its financial results for the quarter ended September 30, 2024. A copy of the press release is furnished as Exhibit 99.1 to this report on Form 8-K and is hereby incorporated by reference. </w:t>
      </w:r>
      <w:r>
        <w:rPr>
          <w:rFonts w:ascii="Times New Roman" w:cs="Times New Roman" w:eastAsia="Times New Roman" w:hAnsi="Times New Roman"/>
          <w:sz w:val="18"/>
          <w:szCs w:val="18"/>
          <w:color w:val="212529"/>
        </w:rPr>
        <w:t>In accordance with General Instruction B.2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Form 8-K, the information set forth in this Item 2.02 and in the attached exhibit are deemed to be furnished and shall not be deemed to be “filed” for purposes of Section 18 of the Securities Exchange Act of 1934, as amended (the “Exchange Act”).</w:t>
      </w:r>
    </w:p>
    <w:p>
      <w:pPr>
        <w:spacing w:after="0" w:line="20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 Exhibits</w:t>
      </w:r>
    </w:p>
    <w:p>
      <w:pPr>
        <w:spacing w:after="0" w:line="244" w:lineRule="exact"/>
        <w:rPr>
          <w:sz w:val="20"/>
          <w:szCs w:val="20"/>
          <w:color w:val="auto"/>
        </w:rPr>
      </w:pPr>
    </w:p>
    <w:p>
      <w:pPr>
        <w:jc w:val="both"/>
        <w:ind w:firstLine="637"/>
        <w:spacing w:after="0" w:line="274" w:lineRule="auto"/>
        <w:rPr>
          <w:sz w:val="20"/>
          <w:szCs w:val="20"/>
          <w:color w:val="auto"/>
        </w:rPr>
      </w:pPr>
      <w:r>
        <w:rPr>
          <w:rFonts w:ascii="Times New Roman" w:cs="Times New Roman" w:eastAsia="Times New Roman" w:hAnsi="Times New Roman"/>
          <w:sz w:val="18"/>
          <w:szCs w:val="18"/>
          <w:color w:val="212529"/>
        </w:rPr>
        <w:t>In accordance with General Instruction B.2 of Form 8-K, the information set forth in the attached exhibit is deemed to be furnished and shall not be deemed to be “filed” for purposes of Section 18 of the Exchange Act.</w:t>
      </w:r>
    </w:p>
    <w:p>
      <w:pPr>
        <w:sectPr>
          <w:pgSz w:w="11900" w:h="16838" w:orient="portrait"/>
          <w:cols w:equalWidth="0" w:num="1">
            <w:col w:w="11240"/>
          </w:cols>
          <w:pgMar w:left="320" w:top="1273" w:right="339" w:bottom="1440" w:gutter="0" w:footer="0" w:header="0"/>
        </w:sectPr>
      </w:pP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44450</wp:posOffset>
            </wp:positionV>
            <wp:extent cx="12636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3650" cy="8255"/>
                    </a:xfrm>
                    <a:prstGeom prst="rect">
                      <a:avLst/>
                    </a:prstGeom>
                    <a:noFill/>
                  </pic:spPr>
                </pic:pic>
              </a:graphicData>
            </a:graphic>
          </wp:anchor>
        </w:drawing>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99.1</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16510</wp:posOffset>
            </wp:positionV>
            <wp:extent cx="51549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5493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Press Release, dated October 30, 2024</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11" w:lineRule="exact"/>
        <w:rPr>
          <w:sz w:val="20"/>
          <w:szCs w:val="20"/>
          <w:color w:val="auto"/>
        </w:rPr>
      </w:pPr>
    </w:p>
    <w:p>
      <w:pPr>
        <w:sectPr>
          <w:pgSz w:w="11900" w:h="16838" w:orient="portrait"/>
          <w:cols w:equalWidth="0" w:num="2">
            <w:col w:w="1760" w:space="720"/>
            <w:col w:w="8760"/>
          </w:cols>
          <w:pgMar w:left="320" w:top="127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243205</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type w:val="continuous"/>
        </w:sectPr>
      </w:pPr>
    </w:p>
    <w:bookmarkStart w:id="2" w:name="page3"/>
    <w:bookmarkEnd w:id="2"/>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firstLine="637"/>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Clearway Energy, Inc.</w:t>
      </w:r>
    </w:p>
    <w:p>
      <w:pPr>
        <w:spacing w:after="0" w:line="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65" w:lineRule="exact"/>
        <w:rPr>
          <w:sz w:val="20"/>
          <w:szCs w:val="20"/>
          <w:color w:val="auto"/>
        </w:rPr>
      </w:pPr>
    </w:p>
    <w:tbl>
      <w:tblPr>
        <w:tblLayout w:type="fixed"/>
        <w:tblInd w:w="5620" w:type="dxa"/>
        <w:tblCellMar>
          <w:top w:w="0" w:type="dxa"/>
          <w:left w:w="0" w:type="dxa"/>
          <w:bottom w:w="0" w:type="dxa"/>
          <w:right w:w="0" w:type="dxa"/>
        </w:tblCellMar>
      </w:tblPr>
      <w:tr>
        <w:trPr>
          <w:trHeight w:val="231"/>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Kevin P. Malcarney</w:t>
            </w:r>
          </w:p>
        </w:tc>
      </w:tr>
      <w:tr>
        <w:trPr>
          <w:trHeight w:val="214"/>
        </w:trPr>
        <w:tc>
          <w:tcPr>
            <w:tcW w:w="54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P. Malcarney</w:t>
            </w:r>
          </w:p>
        </w:tc>
      </w:tr>
      <w:tr>
        <w:trPr>
          <w:trHeight w:val="232"/>
        </w:trPr>
        <w:tc>
          <w:tcPr>
            <w:tcW w:w="54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bl>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October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568960</wp:posOffset>
            </wp:positionV>
            <wp:extent cx="2400935" cy="320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400935" cy="320040"/>
                    </a:xfrm>
                    <a:prstGeom prst="rect">
                      <a:avLst/>
                    </a:prstGeom>
                    <a:noFill/>
                  </pic:spPr>
                </pic:pic>
              </a:graphicData>
            </a:graphic>
          </wp:anchor>
        </w:drawing>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Clearway Energy, Inc. Reports Third Quarter 2024 Financial Results</w:t>
      </w:r>
    </w:p>
    <w:p>
      <w:pPr>
        <w:spacing w:after="0" w:line="250" w:lineRule="exact"/>
        <w:rPr>
          <w:sz w:val="20"/>
          <w:szCs w:val="20"/>
          <w:color w:val="auto"/>
        </w:rPr>
      </w:pPr>
    </w:p>
    <w:p>
      <w:pPr>
        <w:ind w:left="640" w:hanging="316"/>
        <w:spacing w:after="0"/>
        <w:tabs>
          <w:tab w:leader="none" w:pos="6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Signed agreement with Clearway Group to commit to invest in a 500 MW solar plus storage project</w:t>
      </w:r>
    </w:p>
    <w:p>
      <w:pPr>
        <w:spacing w:after="0" w:line="26" w:lineRule="exact"/>
        <w:rPr>
          <w:rFonts w:ascii="Times New Roman" w:cs="Times New Roman" w:eastAsia="Times New Roman" w:hAnsi="Times New Roman"/>
          <w:sz w:val="18"/>
          <w:szCs w:val="18"/>
          <w:b w:val="1"/>
          <w:bCs w:val="1"/>
          <w:color w:val="auto"/>
        </w:rPr>
      </w:pPr>
    </w:p>
    <w:p>
      <w:pPr>
        <w:ind w:left="640" w:hanging="316"/>
        <w:spacing w:after="0"/>
        <w:tabs>
          <w:tab w:leader="none" w:pos="6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Received offer from Clearway Group to invest in a 320 MW storage hybridization project</w:t>
      </w:r>
    </w:p>
    <w:p>
      <w:pPr>
        <w:spacing w:after="0" w:line="5" w:lineRule="exact"/>
        <w:rPr>
          <w:rFonts w:ascii="Times New Roman" w:cs="Times New Roman" w:eastAsia="Times New Roman" w:hAnsi="Times New Roman"/>
          <w:sz w:val="18"/>
          <w:szCs w:val="18"/>
          <w:b w:val="1"/>
          <w:bCs w:val="1"/>
          <w:color w:val="auto"/>
        </w:rPr>
      </w:pPr>
    </w:p>
    <w:p>
      <w:pPr>
        <w:ind w:left="640" w:hanging="316"/>
        <w:spacing w:after="0"/>
        <w:tabs>
          <w:tab w:leader="none" w:pos="6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Reaffirming 2024 financial guidance and initiating 2025 financial guidance</w:t>
      </w:r>
    </w:p>
    <w:p>
      <w:pPr>
        <w:spacing w:after="0" w:line="5" w:lineRule="exact"/>
        <w:rPr>
          <w:rFonts w:ascii="Times New Roman" w:cs="Times New Roman" w:eastAsia="Times New Roman" w:hAnsi="Times New Roman"/>
          <w:sz w:val="18"/>
          <w:szCs w:val="18"/>
          <w:b w:val="1"/>
          <w:bCs w:val="1"/>
          <w:color w:val="auto"/>
        </w:rPr>
      </w:pPr>
    </w:p>
    <w:p>
      <w:pPr>
        <w:ind w:left="640" w:hanging="316"/>
        <w:spacing w:after="0"/>
        <w:tabs>
          <w:tab w:leader="none" w:pos="6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Increasing the quarterly dividend by 1.7% to $0.4240 per share in the fourth quarter of 20</w:t>
      </w:r>
      <w:r>
        <w:rPr>
          <w:rFonts w:ascii="Times New Roman" w:cs="Times New Roman" w:eastAsia="Times New Roman" w:hAnsi="Times New Roman"/>
          <w:sz w:val="18"/>
          <w:szCs w:val="18"/>
          <w:b w:val="1"/>
          <w:bCs w:val="1"/>
          <w:color w:val="242424"/>
        </w:rPr>
        <w:t>24,</w:t>
      </w:r>
      <w:r>
        <w:rPr>
          <w:rFonts w:ascii="Times New Roman" w:cs="Times New Roman" w:eastAsia="Times New Roman" w:hAnsi="Times New Roman"/>
          <w:sz w:val="18"/>
          <w:szCs w:val="18"/>
          <w:b w:val="1"/>
          <w:bCs w:val="1"/>
          <w:color w:val="auto"/>
        </w:rPr>
        <w:t xml:space="preserve"> or $1.6960 per share annualized</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PRINCETON, NJ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October 30, 2024</w:t>
      </w:r>
      <w:r>
        <w:rPr>
          <w:rFonts w:ascii="Times New Roman" w:cs="Times New Roman" w:eastAsia="Times New Roman" w:hAnsi="Times New Roman"/>
          <w:sz w:val="18"/>
          <w:szCs w:val="18"/>
          <w:color w:val="auto"/>
        </w:rPr>
        <w:t>— Clearway Energy, Inc. (NYSE: CWEN, CWEN.A) today reported third quarter 2024 financial results,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Income of $27 million, Adjusted EBITDA of $354 million, Cash from Operating Activities of $301 million, and Cash Available for Distribution (CAFD) of $146 million.</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"Clearway remains well positioned to meet or exceed its 2024 financial objectives, has initiated a 2025 financial guidance range providing for robust growth, and remains committed to the financial objectives previously outlined through 2026,” said Craig Cornelius, Clearway Energy, Inc.’s President and Chief Executive Officer. “With the commitment to Pine Forest and offer to invest in Honeycomb Phase 1, we have further set the stage for sustainable long-term growth. Based on our growth outlook and updated assumptions for levelized resource adequacy pricing, we are targeting CAFD per share of $2.40-2.60 in 2027, which represents approximately 7.5% to 12% annual growth from the midpoint of our 2025 financial guidance. While there is work ahead to achieve the 2027 targets and long-term framework outlined today, the team at Clearway has built a solid foundation for our future as we reach towards the goals we've laid out for the years ahead.”</w:t>
      </w:r>
    </w:p>
    <w:p>
      <w:pPr>
        <w:spacing w:after="0" w:line="21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Adjusted EBITDA and Cash Available for Distribution used in this press release are non-GAAP measures and are explained in greater detail under “Non-GAAP Financial Information”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Overview of Financial and Operating Results</w:t>
            </w: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1"/>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Results</w:t>
            </w: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51"/>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1: Net Income/(Loss)</w:t>
            </w: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4"/>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2760" w:type="dxa"/>
            <w:vAlign w:val="bottom"/>
            <w:gridSpan w:val="4"/>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40" w:type="dxa"/>
            <w:vAlign w:val="bottom"/>
            <w:gridSpan w:val="4"/>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9/30/24</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9/30/23</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9/30/24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9/30/23</w:t>
            </w:r>
          </w:p>
        </w:tc>
      </w:tr>
      <w:tr>
        <w:trPr>
          <w:trHeight w:val="219"/>
        </w:trPr>
        <w:tc>
          <w:tcPr>
            <w:tcW w:w="4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Conventional</w:t>
            </w:r>
          </w:p>
        </w:tc>
        <w:tc>
          <w:tcPr>
            <w:tcW w:w="14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6"/>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Renewables</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6"/>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9"/>
        </w:trPr>
        <w:tc>
          <w:tcPr>
            <w:tcW w:w="4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Income/(Loss)</w:t>
            </w:r>
          </w:p>
        </w:tc>
        <w:tc>
          <w:tcPr>
            <w:tcW w:w="1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4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11"/>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2: Adjusted EBITDA</w:t>
            </w: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4"/>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2760" w:type="dxa"/>
            <w:vAlign w:val="bottom"/>
            <w:gridSpan w:val="4"/>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40" w:type="dxa"/>
            <w:vAlign w:val="bottom"/>
            <w:gridSpan w:val="4"/>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9/30/24</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9/30/23</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9/30/24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9/30/23</w:t>
            </w:r>
          </w:p>
        </w:tc>
      </w:tr>
      <w:tr>
        <w:trPr>
          <w:trHeight w:val="219"/>
        </w:trPr>
        <w:tc>
          <w:tcPr>
            <w:tcW w:w="4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Conventional</w:t>
            </w:r>
          </w:p>
        </w:tc>
        <w:tc>
          <w:tcPr>
            <w:tcW w:w="14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6"/>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Renewables</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26"/>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9"/>
        </w:trPr>
        <w:tc>
          <w:tcPr>
            <w:tcW w:w="4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824"/>
        </w:trPr>
        <w:tc>
          <w:tcPr>
            <w:tcW w:w="4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jc w:val="right"/>
              <w:ind w:right="293"/>
              <w:spacing w:after="0"/>
              <w:rPr>
                <w:sz w:val="20"/>
                <w:szCs w:val="20"/>
                <w:color w:val="auto"/>
              </w:rPr>
            </w:pPr>
            <w:r>
              <w:rPr>
                <w:rFonts w:ascii="Times New Roman" w:cs="Times New Roman" w:eastAsia="Times New Roman" w:hAnsi="Times New Roman"/>
                <w:sz w:val="16"/>
                <w:szCs w:val="16"/>
                <w:color w:val="auto"/>
                <w:w w:val="74"/>
              </w:rPr>
              <w:t>1</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Table 3: Cash from Operating Activities and Cash Available for Distribution (CAFD)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60" w:type="dxa"/>
            <w:vAlign w:val="bottom"/>
            <w:gridSpan w:val="4"/>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00" w:type="dxa"/>
            <w:vAlign w:val="bottom"/>
            <w:gridSpan w:val="4"/>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3"/>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9/30/24</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9/30/23</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9/30/24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9/30/23</w:t>
            </w:r>
          </w:p>
        </w:tc>
      </w:tr>
      <w:tr>
        <w:trPr>
          <w:trHeight w:val="219"/>
        </w:trPr>
        <w:tc>
          <w:tcPr>
            <w:tcW w:w="4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from Operating Activities</w:t>
            </w:r>
          </w:p>
        </w:tc>
        <w:tc>
          <w:tcPr>
            <w:tcW w:w="14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6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19"/>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Available for Distribution (CAFD)</w:t>
            </w:r>
          </w:p>
        </w:tc>
        <w:tc>
          <w:tcPr>
            <w:tcW w:w="140" w:type="dxa"/>
            <w:vAlign w:val="bottom"/>
          </w:tcPr>
          <w:p>
            <w:pPr>
              <w:spacing w:after="0"/>
              <w:rPr>
                <w:sz w:val="19"/>
                <w:szCs w:val="19"/>
                <w:color w:val="auto"/>
              </w:rPr>
            </w:pPr>
          </w:p>
        </w:tc>
        <w:tc>
          <w:tcPr>
            <w:tcW w:w="98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r>
    </w:tbl>
    <w:p>
      <w:pPr>
        <w:spacing w:after="0" w:line="200" w:lineRule="exact"/>
        <w:rPr>
          <w:sz w:val="20"/>
          <w:szCs w:val="20"/>
          <w:color w:val="auto"/>
        </w:rPr>
      </w:pPr>
    </w:p>
    <w:p>
      <w:pPr>
        <w:spacing w:after="0" w:line="33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For the third quarter of 2024, the Company reported Net Income of $27 million, Adjusted EBITDA of $354 million, Cash from Operating Activities of $301 million, and CAFD of $146 million. Net Income increased versus 2023 primarily due to non-cash impacts from the mark to market impact of economic hedges and lower tax expenses partially offset by higher interest expense related to interest rate swaps. Adjusted EBITDA results in the third quarter were higher than 2023 primarily due to the contribution of growth investments partially offset by the expiration of El Segundo's tolling agreement in the third quarter of 2023. CAFD results in the third quarter of 2024 were lower than 2023 primarily due to the expiration of El Segundo's tolling agreement partially offset by the contribution of growth investments.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Operational Performance</w:t>
            </w: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70"/>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4: Selected Operating Results</w:t>
            </w:r>
            <w:r>
              <w:rPr>
                <w:rFonts w:ascii="Times New Roman" w:cs="Times New Roman" w:eastAsia="Times New Roman" w:hAnsi="Times New Roman"/>
                <w:sz w:val="22"/>
                <w:szCs w:val="22"/>
                <w:b w:val="1"/>
                <w:bCs w:val="1"/>
                <w:color w:val="auto"/>
                <w:vertAlign w:val="superscript"/>
              </w:rPr>
              <w:t>1</w:t>
            </w: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6"/>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(MWh in thousands)</w:t>
            </w:r>
          </w:p>
        </w:tc>
        <w:tc>
          <w:tcPr>
            <w:tcW w:w="340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320" w:type="dxa"/>
            <w:vAlign w:val="bottom"/>
            <w:gridSpan w:val="3"/>
          </w:tcPr>
          <w:p>
            <w:pPr>
              <w:jc w:val="right"/>
              <w:ind w:right="81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3"/>
        </w:trPr>
        <w:tc>
          <w:tcPr>
            <w:tcW w:w="410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9/30/24</w:t>
            </w:r>
          </w:p>
        </w:tc>
        <w:tc>
          <w:tcPr>
            <w:tcW w:w="16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9/30/23</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9/30/24</w:t>
            </w:r>
          </w:p>
        </w:tc>
        <w:tc>
          <w:tcPr>
            <w:tcW w:w="14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9/30/23</w:t>
            </w:r>
          </w:p>
        </w:tc>
      </w:tr>
      <w:tr>
        <w:trPr>
          <w:trHeight w:val="21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Conventional Equivalent Availability Factor</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87.5 %</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90.3 %</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87.5 %</w:t>
            </w:r>
          </w:p>
        </w:tc>
      </w:tr>
      <w:tr>
        <w:trPr>
          <w:trHeight w:val="226"/>
        </w:trPr>
        <w:tc>
          <w:tcPr>
            <w:tcW w:w="4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Solar MWh generated/sold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6,999</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w:t>
            </w:r>
          </w:p>
        </w:tc>
      </w:tr>
      <w:tr>
        <w:trPr>
          <w:trHeight w:val="226"/>
        </w:trPr>
        <w:tc>
          <w:tcPr>
            <w:tcW w:w="4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Wind MWh generated/sold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7,262</w:t>
            </w:r>
          </w:p>
        </w:tc>
      </w:tr>
      <w:tr>
        <w:trPr>
          <w:trHeight w:val="265"/>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Renewables generated/sold</w:t>
            </w:r>
            <w:r>
              <w:rPr>
                <w:rFonts w:ascii="Times New Roman" w:cs="Times New Roman" w:eastAsia="Times New Roman" w:hAnsi="Times New Roman"/>
                <w:sz w:val="22"/>
                <w:szCs w:val="22"/>
                <w:color w:val="auto"/>
                <w:vertAlign w:val="superscript"/>
              </w:rPr>
              <w:t>2</w:t>
            </w:r>
          </w:p>
        </w:tc>
        <w:tc>
          <w:tcPr>
            <w:tcW w:w="160" w:type="dxa"/>
            <w:vAlign w:val="bottom"/>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160" w:type="dxa"/>
            <w:vAlign w:val="bottom"/>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00" w:type="dxa"/>
            <w:vAlign w:val="bottom"/>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14,477</w:t>
            </w:r>
          </w:p>
        </w:tc>
        <w:tc>
          <w:tcPr>
            <w:tcW w:w="140" w:type="dxa"/>
            <w:vAlign w:val="bottom"/>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-176530</wp:posOffset>
            </wp:positionV>
            <wp:extent cx="6974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74840" cy="8255"/>
                    </a:xfrm>
                    <a:prstGeom prst="rect">
                      <a:avLst/>
                    </a:prstGeom>
                    <a:noFill/>
                  </pic:spPr>
                </pic:pic>
              </a:graphicData>
            </a:graphic>
          </wp:anchor>
        </w:drawing>
      </w:r>
    </w:p>
    <w:p>
      <w:pPr>
        <w:spacing w:after="0" w:line="2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the third quarter of 2024, availability at the Conventional segment was lower than the third quarter of 2023 primarily due to outages at certain facilities. Generation in the Renewables segment during the third quarter of 2024 was 27% higher than the third quarter of 2023 primarily due to the contribution of growth investments partially offset by lower wind resource at certain facilities.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1"/>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5: Liquidity</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1"/>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millions)</w:t>
            </w:r>
          </w:p>
        </w:tc>
        <w:tc>
          <w:tcPr>
            <w:tcW w:w="220" w:type="dxa"/>
            <w:vAlign w:val="bottom"/>
          </w:tcPr>
          <w:p>
            <w:pPr>
              <w:spacing w:after="0"/>
              <w:rPr>
                <w:sz w:val="21"/>
                <w:szCs w:val="21"/>
                <w:color w:val="auto"/>
              </w:rPr>
            </w:pPr>
          </w:p>
        </w:tc>
        <w:tc>
          <w:tcPr>
            <w:tcW w:w="118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9/30/2024</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12/31/2023</w:t>
            </w:r>
          </w:p>
        </w:tc>
      </w:tr>
      <w:tr>
        <w:trPr>
          <w:trHeight w:val="206"/>
        </w:trPr>
        <w:tc>
          <w:tcPr>
            <w:tcW w:w="6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26"/>
        </w:trPr>
        <w:tc>
          <w:tcPr>
            <w:tcW w:w="70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Clearway Energy, Inc. and Clearway Energy LLC, excluding subsidiaries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26"/>
        </w:trPr>
        <w:tc>
          <w:tcPr>
            <w:tcW w:w="7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Subsidiaries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1"/>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Restricted Cash:</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7"/>
        </w:trPr>
        <w:tc>
          <w:tcPr>
            <w:tcW w:w="7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accounts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6"/>
        </w:trPr>
        <w:tc>
          <w:tcPr>
            <w:tcW w:w="70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Reserves, including debt service, distributions, performance obligations and other reserves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1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Cash</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r>
      <w:tr>
        <w:trPr>
          <w:trHeight w:val="219"/>
        </w:trPr>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Revolving credit facility availability</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44"/>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Liquidity</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Total liquidity as of September 30, 2024, was $1,266 million, which was $239 million lower than as of December 31, 2023, primarily due to the execution of growth investments including payments for Cedar Creek, Victory Pass, Arica and the Rosie BESS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250825</wp:posOffset>
            </wp:positionV>
            <wp:extent cx="16846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465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0" w:hanging="94"/>
        <w:spacing w:after="0"/>
        <w:tabs>
          <w:tab w:leader="none" w:pos="10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Excludes equity method investments</w:t>
      </w:r>
    </w:p>
    <w:p>
      <w:pPr>
        <w:ind w:left="100" w:hanging="94"/>
        <w:spacing w:after="0" w:line="192" w:lineRule="auto"/>
        <w:tabs>
          <w:tab w:leader="none" w:pos="10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Generation sold excludes MWh that are reimbursable for economic curtailment</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875" w:right="339" w:bottom="1440" w:gutter="0" w:footer="0" w:header="0"/>
        </w:sectPr>
      </w:pPr>
    </w:p>
    <w:bookmarkStart w:id="5" w:name="page6"/>
    <w:bookmarkEnd w:id="5"/>
    <w:p>
      <w:pPr>
        <w:jc w:val="both"/>
        <w:spacing w:after="0" w:line="253"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September 30, 2024</w:t>
      </w:r>
      <w:r>
        <w:rPr>
          <w:rFonts w:ascii="Times New Roman" w:cs="Times New Roman" w:eastAsia="Times New Roman" w:hAnsi="Times New Roman"/>
          <w:sz w:val="18"/>
          <w:szCs w:val="18"/>
          <w:color w:val="231F20"/>
        </w:rPr>
        <w:t xml:space="preserve">, the Company's liquidity included </w:t>
      </w:r>
      <w:r>
        <w:rPr>
          <w:rFonts w:ascii="Times New Roman" w:cs="Times New Roman" w:eastAsia="Times New Roman" w:hAnsi="Times New Roman"/>
          <w:sz w:val="18"/>
          <w:szCs w:val="18"/>
          <w:color w:val="000000"/>
        </w:rPr>
        <w:t>$382 million</w:t>
      </w:r>
      <w:r>
        <w:rPr>
          <w:rFonts w:ascii="Times New Roman" w:cs="Times New Roman" w:eastAsia="Times New Roman" w:hAnsi="Times New Roman"/>
          <w:sz w:val="18"/>
          <w:szCs w:val="18"/>
          <w:color w:val="231F20"/>
        </w:rPr>
        <w:t xml:space="preserve"> of restricted cash. Restricted cash consists primarily of funds to satisfy the requirements of certain debt arrangements and funds held within the Company's projects that are restricted in their use. As </w:t>
      </w:r>
      <w:r>
        <w:rPr>
          <w:rFonts w:ascii="Times New Roman" w:cs="Times New Roman" w:eastAsia="Times New Roman" w:hAnsi="Times New Roman"/>
          <w:sz w:val="18"/>
          <w:szCs w:val="18"/>
          <w:color w:val="000000"/>
        </w:rPr>
        <w:t>of September 30, 2024, these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restricted funds were comprised of $183 million designated to fund operating expenses, approximately $71 million designated for current debt service payments, and $89 million of reserves for debt service, performance obligations and other items including capital expenditures. The remaining $39 million is held in distribution reserve accounts.</w:t>
      </w:r>
    </w:p>
    <w:p>
      <w:pPr>
        <w:spacing w:after="0" w:line="20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Potential future sources of liquidity include excess operating cash flow, availability under the revolving credit facility, asset dispositions, and, subject to market conditions, new corporate debt and equity financings.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Investments and Strategic Announcements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Pine Forest</w:t>
      </w:r>
    </w:p>
    <w:p>
      <w:pPr>
        <w:spacing w:after="0" w:line="23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October 28, 2024, the Company, through an indirect subsidiary, entered into agreements to acquire cash and tax equity interests in a 500 MW solar plus storage project currently under construction in Hopkins County, Texas that is expected to reach commercial operations in 2025 for a total investment of $155 million, subject to closing adjustments. Upon achieving commercial operations, the project's solar output is underpinned by power purchase agreements with creditworthy counterparties with a weighted average contract duration of approximately 20 years. The consummation of the transactions are subject to customary closing conditions and certain third-party approvals and is expected in the second half of 2025. The Company expects the projects to contribute asset CAFD on a five-year average annual basis of approximately $16 million beginning January 1, 2026.</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Honeycomb Phase 1 Offer</w:t>
      </w: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18, 2024, Clearway Group offered the Company the opportunity to enter into partnership arrangements to own cash equity interests in a portfolio of 320 MW storage hybridization projects that is expected to reach commercial operations in 2026. The potential corporate capital commitment for the investment is expected to be approximately $85 million. The investment is subject to negotiation both with Clearway Group, and the review and approval by the Company’s Independent Directors.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Update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Capistrano Wind Refinancing</w:t>
      </w:r>
    </w:p>
    <w:p>
      <w:pPr>
        <w:spacing w:after="0" w:line="23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October 23, 2024, the Company, through its indirect subsidiary, Capistrano Portfolio Holdco LLC, entered into a financing agreement which included the issuance of a $121 million term loan as well as $42 million in letters of credit in support of debt service and facility obligations, supported by the Company’s interests in the Broken Bow, Crofton Bluffs, Mountain Wind 1 and Mountain Wind 2 wind facilities. The term loan matures on September 28, 2033. The Company utilized the proceeds from the term loan to pay off the existing debt in the amount of $63 million related to Broken Bow and Crofton Bluffs and to pay related financing costs.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Dividend</w:t>
      </w:r>
    </w:p>
    <w:p>
      <w:pPr>
        <w:spacing w:after="0" w:line="2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October 29, 2024, Clearway Energy, Inc.’s Board of Directors declared a quarterly dividend on Class A and Class C common stock of $0.4240 per share payable on December 16, 2024, to stockholders of record as of December 2, 2024.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Clearway Energy, Inc.’s quarterly operating results are impacted by seasonal factors, as well as weather variability which can impact renewable energy resource throughout the year. Most of the Company's revenues are generated from the months of May through September, as contracted pricing and renewable resources are at their highest levels in the Company’s portfolio. Factors driving the fluctuation in Net Income, Adjusted EBITDA, Cash from Operating Activities, and CAFD include the following:</w:t>
      </w:r>
    </w:p>
    <w:p>
      <w:pPr>
        <w:spacing w:after="0" w:line="208" w:lineRule="exact"/>
        <w:rPr>
          <w:sz w:val="20"/>
          <w:szCs w:val="20"/>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summer capacity and energy prices from conventional assets;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877" w:right="339" w:bottom="1440" w:gutter="0" w:footer="0" w:header="0"/>
        </w:sectPr>
      </w:pPr>
    </w:p>
    <w:bookmarkStart w:id="6" w:name="page7"/>
    <w:bookmarkEnd w:id="6"/>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solar insolation during the summer months;</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wind resources during the spring and summer months;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Renewable energy resource throughout the year</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payments which are made either quarterly or semi-annually;</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maintenance capital expenditures and the impact of both unforced and forced outages; and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distributions from unconsolidated affiliates</w:t>
      </w:r>
    </w:p>
    <w:p>
      <w:pPr>
        <w:spacing w:after="0" w:line="2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takes into consideration the timing of these factors to ensure sufficient funds are available for distributions and operating activities on a quarterly basis.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Guidance</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reaffirming its 2024 full year CAFD guidance of $395 million. The Company's 2024 financial guidance factors in the contribution of committed growth investments based on current expected closing timelines and estimates for merchant energy gross margin at the conventional fleet. 2024 CAFD guidance does not factor in the timing of when CAFD is realized from new growth investments pursuant to 5-year averages beyond 2024. Financial guidance is based on median renewable energy production estimates for the full year.</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initiating a 2025 full year CAFD guidance at a $420 million midpoint and a range of $400 million to $440 million. The midpoint of the 2025 financial guidance range is based on median renewable energy production estimates for the full year, while the range reflects a range of potential distributions of outcomes on resource and performance in the fiscal year. The guidance range also factors in completing committed growth investments on currently forecasted schedules.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Conference Call</w:t>
      </w:r>
    </w:p>
    <w:p>
      <w:pPr>
        <w:spacing w:after="0" w:line="2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October 30, 2024, Clearway Energy, Inc. will host a conference call at 8:00 a.m. Eastern to discuss these results. Investors, the news media and others may access the live webcast of the conference call and accompanying presentation materials by logging on to Clearway Energy, Inc.’s website at http://www.clearwayenergy.com and clicking on “Presentations &amp; Webcasts” under “Investor Relations.”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Clearway Energy, Inc.</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Clearway Energy, Inc. is one of the largest owners of clean energy generation assets in the US and is leading the transition to a world powered by clean energy. Our portfolio comprises approximately 11.7 GW of gross capacity in 26 states, including 9 GW of wind, solar, and energy storage and over 2.7 GW of dispatchable power generation providing critical grid reliability services. Through our diversified and primarily contracted clean energy portfolio, Clearway Energy endeavors to provide our investors with stable and growing dividend income. Clearway Energy, Inc.’s Class C and Class A common stock are traded on the New York Stock Exchange under the symbols CWEN and CWEN.A, respectively. Clearway Energy, Inc. is sponsored by our controlling investor, Clearway Energy Group LLC. For more information, visit investor.clearwayenergy.com.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Disclosure</w:t>
      </w: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regarding, Clearway Energy, Inc.’s (the “Company’s”) dividend expectations and its operations, its facilities and its financial results, statements regarding the likelihood, terms, timing and/or consummation of the transactions described above, the potential benefits, opportunities, and results with respect to the transactions, including the Company’s future relationship and arrangements with Global Infrastructure Partners, TotalEnergies, and Clearway Energy Group(collectively and together with their affiliates, “Related Persons”), as well as the Company's Net Income, Adjusted EBITDA, Cash from Operating Activities, Cash Available for Distribution, the Company’s future revenues, income, indebtedness, capital structure, strategy, plans, expectations, objectives, projected financial performance and/or business results and other future events, and views of economic and market conditions.</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the Company believes that the expectations are reasonable at this time, it can give no assurance that these expectations will prove to be correct, and actual results may vary materially. Factors that could cause actual results to differ materially from those contemplated above include, among others, the Company's ability to maintain and grow its quarterly dividend, impacts related to COVID-19 (including any variant of the virus) or any other pandemic, risks relating to the</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877" w:right="339" w:bottom="1440" w:gutter="0" w:footer="0" w:header="0"/>
        </w:sectPr>
      </w:pPr>
    </w:p>
    <w:bookmarkStart w:id="7" w:name="page8"/>
    <w:bookmarkEnd w:id="7"/>
    <w:p>
      <w:pPr>
        <w:jc w:val="both"/>
        <w:spacing w:after="0" w:line="248" w:lineRule="auto"/>
        <w:rPr>
          <w:sz w:val="20"/>
          <w:szCs w:val="20"/>
          <w:color w:val="auto"/>
        </w:rPr>
      </w:pPr>
      <w:r>
        <w:rPr>
          <w:rFonts w:ascii="Times New Roman" w:cs="Times New Roman" w:eastAsia="Times New Roman" w:hAnsi="Times New Roman"/>
          <w:sz w:val="18"/>
          <w:szCs w:val="18"/>
          <w:color w:val="auto"/>
        </w:rPr>
        <w:t>Company's relationships with its sponsors, the failure to identify, execute or successfully implement acquisitions or dispositions (including receipt of third party consents and regulatory approvals), risks related to the Company's ability to acquire assets, including risks that offered or committed transactions from Related Persons may not be approved, on the terms proposed or otherwise, by the Corporate Governance, Conflicts, and Nominating Committee of the Company’s Board of Directors (the “GCN”), or if approved, timely consummated; from its sponsors, the Company’s ability to borrow additional funds and access capital markets due to its indebtedness, corporate structure, market conditions or otherwise, hazards customary in the power industry, weather conditions, including wind and solar performance, the Company’s ability to operate its businesses efficiently, manage maintenance capital expenditures and costs effectively, and generate earnings and cash flows from its asset-based businesses in relation to its debt and other obligations, the willingness and ability of counterparties to the Company’s offtake agreements to fulfill their obligations under such agreements, the Company's ability to enter into new contracts as existing contracts expire, changes in government regulations, operating and financial restrictions placed on the Company that are contained in the project-level debt facilities and other agreements of the Company and its subsidiaries, and cyber terrorism and inadequate cybersecurity. Furthermore, any dividends are subject to available capital, market conditions, and compliance with associated laws and regulations.</w:t>
      </w:r>
    </w:p>
    <w:p>
      <w:pPr>
        <w:spacing w:after="0" w:line="2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addition, this release contains reference to certain offered and committed transactions with Related Persons, which transactions are subject to the review, negotiation and approval of the GCN. Transactions referred to as “offered” (or any variation thereof) have been presented to the Company by the Related Persons, but the terms remain subject to review and negotiation by the GCN. Transactions may have been recently offered or undergone more extensive negotiations. Unless otherwise noted, no assumptions should be made with respect to the stage of negotiation of an offered transaction, nor should any assumptions be made that any offered transaction will be approved, committed or ultimately consummated on the terms described herein. Transactions referred to as “committed” or “signed” (or any variation thereof) represent transactions which have been approved by the GCN and for which definitive agreements have been delivered; however, such transactions have not yet been consummated and remain subject to various risks and uncertainties (including financing, third party consents and arrangements and regulatory approvals). The Company provides information regarding offered and committed transactions believing that such information is useful to an understanding of the Company’s business and operations; however, given the uncertainty of such transactions, undue reliance should not be placed on any expectations regarding such transactions and the Company can give no assurance that such expectations will prove to be correct, as actual results may vary materially.</w:t>
      </w:r>
    </w:p>
    <w:p>
      <w:pPr>
        <w:spacing w:after="0" w:line="2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undertakes no obligation to update or revise any forward-looking statements, whether as a result of new information, future events or otherwise. The Cash Available for Distribution are estimates as of today’s date, October 30, 2024, and are based on assumptions believed to be reasonable as of this date. The Company expressly disclaims any current intention to update such guidance. The foregoing review of factors that could cause The Company's actual results to differ materially from those contemplated in the forward-looking statements included in this news release should be considered in connection with information regarding risks and uncertainties that may affect The Company's future results included in The Company's filings with the Securities and Exchange Commission at www.sec.gov. In addition, The Company makes available free of charge at www.clearwayenergy.com, copies of materials it files with, or furnishes to, the Securities and Exchange Commission.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3" w:lineRule="exact"/>
        <w:rPr>
          <w:sz w:val="20"/>
          <w:szCs w:val="20"/>
          <w:color w:val="auto"/>
        </w:rPr>
      </w:pPr>
    </w:p>
    <w:p>
      <w:pPr>
        <w:ind w:left="640"/>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Investors:</w:t>
      </w:r>
      <w:r>
        <w:rPr>
          <w:sz w:val="20"/>
          <w:szCs w:val="20"/>
          <w:color w:val="auto"/>
        </w:rPr>
        <w:tab/>
      </w:r>
      <w:r>
        <w:rPr>
          <w:rFonts w:ascii="Times New Roman" w:cs="Times New Roman" w:eastAsia="Times New Roman" w:hAnsi="Times New Roman"/>
          <w:sz w:val="18"/>
          <w:szCs w:val="18"/>
          <w:b w:val="1"/>
          <w:bCs w:val="1"/>
          <w:color w:val="auto"/>
        </w:rPr>
        <w:t>Media:</w:t>
      </w:r>
    </w:p>
    <w:p>
      <w:pPr>
        <w:spacing w:after="0" w:line="27" w:lineRule="exact"/>
        <w:rPr>
          <w:sz w:val="20"/>
          <w:szCs w:val="20"/>
          <w:color w:val="auto"/>
        </w:rPr>
      </w:pPr>
    </w:p>
    <w:p>
      <w:pPr>
        <w:ind w:left="180"/>
        <w:spacing w:after="0"/>
        <w:tabs>
          <w:tab w:leader="none" w:pos="1680" w:val="left"/>
        </w:tabs>
        <w:rPr>
          <w:sz w:val="20"/>
          <w:szCs w:val="20"/>
          <w:color w:val="auto"/>
        </w:rPr>
      </w:pPr>
      <w:r>
        <w:rPr>
          <w:rFonts w:ascii="Times New Roman" w:cs="Times New Roman" w:eastAsia="Times New Roman" w:hAnsi="Times New Roman"/>
          <w:sz w:val="18"/>
          <w:szCs w:val="18"/>
          <w:color w:val="auto"/>
        </w:rPr>
        <w:t>Akil Marsh</w:t>
      </w:r>
      <w:r>
        <w:rPr>
          <w:sz w:val="20"/>
          <w:szCs w:val="20"/>
          <w:color w:val="auto"/>
        </w:rPr>
        <w:tab/>
      </w:r>
      <w:r>
        <w:rPr>
          <w:rFonts w:ascii="Times New Roman" w:cs="Times New Roman" w:eastAsia="Times New Roman" w:hAnsi="Times New Roman"/>
          <w:sz w:val="17"/>
          <w:szCs w:val="17"/>
          <w:color w:val="auto"/>
        </w:rPr>
        <w:t>Zadie Oleksiw</w:t>
      </w:r>
    </w:p>
    <w:p>
      <w:pPr>
        <w:spacing w:after="0" w:line="5" w:lineRule="exact"/>
        <w:rPr>
          <w:sz w:val="20"/>
          <w:szCs w:val="20"/>
          <w:color w:val="auto"/>
        </w:rPr>
      </w:pPr>
    </w:p>
    <w:p>
      <w:pPr>
        <w:ind w:left="180"/>
        <w:spacing w:after="0"/>
        <w:tabs>
          <w:tab w:leader="none" w:pos="3160" w:val="left"/>
        </w:tabs>
        <w:rPr>
          <w:sz w:val="20"/>
          <w:szCs w:val="20"/>
          <w:color w:val="auto"/>
        </w:rPr>
      </w:pPr>
      <w:r>
        <w:rPr>
          <w:rFonts w:ascii="Times New Roman" w:cs="Times New Roman" w:eastAsia="Times New Roman" w:hAnsi="Times New Roman"/>
          <w:sz w:val="18"/>
          <w:szCs w:val="18"/>
          <w:color w:val="auto"/>
        </w:rPr>
        <w:t>investor.relations@clearwayenergy.com</w:t>
      </w:r>
      <w:r>
        <w:rPr>
          <w:sz w:val="20"/>
          <w:szCs w:val="20"/>
          <w:color w:val="auto"/>
        </w:rPr>
        <w:tab/>
      </w:r>
      <w:r>
        <w:rPr>
          <w:rFonts w:ascii="Times New Roman" w:cs="Times New Roman" w:eastAsia="Times New Roman" w:hAnsi="Times New Roman"/>
          <w:sz w:val="17"/>
          <w:szCs w:val="17"/>
          <w:color w:val="auto"/>
        </w:rPr>
        <w:t>media@clearwayenergy.com</w:t>
      </w:r>
    </w:p>
    <w:p>
      <w:pPr>
        <w:spacing w:after="0" w:line="5" w:lineRule="exact"/>
        <w:rPr>
          <w:sz w:val="20"/>
          <w:szCs w:val="20"/>
          <w:color w:val="auto"/>
        </w:rPr>
      </w:pPr>
    </w:p>
    <w:p>
      <w:pPr>
        <w:ind w:left="180"/>
        <w:spacing w:after="0"/>
        <w:tabs>
          <w:tab w:leader="none" w:pos="1880" w:val="left"/>
        </w:tabs>
        <w:rPr>
          <w:sz w:val="20"/>
          <w:szCs w:val="20"/>
          <w:color w:val="auto"/>
        </w:rPr>
      </w:pPr>
      <w:r>
        <w:rPr>
          <w:rFonts w:ascii="Times New Roman" w:cs="Times New Roman" w:eastAsia="Times New Roman" w:hAnsi="Times New Roman"/>
          <w:sz w:val="18"/>
          <w:szCs w:val="18"/>
          <w:color w:val="auto"/>
        </w:rPr>
        <w:t>609-608-1500</w:t>
      </w:r>
      <w:r>
        <w:rPr>
          <w:sz w:val="20"/>
          <w:szCs w:val="20"/>
          <w:color w:val="auto"/>
        </w:rPr>
        <w:tab/>
      </w:r>
      <w:r>
        <w:rPr>
          <w:rFonts w:ascii="Times New Roman" w:cs="Times New Roman" w:eastAsia="Times New Roman" w:hAnsi="Times New Roman"/>
          <w:sz w:val="17"/>
          <w:szCs w:val="17"/>
          <w:color w:val="auto"/>
        </w:rPr>
        <w:t>202-836-5754</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87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580" w:type="dxa"/>
            <w:vAlign w:val="bottom"/>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46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2"/>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06"/>
        </w:trPr>
        <w:tc>
          <w:tcPr>
            <w:tcW w:w="5460" w:type="dxa"/>
            <w:vAlign w:val="bottom"/>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5460" w:type="dxa"/>
            <w:vAlign w:val="bottom"/>
          </w:tcPr>
          <w:p>
            <w:pPr>
              <w:ind w:left="140"/>
              <w:spacing w:after="0" w:line="172" w:lineRule="exact"/>
              <w:rPr>
                <w:sz w:val="20"/>
                <w:szCs w:val="20"/>
                <w:color w:val="auto"/>
              </w:rPr>
            </w:pPr>
            <w:r>
              <w:rPr>
                <w:rFonts w:ascii="Times New Roman" w:cs="Times New Roman" w:eastAsia="Times New Roman" w:hAnsi="Times New Roman"/>
                <w:sz w:val="18"/>
                <w:szCs w:val="18"/>
                <w:color w:val="auto"/>
              </w:rPr>
              <w:t>Cost of operations, exclusive of depreciation, amortization and accretion</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shown separately below</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26"/>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26"/>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6"/>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9"/>
        </w:trPr>
        <w:tc>
          <w:tcPr>
            <w:tcW w:w="5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06"/>
        </w:trPr>
        <w:tc>
          <w:tcPr>
            <w:tcW w:w="5460" w:type="dxa"/>
            <w:vAlign w:val="bottom"/>
          </w:tcPr>
          <w:p>
            <w:pPr>
              <w:ind w:left="20"/>
              <w:spacing w:after="0" w:line="206" w:lineRule="exact"/>
              <w:rPr>
                <w:sz w:val="20"/>
                <w:szCs w:val="20"/>
                <w:color w:val="auto"/>
              </w:rPr>
            </w:pPr>
            <w:r>
              <w:rPr>
                <w:rFonts w:ascii="Times New Roman" w:cs="Times New Roman" w:eastAsia="Times New Roman" w:hAnsi="Times New Roman"/>
                <w:sz w:val="18"/>
                <w:szCs w:val="18"/>
                <w:b w:val="1"/>
                <w:bCs w:val="1"/>
                <w:color w:val="auto"/>
              </w:rPr>
              <w:t>Other Income (Expense)</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6"/>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6"/>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5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9"/>
        </w:trPr>
        <w:tc>
          <w:tcPr>
            <w:tcW w:w="54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6"/>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9"/>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52"/>
        </w:trPr>
        <w:tc>
          <w:tcPr>
            <w:tcW w:w="5460" w:type="dxa"/>
            <w:vAlign w:val="bottom"/>
            <w:shd w:val="clear" w:color="auto" w:fill="CCEEFF"/>
          </w:tcPr>
          <w:p>
            <w:pPr>
              <w:ind w:left="140"/>
              <w:spacing w:after="0" w:line="153" w:lineRule="exact"/>
              <w:rPr>
                <w:sz w:val="20"/>
                <w:szCs w:val="20"/>
                <w:color w:val="auto"/>
              </w:rPr>
            </w:pPr>
            <w:r>
              <w:rPr>
                <w:rFonts w:ascii="Times New Roman" w:cs="Times New Roman" w:eastAsia="Times New Roman" w:hAnsi="Times New Roman"/>
                <w:sz w:val="17"/>
                <w:szCs w:val="17"/>
                <w:color w:val="auto"/>
              </w:rPr>
              <w:t>Less: Net (loss) income attributable to noncontrolling interests and</w:t>
            </w: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5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Clearway Energy, Inc.</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4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5"/>
                <w:szCs w:val="15"/>
                <w:b w:val="1"/>
                <w:bCs w:val="1"/>
                <w:color w:val="auto"/>
              </w:rPr>
              <w:t>Earnings Per Share Attributable to Clearway Energy, Inc. Class A and</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Class C Common Stockholders</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981" w:right="339" w:bottom="1440" w:gutter="0" w:footer="0" w:header="0"/>
        </w:sectPr>
      </w:pPr>
    </w:p>
    <w:p>
      <w:pPr>
        <w:ind w:left="300" w:right="540" w:hanging="158"/>
        <w:spacing w:after="0" w:line="231" w:lineRule="auto"/>
        <w:rPr>
          <w:sz w:val="20"/>
          <w:szCs w:val="20"/>
          <w:color w:val="auto"/>
        </w:rPr>
      </w:pPr>
      <w:r>
        <w:rPr>
          <w:rFonts w:ascii="Times New Roman" w:cs="Times New Roman" w:eastAsia="Times New Roman" w:hAnsi="Times New Roman"/>
          <w:sz w:val="18"/>
          <w:szCs w:val="18"/>
          <w:color w:val="auto"/>
        </w:rPr>
        <w:t>Weighted average number of Class A common shares outstanding - basic and diluted</w:t>
      </w:r>
    </w:p>
    <w:p>
      <w:pPr>
        <w:spacing w:after="0" w:line="8" w:lineRule="exact"/>
        <w:rPr>
          <w:sz w:val="20"/>
          <w:szCs w:val="20"/>
          <w:color w:val="auto"/>
        </w:rPr>
      </w:pPr>
    </w:p>
    <w:p>
      <w:pPr>
        <w:ind w:left="300" w:right="560" w:hanging="158"/>
        <w:spacing w:after="0" w:line="234" w:lineRule="auto"/>
        <w:rPr>
          <w:sz w:val="20"/>
          <w:szCs w:val="20"/>
          <w:color w:val="auto"/>
        </w:rPr>
      </w:pPr>
      <w:r>
        <w:rPr>
          <w:rFonts w:ascii="Times New Roman" w:cs="Times New Roman" w:eastAsia="Times New Roman" w:hAnsi="Times New Roman"/>
          <w:sz w:val="18"/>
          <w:szCs w:val="18"/>
          <w:color w:val="auto"/>
        </w:rPr>
        <w:t>Weighted average number of Class C common shares outstanding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-252730</wp:posOffset>
            </wp:positionV>
            <wp:extent cx="7134860" cy="260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260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8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35</w:t>
            </w:r>
          </w:p>
        </w:tc>
        <w:tc>
          <w:tcPr>
            <w:tcW w:w="148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35</w:t>
            </w:r>
          </w:p>
        </w:tc>
        <w:tc>
          <w:tcPr>
            <w:tcW w:w="14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35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0"/>
        </w:trPr>
        <w:tc>
          <w:tcPr>
            <w:tcW w:w="8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83</w:t>
            </w:r>
          </w:p>
        </w:tc>
        <w:tc>
          <w:tcPr>
            <w:tcW w:w="148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82</w:t>
            </w:r>
          </w:p>
        </w:tc>
        <w:tc>
          <w:tcPr>
            <w:tcW w:w="14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83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bl>
    <w:p>
      <w:pPr>
        <w:spacing w:after="0" w:line="1" w:lineRule="exact"/>
        <w:rPr>
          <w:sz w:val="20"/>
          <w:szCs w:val="20"/>
          <w:color w:val="auto"/>
        </w:rPr>
      </w:pPr>
    </w:p>
    <w:p>
      <w:pPr>
        <w:sectPr>
          <w:pgSz w:w="11900" w:h="16838" w:orient="portrait"/>
          <w:cols w:equalWidth="0" w:num="2">
            <w:col w:w="5860" w:space="720"/>
            <w:col w:w="466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152"/>
        </w:trPr>
        <w:tc>
          <w:tcPr>
            <w:tcW w:w="5460" w:type="dxa"/>
            <w:vAlign w:val="bottom"/>
          </w:tcPr>
          <w:p>
            <w:pPr>
              <w:ind w:left="20"/>
              <w:spacing w:after="0" w:line="153" w:lineRule="exact"/>
              <w:rPr>
                <w:sz w:val="20"/>
                <w:szCs w:val="20"/>
                <w:color w:val="auto"/>
              </w:rPr>
            </w:pPr>
            <w:r>
              <w:rPr>
                <w:rFonts w:ascii="Times New Roman" w:cs="Times New Roman" w:eastAsia="Times New Roman" w:hAnsi="Times New Roman"/>
                <w:sz w:val="17"/>
                <w:szCs w:val="17"/>
                <w:b w:val="1"/>
                <w:bCs w:val="1"/>
                <w:color w:val="auto"/>
              </w:rPr>
              <w:t>Earnings Per Weighted Average Class A and Class C Common Share -</w:t>
            </w: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r>
      <w:tr>
        <w:trPr>
          <w:trHeight w:val="212"/>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4"/>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Per Class A Common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0.4171</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0.3891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1.2306</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1.1454</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5460" w:type="dxa"/>
            <w:vAlign w:val="bottom"/>
          </w:tcPr>
          <w:p>
            <w:pPr>
              <w:ind w:left="20"/>
              <w:spacing w:after="0" w:line="199" w:lineRule="exact"/>
              <w:rPr>
                <w:sz w:val="20"/>
                <w:szCs w:val="20"/>
                <w:color w:val="auto"/>
              </w:rPr>
            </w:pPr>
            <w:r>
              <w:rPr>
                <w:rFonts w:ascii="Times New Roman" w:cs="Times New Roman" w:eastAsia="Times New Roman" w:hAnsi="Times New Roman"/>
                <w:sz w:val="18"/>
                <w:szCs w:val="18"/>
                <w:b w:val="1"/>
                <w:bCs w:val="1"/>
                <w:color w:val="auto"/>
              </w:rPr>
              <w:t>Dividends Per Class C Common Share</w:t>
            </w:r>
          </w:p>
        </w:tc>
        <w:tc>
          <w:tcPr>
            <w:tcW w:w="12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0.4171</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2"/>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0.3891</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2"/>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1.2306</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2"/>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1.1454</w:t>
            </w:r>
          </w:p>
        </w:tc>
      </w:tr>
      <w:tr>
        <w:trPr>
          <w:trHeight w:val="20"/>
        </w:trPr>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757"/>
        </w:trPr>
        <w:tc>
          <w:tcPr>
            <w:tcW w:w="5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1074"/>
              <w:spacing w:after="0"/>
              <w:rPr>
                <w:sz w:val="20"/>
                <w:szCs w:val="20"/>
                <w:color w:val="auto"/>
              </w:rPr>
            </w:pPr>
            <w:r>
              <w:rPr>
                <w:rFonts w:ascii="Times New Roman" w:cs="Times New Roman" w:eastAsia="Times New Roman" w:hAnsi="Times New Roman"/>
                <w:sz w:val="16"/>
                <w:szCs w:val="16"/>
                <w:color w:val="auto"/>
                <w:w w:val="74"/>
              </w:rPr>
              <w:t>6</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240"/>
          </w:cols>
          <w:pgMar w:left="320" w:top="981" w:right="339" w:bottom="1440" w:gutter="0" w:footer="0" w:header="0"/>
          <w:type w:val="continuous"/>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4"/>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520" w:type="dxa"/>
            <w:vAlign w:val="bottom"/>
            <w:gridSpan w:val="2"/>
            <w:vMerge w:val="continue"/>
          </w:tcPr>
          <w:p>
            <w:pPr>
              <w:spacing w:after="0"/>
              <w:rPr>
                <w:sz w:val="12"/>
                <w:szCs w:val="12"/>
                <w:color w:val="auto"/>
              </w:rPr>
            </w:pPr>
          </w:p>
        </w:tc>
        <w:tc>
          <w:tcPr>
            <w:tcW w:w="940" w:type="dxa"/>
            <w:vAlign w:val="bottom"/>
          </w:tcPr>
          <w:p>
            <w:pPr>
              <w:jc w:val="right"/>
              <w:ind w:right="64"/>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ind w:right="183"/>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right"/>
              <w:ind w:right="443"/>
              <w:spacing w:after="0" w:line="139"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442"/>
              <w:spacing w:after="0" w:line="139"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940" w:type="dxa"/>
            <w:vAlign w:val="bottom"/>
            <w:shd w:val="clear" w:color="auto" w:fill="CCEEFF"/>
          </w:tcPr>
          <w:p>
            <w:pPr>
              <w:jc w:val="right"/>
              <w:ind w:right="784"/>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27</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23"/>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Other Comprehensive (Loss) Income</w:t>
            </w: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shd w:val="clear" w:color="auto" w:fill="CCEEFF"/>
          </w:tcPr>
          <w:p>
            <w:pPr>
              <w:spacing w:after="0"/>
              <w:rPr>
                <w:sz w:val="15"/>
                <w:szCs w:val="15"/>
                <w:color w:val="auto"/>
              </w:rPr>
            </w:pPr>
          </w:p>
        </w:tc>
        <w:tc>
          <w:tcPr>
            <w:tcW w:w="5520" w:type="dxa"/>
            <w:vAlign w:val="bottom"/>
            <w:gridSpan w:val="2"/>
            <w:shd w:val="clear" w:color="auto" w:fill="CCEEFF"/>
          </w:tcPr>
          <w:p>
            <w:pPr>
              <w:ind w:left="120"/>
              <w:spacing w:after="0" w:line="174" w:lineRule="exact"/>
              <w:rPr>
                <w:sz w:val="20"/>
                <w:szCs w:val="20"/>
                <w:color w:val="auto"/>
              </w:rPr>
            </w:pPr>
            <w:r>
              <w:rPr>
                <w:rFonts w:ascii="Times New Roman" w:cs="Times New Roman" w:eastAsia="Times New Roman" w:hAnsi="Times New Roman"/>
                <w:sz w:val="18"/>
                <w:szCs w:val="18"/>
                <w:color w:val="auto"/>
                <w:w w:val="99"/>
              </w:rPr>
              <w:t>Unrealized (loss) gain on derivatives and changes in accumulated OCI, net</w:t>
            </w:r>
          </w:p>
        </w:tc>
        <w:tc>
          <w:tcPr>
            <w:tcW w:w="9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5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of income tax (benefit) expense of $(2), $1, $(2), and $1</w:t>
            </w:r>
          </w:p>
        </w:tc>
        <w:tc>
          <w:tcPr>
            <w:tcW w:w="94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(13)</w:t>
            </w:r>
          </w:p>
        </w:tc>
        <w:tc>
          <w:tcPr>
            <w:tcW w:w="100" w:type="dxa"/>
            <w:vAlign w:val="bottom"/>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55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9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(13)</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14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20" w:type="dxa"/>
            <w:vAlign w:val="bottom"/>
            <w:gridSpan w:val="2"/>
          </w:tcPr>
          <w:p>
            <w:pPr>
              <w:ind w:left="120"/>
              <w:spacing w:after="0" w:line="172" w:lineRule="exact"/>
              <w:rPr>
                <w:sz w:val="20"/>
                <w:szCs w:val="20"/>
                <w:color w:val="auto"/>
              </w:rPr>
            </w:pPr>
            <w:r>
              <w:rPr>
                <w:rFonts w:ascii="Times New Roman" w:cs="Times New Roman" w:eastAsia="Times New Roman" w:hAnsi="Times New Roman"/>
                <w:sz w:val="18"/>
                <w:szCs w:val="18"/>
                <w:color w:val="auto"/>
              </w:rPr>
              <w:t>Less: Comprehensive (loss) income attributable to noncontrolling interests</w:t>
            </w: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tcPr>
          <w:p>
            <w:pPr>
              <w:spacing w:after="0"/>
              <w:rPr>
                <w:sz w:val="20"/>
                <w:szCs w:val="20"/>
                <w:color w:val="auto"/>
              </w:rPr>
            </w:pPr>
          </w:p>
        </w:tc>
        <w:tc>
          <w:tcPr>
            <w:tcW w:w="552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8"/>
                <w:szCs w:val="18"/>
                <w:color w:val="auto"/>
              </w:rPr>
              <w:t>and redeemable noncontrolling interests</w:t>
            </w:r>
          </w:p>
        </w:tc>
        <w:tc>
          <w:tcPr>
            <w:tcW w:w="9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(18)</w:t>
            </w: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19"/>
                <w:szCs w:val="19"/>
                <w:color w:val="auto"/>
              </w:rPr>
            </w:pPr>
          </w:p>
        </w:tc>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Income Attributable to Clearway Energy, Inc.</w:t>
            </w:r>
          </w:p>
        </w:tc>
        <w:tc>
          <w:tcPr>
            <w:tcW w:w="940" w:type="dxa"/>
            <w:vAlign w:val="bottom"/>
            <w:tcBorders>
              <w:bottom w:val="single" w:sz="8" w:color="auto"/>
            </w:tcBorders>
            <w:shd w:val="clear" w:color="auto" w:fill="CCEEFF"/>
          </w:tcPr>
          <w:p>
            <w:pPr>
              <w:jc w:val="right"/>
              <w:ind w:right="784"/>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23"/>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940" w:type="dxa"/>
            <w:vAlign w:val="bottom"/>
          </w:tcPr>
          <w:p>
            <w:pPr>
              <w:jc w:val="right"/>
              <w:ind w:right="784"/>
              <w:spacing w:after="0"/>
              <w:rPr>
                <w:sz w:val="20"/>
                <w:szCs w:val="20"/>
                <w:color w:val="auto"/>
              </w:rPr>
            </w:pPr>
            <w:r>
              <w:rPr>
                <w:rFonts w:ascii="Times New Roman" w:cs="Times New Roman" w:eastAsia="Times New Roman" w:hAnsi="Times New Roman"/>
                <w:sz w:val="16"/>
                <w:szCs w:val="16"/>
                <w:color w:val="auto"/>
                <w:w w:val="74"/>
              </w:rPr>
              <w:t>7</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875" w:right="35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 except shares)</w:t>
            </w:r>
          </w:p>
        </w:tc>
        <w:tc>
          <w:tcPr>
            <w:tcW w:w="14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6"/>
                <w:szCs w:val="16"/>
                <w:color w:val="auto"/>
              </w:rPr>
            </w:pPr>
          </w:p>
        </w:tc>
        <w:tc>
          <w:tcPr>
            <w:tcW w:w="140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4"/>
        </w:trPr>
        <w:tc>
          <w:tcPr>
            <w:tcW w:w="7660" w:type="dxa"/>
            <w:vAlign w:val="bottom"/>
            <w:vMerge w:val="restart"/>
          </w:tcPr>
          <w:p>
            <w:pPr>
              <w:ind w:left="35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tcBorders>
              <w:bottom w:val="single" w:sz="8" w:color="CCEEFF"/>
            </w:tcBorders>
            <w:vMerge w:val="continue"/>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0" w:type="dxa"/>
            <w:vAlign w:val="bottom"/>
          </w:tcPr>
          <w:p>
            <w:pPr>
              <w:spacing w:after="0"/>
              <w:rPr>
                <w:sz w:val="1"/>
                <w:szCs w:val="1"/>
                <w:color w:val="auto"/>
              </w:rPr>
            </w:pPr>
          </w:p>
        </w:tc>
      </w:tr>
      <w:tr>
        <w:trPr>
          <w:trHeight w:val="214"/>
        </w:trPr>
        <w:tc>
          <w:tcPr>
            <w:tcW w:w="7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0" w:type="dxa"/>
            <w:vAlign w:val="bottom"/>
          </w:tcPr>
          <w:p>
            <w:pPr>
              <w:spacing w:after="0"/>
              <w:rPr>
                <w:sz w:val="1"/>
                <w:szCs w:val="1"/>
                <w:color w:val="auto"/>
              </w:rPr>
            </w:pPr>
          </w:p>
        </w:tc>
      </w:tr>
      <w:tr>
        <w:trPr>
          <w:trHeight w:val="210"/>
        </w:trPr>
        <w:tc>
          <w:tcPr>
            <w:tcW w:w="7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receivable — trade</w:t>
            </w:r>
          </w:p>
        </w:tc>
        <w:tc>
          <w:tcPr>
            <w:tcW w:w="14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214"/>
        </w:trPr>
        <w:tc>
          <w:tcPr>
            <w:tcW w:w="7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Inventory</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0"/>
        </w:trPr>
        <w:tc>
          <w:tcPr>
            <w:tcW w:w="7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Derivative instruments</w:t>
            </w:r>
          </w:p>
        </w:tc>
        <w:tc>
          <w:tcPr>
            <w:tcW w:w="14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4"/>
        </w:trPr>
        <w:tc>
          <w:tcPr>
            <w:tcW w:w="7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Note receivable — affiliate</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10"/>
        </w:trPr>
        <w:tc>
          <w:tcPr>
            <w:tcW w:w="76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08"/>
        </w:trPr>
        <w:tc>
          <w:tcPr>
            <w:tcW w:w="7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1,051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0" w:type="dxa"/>
            <w:vAlign w:val="bottom"/>
          </w:tcPr>
          <w:p>
            <w:pPr>
              <w:spacing w:after="0"/>
              <w:rPr>
                <w:sz w:val="1"/>
                <w:szCs w:val="1"/>
                <w:color w:val="auto"/>
              </w:rPr>
            </w:pPr>
          </w:p>
        </w:tc>
      </w:tr>
      <w:tr>
        <w:trPr>
          <w:trHeight w:val="206"/>
        </w:trPr>
        <w:tc>
          <w:tcPr>
            <w:tcW w:w="7660" w:type="dxa"/>
            <w:vAlign w:val="bottom"/>
            <w:tcBorders>
              <w:bottom w:val="single" w:sz="8" w:color="CCEEFF"/>
            </w:tcBorders>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9,895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9,526</w:t>
            </w:r>
          </w:p>
        </w:tc>
        <w:tc>
          <w:tcPr>
            <w:tcW w:w="0" w:type="dxa"/>
            <w:vAlign w:val="bottom"/>
          </w:tcPr>
          <w:p>
            <w:pPr>
              <w:spacing w:after="0"/>
              <w:rPr>
                <w:sz w:val="1"/>
                <w:szCs w:val="1"/>
                <w:color w:val="auto"/>
              </w:rPr>
            </w:pPr>
          </w:p>
        </w:tc>
      </w:tr>
      <w:tr>
        <w:trPr>
          <w:trHeight w:val="192"/>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Equity investments in affiliates</w:t>
            </w:r>
          </w:p>
        </w:tc>
        <w:tc>
          <w:tcPr>
            <w:tcW w:w="14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0" w:type="dxa"/>
            <w:vAlign w:val="bottom"/>
          </w:tcPr>
          <w:p>
            <w:pPr>
              <w:spacing w:after="0"/>
              <w:rPr>
                <w:sz w:val="1"/>
                <w:szCs w:val="1"/>
                <w:color w:val="auto"/>
              </w:rPr>
            </w:pPr>
          </w:p>
        </w:tc>
      </w:tr>
      <w:tr>
        <w:trPr>
          <w:trHeight w:val="214"/>
        </w:trPr>
        <w:tc>
          <w:tcPr>
            <w:tcW w:w="7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Intangible assets for power purchase agreements, net</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w:t>
            </w:r>
          </w:p>
        </w:tc>
        <w:tc>
          <w:tcPr>
            <w:tcW w:w="0" w:type="dxa"/>
            <w:vAlign w:val="bottom"/>
          </w:tcPr>
          <w:p>
            <w:pPr>
              <w:spacing w:after="0"/>
              <w:rPr>
                <w:sz w:val="1"/>
                <w:szCs w:val="1"/>
                <w:color w:val="auto"/>
              </w:rPr>
            </w:pPr>
          </w:p>
        </w:tc>
      </w:tr>
      <w:tr>
        <w:trPr>
          <w:trHeight w:val="210"/>
        </w:trPr>
        <w:tc>
          <w:tcPr>
            <w:tcW w:w="7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4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4"/>
        </w:trPr>
        <w:tc>
          <w:tcPr>
            <w:tcW w:w="7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Derivative instruments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0"/>
        </w:trPr>
        <w:tc>
          <w:tcPr>
            <w:tcW w:w="7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Right-of-use assets, net</w:t>
            </w:r>
          </w:p>
        </w:tc>
        <w:tc>
          <w:tcPr>
            <w:tcW w:w="14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0" w:type="dxa"/>
            <w:vAlign w:val="bottom"/>
          </w:tcPr>
          <w:p>
            <w:pPr>
              <w:spacing w:after="0"/>
              <w:rPr>
                <w:sz w:val="1"/>
                <w:szCs w:val="1"/>
                <w:color w:val="auto"/>
              </w:rPr>
            </w:pPr>
          </w:p>
        </w:tc>
      </w:tr>
      <w:tr>
        <w:trPr>
          <w:trHeight w:val="214"/>
        </w:trPr>
        <w:tc>
          <w:tcPr>
            <w:tcW w:w="7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non-current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0" w:type="dxa"/>
            <w:vAlign w:val="bottom"/>
          </w:tcPr>
          <w:p>
            <w:pPr>
              <w:spacing w:after="0"/>
              <w:rPr>
                <w:sz w:val="1"/>
                <w:szCs w:val="1"/>
                <w:color w:val="auto"/>
              </w:rPr>
            </w:pPr>
          </w:p>
        </w:tc>
      </w:tr>
      <w:tr>
        <w:trPr>
          <w:trHeight w:val="203"/>
        </w:trPr>
        <w:tc>
          <w:tcPr>
            <w:tcW w:w="76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other assets</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3,303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3,615</w:t>
            </w:r>
          </w:p>
        </w:tc>
        <w:tc>
          <w:tcPr>
            <w:tcW w:w="0" w:type="dxa"/>
            <w:vAlign w:val="bottom"/>
          </w:tcPr>
          <w:p>
            <w:pPr>
              <w:spacing w:after="0"/>
              <w:rPr>
                <w:sz w:val="1"/>
                <w:szCs w:val="1"/>
                <w:color w:val="auto"/>
              </w:rPr>
            </w:pPr>
          </w:p>
        </w:tc>
      </w:tr>
      <w:tr>
        <w:trPr>
          <w:trHeight w:val="233"/>
        </w:trPr>
        <w:tc>
          <w:tcPr>
            <w:tcW w:w="7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14,249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14,701</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210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0" w:type="dxa"/>
            <w:vAlign w:val="bottom"/>
          </w:tcPr>
          <w:p>
            <w:pPr>
              <w:spacing w:after="0"/>
              <w:rPr>
                <w:sz w:val="1"/>
                <w:szCs w:val="1"/>
                <w:color w:val="auto"/>
              </w:rPr>
            </w:pPr>
          </w:p>
        </w:tc>
      </w:tr>
      <w:tr>
        <w:trPr>
          <w:trHeight w:val="214"/>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 — trade</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10"/>
        </w:trPr>
        <w:tc>
          <w:tcPr>
            <w:tcW w:w="7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 — affiliates</w:t>
            </w:r>
          </w:p>
        </w:tc>
        <w:tc>
          <w:tcPr>
            <w:tcW w:w="14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4"/>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Derivative instruments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0"/>
        </w:trPr>
        <w:tc>
          <w:tcPr>
            <w:tcW w:w="7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interest expense</w:t>
            </w:r>
          </w:p>
        </w:tc>
        <w:tc>
          <w:tcPr>
            <w:tcW w:w="14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14"/>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03"/>
        </w:trPr>
        <w:tc>
          <w:tcPr>
            <w:tcW w:w="76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661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0" w:type="dxa"/>
            <w:vAlign w:val="bottom"/>
          </w:tcPr>
          <w:p>
            <w:pPr>
              <w:spacing w:after="0"/>
              <w:rPr>
                <w:sz w:val="1"/>
                <w:szCs w:val="1"/>
                <w:color w:val="auto"/>
              </w:rPr>
            </w:pPr>
          </w:p>
        </w:tc>
      </w:tr>
      <w:tr>
        <w:trPr>
          <w:trHeight w:val="194"/>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debt</w:t>
            </w:r>
          </w:p>
        </w:tc>
        <w:tc>
          <w:tcPr>
            <w:tcW w:w="14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6,732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7,479</w:t>
            </w:r>
          </w:p>
        </w:tc>
        <w:tc>
          <w:tcPr>
            <w:tcW w:w="0" w:type="dxa"/>
            <w:vAlign w:val="bottom"/>
          </w:tcPr>
          <w:p>
            <w:pPr>
              <w:spacing w:after="0"/>
              <w:rPr>
                <w:sz w:val="1"/>
                <w:szCs w:val="1"/>
                <w:color w:val="auto"/>
              </w:rPr>
            </w:pPr>
          </w:p>
        </w:tc>
      </w:tr>
      <w:tr>
        <w:trPr>
          <w:trHeight w:val="214"/>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10"/>
        </w:trPr>
        <w:tc>
          <w:tcPr>
            <w:tcW w:w="7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Derivative instruments</w:t>
            </w:r>
          </w:p>
        </w:tc>
        <w:tc>
          <w:tcPr>
            <w:tcW w:w="14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214"/>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0" w:type="dxa"/>
            <w:vAlign w:val="bottom"/>
          </w:tcPr>
          <w:p>
            <w:pPr>
              <w:spacing w:after="0"/>
              <w:rPr>
                <w:sz w:val="1"/>
                <w:szCs w:val="1"/>
                <w:color w:val="auto"/>
              </w:rPr>
            </w:pPr>
          </w:p>
        </w:tc>
      </w:tr>
      <w:tr>
        <w:trPr>
          <w:trHeight w:val="210"/>
        </w:trPr>
        <w:tc>
          <w:tcPr>
            <w:tcW w:w="7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08"/>
        </w:trPr>
        <w:tc>
          <w:tcPr>
            <w:tcW w:w="7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other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7,955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8,800</w:t>
            </w:r>
          </w:p>
        </w:tc>
        <w:tc>
          <w:tcPr>
            <w:tcW w:w="0" w:type="dxa"/>
            <w:vAlign w:val="bottom"/>
          </w:tcPr>
          <w:p>
            <w:pPr>
              <w:spacing w:after="0"/>
              <w:rPr>
                <w:sz w:val="1"/>
                <w:szCs w:val="1"/>
                <w:color w:val="auto"/>
              </w:rPr>
            </w:pPr>
          </w:p>
        </w:tc>
      </w:tr>
      <w:tr>
        <w:trPr>
          <w:trHeight w:val="203"/>
        </w:trPr>
        <w:tc>
          <w:tcPr>
            <w:tcW w:w="7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8,616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9,706</w:t>
            </w:r>
          </w:p>
        </w:tc>
        <w:tc>
          <w:tcPr>
            <w:tcW w:w="0" w:type="dxa"/>
            <w:vAlign w:val="bottom"/>
          </w:tcPr>
          <w:p>
            <w:pPr>
              <w:spacing w:after="0"/>
              <w:rPr>
                <w:sz w:val="1"/>
                <w:szCs w:val="1"/>
                <w:color w:val="auto"/>
              </w:rPr>
            </w:pPr>
          </w:p>
        </w:tc>
      </w:tr>
      <w:tr>
        <w:trPr>
          <w:trHeight w:val="208"/>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Redeemable noncontrolling interest in subsidiaries</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1"/>
        </w:trPr>
        <w:tc>
          <w:tcPr>
            <w:tcW w:w="7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none issued</w:t>
            </w:r>
          </w:p>
        </w:tc>
        <w:tc>
          <w:tcPr>
            <w:tcW w:w="1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1"/>
        </w:trPr>
        <w:tc>
          <w:tcPr>
            <w:tcW w:w="7660" w:type="dxa"/>
            <w:vAlign w:val="bottom"/>
            <w:shd w:val="clear" w:color="auto" w:fill="CCEEFF"/>
          </w:tcPr>
          <w:p>
            <w:pPr>
              <w:ind w:left="120"/>
              <w:spacing w:after="0" w:line="161" w:lineRule="exact"/>
              <w:rPr>
                <w:sz w:val="20"/>
                <w:szCs w:val="20"/>
                <w:color w:val="auto"/>
              </w:rPr>
            </w:pPr>
            <w:r>
              <w:rPr>
                <w:rFonts w:ascii="Times New Roman" w:cs="Times New Roman" w:eastAsia="Times New Roman" w:hAnsi="Times New Roman"/>
                <w:sz w:val="16"/>
                <w:szCs w:val="16"/>
                <w:color w:val="auto"/>
              </w:rPr>
              <w:t>Class A, Class B, Class C and Class D common stock, $0.01 par value; 3,000,000,000 shares authorized (Class A</w:t>
            </w: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660" w:type="dxa"/>
            <w:vAlign w:val="bottom"/>
            <w:shd w:val="clear" w:color="auto" w:fill="CCEEFF"/>
          </w:tcPr>
          <w:p>
            <w:pPr>
              <w:ind w:left="120"/>
              <w:spacing w:after="0" w:line="159" w:lineRule="exact"/>
              <w:rPr>
                <w:sz w:val="20"/>
                <w:szCs w:val="20"/>
                <w:color w:val="auto"/>
              </w:rPr>
            </w:pPr>
            <w:r>
              <w:rPr>
                <w:rFonts w:ascii="Times New Roman" w:cs="Times New Roman" w:eastAsia="Times New Roman" w:hAnsi="Times New Roman"/>
                <w:sz w:val="16"/>
                <w:szCs w:val="16"/>
                <w:color w:val="auto"/>
              </w:rPr>
              <w:t>500,000,000, Class B 500,000,000, Class C 1,000,000,000, Class D 1,000,000,000); 202,143,697 shares issued and</w:t>
            </w:r>
          </w:p>
        </w:tc>
        <w:tc>
          <w:tcPr>
            <w:tcW w:w="1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660" w:type="dxa"/>
            <w:vAlign w:val="bottom"/>
            <w:shd w:val="clear" w:color="auto" w:fill="CCEEFF"/>
          </w:tcPr>
          <w:p>
            <w:pPr>
              <w:ind w:left="120"/>
              <w:spacing w:after="0" w:line="159" w:lineRule="exact"/>
              <w:rPr>
                <w:sz w:val="20"/>
                <w:szCs w:val="20"/>
                <w:color w:val="auto"/>
              </w:rPr>
            </w:pPr>
            <w:r>
              <w:rPr>
                <w:rFonts w:ascii="Times New Roman" w:cs="Times New Roman" w:eastAsia="Times New Roman" w:hAnsi="Times New Roman"/>
                <w:sz w:val="16"/>
                <w:szCs w:val="16"/>
                <w:color w:val="auto"/>
              </w:rPr>
              <w:t>outstanding (Class A 34,613,853, Class B 42,738,750, Class C 82,829,344, Class D 41,961,750) at September 30,</w:t>
            </w:r>
          </w:p>
        </w:tc>
        <w:tc>
          <w:tcPr>
            <w:tcW w:w="1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660" w:type="dxa"/>
            <w:vAlign w:val="bottom"/>
            <w:shd w:val="clear" w:color="auto" w:fill="CCEEFF"/>
          </w:tcPr>
          <w:p>
            <w:pPr>
              <w:ind w:left="120"/>
              <w:spacing w:after="0" w:line="159" w:lineRule="exact"/>
              <w:rPr>
                <w:sz w:val="20"/>
                <w:szCs w:val="20"/>
                <w:color w:val="auto"/>
              </w:rPr>
            </w:pPr>
            <w:r>
              <w:rPr>
                <w:rFonts w:ascii="Times New Roman" w:cs="Times New Roman" w:eastAsia="Times New Roman" w:hAnsi="Times New Roman"/>
                <w:sz w:val="16"/>
                <w:szCs w:val="16"/>
                <w:color w:val="auto"/>
              </w:rPr>
              <w:t>2024 and 202,080,794 shares issued and outstanding (Class A 34,613,853, Class B 42,738,750, Class C 82,391,441,</w:t>
            </w:r>
          </w:p>
        </w:tc>
        <w:tc>
          <w:tcPr>
            <w:tcW w:w="14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Class D 42,336,750) at December 31, 2023</w:t>
            </w:r>
          </w:p>
        </w:tc>
        <w:tc>
          <w:tcPr>
            <w:tcW w:w="14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1,732</w:t>
            </w:r>
          </w:p>
        </w:tc>
        <w:tc>
          <w:tcPr>
            <w:tcW w:w="0" w:type="dxa"/>
            <w:vAlign w:val="bottom"/>
          </w:tcPr>
          <w:p>
            <w:pPr>
              <w:spacing w:after="0"/>
              <w:rPr>
                <w:sz w:val="1"/>
                <w:szCs w:val="1"/>
                <w:color w:val="auto"/>
              </w:rPr>
            </w:pPr>
          </w:p>
        </w:tc>
      </w:tr>
      <w:tr>
        <w:trPr>
          <w:trHeight w:val="214"/>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0" w:type="dxa"/>
            <w:vAlign w:val="bottom"/>
          </w:tcPr>
          <w:p>
            <w:pPr>
              <w:spacing w:after="0"/>
              <w:rPr>
                <w:sz w:val="1"/>
                <w:szCs w:val="1"/>
                <w:color w:val="auto"/>
              </w:rPr>
            </w:pPr>
          </w:p>
        </w:tc>
      </w:tr>
      <w:tr>
        <w:trPr>
          <w:trHeight w:val="210"/>
        </w:trPr>
        <w:tc>
          <w:tcPr>
            <w:tcW w:w="7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4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4"/>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3,490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2,893</w:t>
            </w:r>
          </w:p>
        </w:tc>
        <w:tc>
          <w:tcPr>
            <w:tcW w:w="0" w:type="dxa"/>
            <w:vAlign w:val="bottom"/>
          </w:tcPr>
          <w:p>
            <w:pPr>
              <w:spacing w:after="0"/>
              <w:rPr>
                <w:sz w:val="1"/>
                <w:szCs w:val="1"/>
                <w:color w:val="auto"/>
              </w:rPr>
            </w:pPr>
          </w:p>
        </w:tc>
      </w:tr>
      <w:tr>
        <w:trPr>
          <w:trHeight w:val="203"/>
        </w:trPr>
        <w:tc>
          <w:tcPr>
            <w:tcW w:w="7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5,624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4,994</w:t>
            </w:r>
          </w:p>
        </w:tc>
        <w:tc>
          <w:tcPr>
            <w:tcW w:w="0" w:type="dxa"/>
            <w:vAlign w:val="bottom"/>
          </w:tcPr>
          <w:p>
            <w:pPr>
              <w:spacing w:after="0"/>
              <w:rPr>
                <w:sz w:val="1"/>
                <w:szCs w:val="1"/>
                <w:color w:val="auto"/>
              </w:rPr>
            </w:pPr>
          </w:p>
        </w:tc>
      </w:tr>
      <w:tr>
        <w:trPr>
          <w:trHeight w:val="233"/>
        </w:trPr>
        <w:tc>
          <w:tcPr>
            <w:tcW w:w="7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14,249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14,701</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5360"/>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7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540" w:top="557" w:right="5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8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5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5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3"/>
        </w:trPr>
        <w:tc>
          <w:tcPr>
            <w:tcW w:w="8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Adjustments to reconcile net (loss) income to net cash provided by operating activities: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4"/>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Distributions from unconsolidated affiliates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0"/>
        </w:trPr>
        <w:tc>
          <w:tcPr>
            <w:tcW w:w="8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0" w:type="dxa"/>
            <w:vAlign w:val="bottom"/>
          </w:tcPr>
          <w:p>
            <w:pPr>
              <w:spacing w:after="0"/>
              <w:rPr>
                <w:sz w:val="1"/>
                <w:szCs w:val="1"/>
                <w:color w:val="auto"/>
              </w:rPr>
            </w:pPr>
          </w:p>
        </w:tc>
      </w:tr>
      <w:tr>
        <w:trPr>
          <w:trHeight w:val="214"/>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financing costs and debt discounts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0"/>
        </w:trPr>
        <w:tc>
          <w:tcPr>
            <w:tcW w:w="8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14"/>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Reduction in carrying amount of right-of-use assets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4"/>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deferred income taxes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10"/>
        </w:trPr>
        <w:tc>
          <w:tcPr>
            <w:tcW w:w="8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derivative instruments and amortization of accumulated OCI</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4"/>
        </w:trPr>
        <w:tc>
          <w:tcPr>
            <w:tcW w:w="8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provided by (used in) changes in other working capital:</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prepaid and accrued liabilities for tolling agreements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4"/>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other working capital</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03"/>
        </w:trPr>
        <w:tc>
          <w:tcPr>
            <w:tcW w:w="8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0" w:type="dxa"/>
            <w:vAlign w:val="bottom"/>
          </w:tcPr>
          <w:p>
            <w:pPr>
              <w:spacing w:after="0"/>
              <w:rPr>
                <w:sz w:val="1"/>
                <w:szCs w:val="1"/>
                <w:color w:val="auto"/>
              </w:rPr>
            </w:pPr>
          </w:p>
        </w:tc>
      </w:tr>
      <w:tr>
        <w:trPr>
          <w:trHeight w:val="194"/>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 of Drop Down Assets, net of cash acquired</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4"/>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Capital expenditures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10"/>
        </w:trPr>
        <w:tc>
          <w:tcPr>
            <w:tcW w:w="8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Return of investment from unconsolidated affiliates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28"/>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Decrease (increase) in note receivable — affiliate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26"/>
        </w:trPr>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2"/>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3"/>
        </w:trPr>
        <w:tc>
          <w:tcPr>
            <w:tcW w:w="8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0" w:type="dxa"/>
            <w:vAlign w:val="bottom"/>
          </w:tcPr>
          <w:p>
            <w:pPr>
              <w:spacing w:after="0"/>
              <w:rPr>
                <w:sz w:val="1"/>
                <w:szCs w:val="1"/>
                <w:color w:val="auto"/>
              </w:rPr>
            </w:pPr>
          </w:p>
        </w:tc>
      </w:tr>
      <w:tr>
        <w:trPr>
          <w:trHeight w:val="194"/>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Contributions from noncontrolling interests, net of distributions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0" w:type="dxa"/>
            <w:vAlign w:val="bottom"/>
          </w:tcPr>
          <w:p>
            <w:pPr>
              <w:spacing w:after="0"/>
              <w:rPr>
                <w:sz w:val="1"/>
                <w:szCs w:val="1"/>
                <w:color w:val="auto"/>
              </w:rPr>
            </w:pPr>
          </w:p>
        </w:tc>
      </w:tr>
      <w:tr>
        <w:trPr>
          <w:trHeight w:val="214"/>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of dividends and distributions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226"/>
        </w:trPr>
        <w:tc>
          <w:tcPr>
            <w:tcW w:w="8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Tax-related distributions</w:t>
            </w: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2"/>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the issuance of long-term debt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0" w:type="dxa"/>
            <w:vAlign w:val="bottom"/>
          </w:tcPr>
          <w:p>
            <w:pPr>
              <w:spacing w:after="0"/>
              <w:rPr>
                <w:sz w:val="1"/>
                <w:szCs w:val="1"/>
                <w:color w:val="auto"/>
              </w:rPr>
            </w:pPr>
          </w:p>
        </w:tc>
      </w:tr>
      <w:tr>
        <w:trPr>
          <w:trHeight w:val="210"/>
        </w:trPr>
        <w:tc>
          <w:tcPr>
            <w:tcW w:w="8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4"/>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Payments for long-term debt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0"/>
        </w:trPr>
        <w:tc>
          <w:tcPr>
            <w:tcW w:w="8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8"/>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Increase in Cash, Cash Equivalents and Restricted Cash</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13"/>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0" w:type="dxa"/>
            <w:vAlign w:val="bottom"/>
          </w:tcPr>
          <w:p>
            <w:pPr>
              <w:spacing w:after="0"/>
              <w:rPr>
                <w:sz w:val="1"/>
                <w:szCs w:val="1"/>
                <w:color w:val="auto"/>
              </w:rPr>
            </w:pPr>
          </w:p>
        </w:tc>
      </w:tr>
      <w:tr>
        <w:trPr>
          <w:trHeight w:val="207"/>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5580"/>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0"/>
        </w:trPr>
        <w:tc>
          <w:tcPr>
            <w:tcW w:w="85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56" w:right="339" w:bottom="1440" w:gutter="0" w:footer="0" w:header="0"/>
        </w:sectPr>
      </w:pPr>
    </w:p>
    <w:bookmarkStart w:id="12" w:name="page13"/>
    <w:bookmarkEnd w:id="12"/>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64"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64"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w:t>
      </w:r>
    </w:p>
    <w:p>
      <w:pPr>
        <w:spacing w:after="0" w:line="164"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ind w:right="71"/>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19"/>
        </w:trPr>
        <w:tc>
          <w:tcPr>
            <w:tcW w:w="4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2"/>
                <w:szCs w:val="12"/>
                <w:b w:val="1"/>
                <w:bCs w:val="1"/>
                <w:color w:val="auto"/>
              </w:rPr>
              <w:t>Other</w:t>
            </w: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Preferred</w:t>
            </w:r>
          </w:p>
        </w:tc>
        <w:tc>
          <w:tcPr>
            <w:tcW w:w="100" w:type="dxa"/>
            <w:vAlign w:val="bottom"/>
          </w:tcPr>
          <w:p>
            <w:pPr>
              <w:spacing w:after="0"/>
              <w:rPr>
                <w:sz w:val="11"/>
                <w:szCs w:val="11"/>
                <w:color w:val="auto"/>
              </w:rPr>
            </w:pPr>
          </w:p>
        </w:tc>
        <w:tc>
          <w:tcPr>
            <w:tcW w:w="70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2"/>
                <w:szCs w:val="12"/>
                <w:b w:val="1"/>
                <w:bCs w:val="1"/>
                <w:color w:val="auto"/>
              </w:rPr>
              <w:t>Common</w:t>
            </w:r>
          </w:p>
        </w:tc>
        <w:tc>
          <w:tcPr>
            <w:tcW w:w="100" w:type="dxa"/>
            <w:vAlign w:val="bottom"/>
          </w:tcPr>
          <w:p>
            <w:pPr>
              <w:spacing w:after="0"/>
              <w:rPr>
                <w:sz w:val="11"/>
                <w:szCs w:val="11"/>
                <w:color w:val="auto"/>
              </w:rPr>
            </w:pPr>
          </w:p>
        </w:tc>
        <w:tc>
          <w:tcPr>
            <w:tcW w:w="780" w:type="dxa"/>
            <w:vAlign w:val="bottom"/>
            <w:gridSpan w:val="2"/>
          </w:tcPr>
          <w:p>
            <w:pPr>
              <w:jc w:val="center"/>
              <w:ind w:right="180"/>
              <w:spacing w:after="0" w:line="133" w:lineRule="exact"/>
              <w:rPr>
                <w:sz w:val="20"/>
                <w:szCs w:val="20"/>
                <w:color w:val="auto"/>
              </w:rPr>
            </w:pPr>
            <w:r>
              <w:rPr>
                <w:rFonts w:ascii="Times New Roman" w:cs="Times New Roman" w:eastAsia="Times New Roman" w:hAnsi="Times New Roman"/>
                <w:sz w:val="12"/>
                <w:szCs w:val="12"/>
                <w:b w:val="1"/>
                <w:bCs w:val="1"/>
                <w:color w:val="auto"/>
              </w:rPr>
              <w:t>Paid-In</w:t>
            </w:r>
          </w:p>
        </w:tc>
        <w:tc>
          <w:tcPr>
            <w:tcW w:w="16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00" w:type="dxa"/>
            <w:vAlign w:val="bottom"/>
          </w:tcPr>
          <w:p>
            <w:pPr>
              <w:spacing w:after="0"/>
              <w:rPr>
                <w:sz w:val="11"/>
                <w:szCs w:val="11"/>
                <w:color w:val="auto"/>
              </w:rPr>
            </w:pPr>
          </w:p>
        </w:tc>
        <w:tc>
          <w:tcPr>
            <w:tcW w:w="106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0" w:type="dxa"/>
            <w:vAlign w:val="bottom"/>
          </w:tcPr>
          <w:p>
            <w:pPr>
              <w:spacing w:after="0"/>
              <w:rPr>
                <w:sz w:val="11"/>
                <w:szCs w:val="11"/>
                <w:color w:val="auto"/>
              </w:rPr>
            </w:pPr>
          </w:p>
        </w:tc>
        <w:tc>
          <w:tcPr>
            <w:tcW w:w="1020" w:type="dxa"/>
            <w:vAlign w:val="bottom"/>
            <w:gridSpan w:val="2"/>
          </w:tcPr>
          <w:p>
            <w:pPr>
              <w:jc w:val="center"/>
              <w:ind w:right="180"/>
              <w:spacing w:after="0" w:line="133"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80" w:type="dxa"/>
            <w:vAlign w:val="bottom"/>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Stockholder</w:t>
            </w:r>
          </w:p>
        </w:tc>
        <w:tc>
          <w:tcPr>
            <w:tcW w:w="0" w:type="dxa"/>
            <w:vAlign w:val="bottom"/>
          </w:tcPr>
          <w:p>
            <w:pPr>
              <w:spacing w:after="0"/>
              <w:rPr>
                <w:sz w:val="1"/>
                <w:szCs w:val="1"/>
                <w:color w:val="auto"/>
              </w:rPr>
            </w:pPr>
          </w:p>
        </w:tc>
      </w:tr>
      <w:tr>
        <w:trPr>
          <w:trHeight w:val="167"/>
        </w:trPr>
        <w:tc>
          <w:tcPr>
            <w:tcW w:w="4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0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6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Income</w:t>
            </w:r>
          </w:p>
        </w:tc>
        <w:tc>
          <w:tcPr>
            <w:tcW w:w="8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Interest</w:t>
            </w:r>
          </w:p>
        </w:tc>
        <w:tc>
          <w:tcPr>
            <w:tcW w:w="80" w:type="dxa"/>
            <w:vAlign w:val="bottom"/>
          </w:tcPr>
          <w:p>
            <w:pPr>
              <w:spacing w:after="0"/>
              <w:rPr>
                <w:sz w:val="14"/>
                <w:szCs w:val="14"/>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97"/>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2,893</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91"/>
        </w:trPr>
        <w:tc>
          <w:tcPr>
            <w:tcW w:w="4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10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center"/>
              <w:ind w:left="511"/>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44"/>
        </w:trPr>
        <w:tc>
          <w:tcPr>
            <w:tcW w:w="4180" w:type="dxa"/>
            <w:vAlign w:val="bottom"/>
            <w:shd w:val="clear" w:color="auto" w:fill="CCEEFF"/>
          </w:tcPr>
          <w:p>
            <w:pPr>
              <w:ind w:left="200"/>
              <w:spacing w:after="0" w:line="144" w:lineRule="exact"/>
              <w:rPr>
                <w:sz w:val="20"/>
                <w:szCs w:val="20"/>
                <w:color w:val="auto"/>
              </w:rPr>
            </w:pPr>
            <w:r>
              <w:rPr>
                <w:rFonts w:ascii="Times New Roman" w:cs="Times New Roman" w:eastAsia="Times New Roman" w:hAnsi="Times New Roman"/>
                <w:sz w:val="14"/>
                <w:szCs w:val="14"/>
                <w:color w:val="auto"/>
              </w:rPr>
              <w:t>Unrealized (loss) gain on derivatives and changes in accumulated</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OCI, net of tax</w:t>
            </w: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Distributions to CEG, net of contributions, cash</w:t>
            </w:r>
          </w:p>
        </w:tc>
        <w:tc>
          <w:tcPr>
            <w:tcW w:w="10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Contributions from noncontrolling interests, net of distributions, cash</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center"/>
              <w:ind w:left="511"/>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1"/>
        </w:trPr>
        <w:tc>
          <w:tcPr>
            <w:tcW w:w="4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Transfers of assets under common control</w:t>
            </w:r>
          </w:p>
        </w:tc>
        <w:tc>
          <w:tcPr>
            <w:tcW w:w="10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center"/>
              <w:ind w:left="511"/>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Non-cash adjustments for change in tax basis</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Common stock dividends and distributions to CEG unit holders</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center"/>
              <w:ind w:left="511"/>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92"/>
        </w:trPr>
        <w:tc>
          <w:tcPr>
            <w:tcW w:w="4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March 31, 2024</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2,987</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91"/>
        </w:trPr>
        <w:tc>
          <w:tcPr>
            <w:tcW w:w="4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180" w:type="dxa"/>
            <w:vAlign w:val="bottom"/>
            <w:shd w:val="clear" w:color="auto" w:fill="CCEEFF"/>
          </w:tcPr>
          <w:p>
            <w:pPr>
              <w:ind w:left="200"/>
              <w:spacing w:after="0" w:line="144" w:lineRule="exact"/>
              <w:rPr>
                <w:sz w:val="20"/>
                <w:szCs w:val="20"/>
                <w:color w:val="auto"/>
              </w:rPr>
            </w:pPr>
            <w:r>
              <w:rPr>
                <w:rFonts w:ascii="Times New Roman" w:cs="Times New Roman" w:eastAsia="Times New Roman" w:hAnsi="Times New Roman"/>
                <w:sz w:val="14"/>
                <w:szCs w:val="14"/>
                <w:color w:val="auto"/>
              </w:rPr>
              <w:t>Unrealized gain on derivatives and changes in accumulated OCI, net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of tax</w:t>
            </w: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Contributions from CEG, net of distributions, cash</w:t>
            </w:r>
          </w:p>
        </w:tc>
        <w:tc>
          <w:tcPr>
            <w:tcW w:w="10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center"/>
              <w:ind w:left="511"/>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Contributions from noncontrolling interests, net of distributions, cash</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center"/>
              <w:ind w:left="511"/>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37"/>
        </w:trPr>
        <w:tc>
          <w:tcPr>
            <w:tcW w:w="4180" w:type="dxa"/>
            <w:vAlign w:val="bottom"/>
          </w:tcPr>
          <w:p>
            <w:pPr>
              <w:ind w:left="200"/>
              <w:spacing w:after="0" w:line="137" w:lineRule="exact"/>
              <w:rPr>
                <w:sz w:val="20"/>
                <w:szCs w:val="20"/>
                <w:color w:val="auto"/>
              </w:rPr>
            </w:pPr>
            <w:r>
              <w:rPr>
                <w:rFonts w:ascii="Times New Roman" w:cs="Times New Roman" w:eastAsia="Times New Roman" w:hAnsi="Times New Roman"/>
                <w:sz w:val="14"/>
                <w:szCs w:val="14"/>
                <w:color w:val="auto"/>
              </w:rPr>
              <w:t>Distributions to noncontrolling interests, net of contributions, non-</w:t>
            </w:r>
          </w:p>
        </w:tc>
        <w:tc>
          <w:tcPr>
            <w:tcW w:w="100" w:type="dxa"/>
            <w:vAlign w:val="bottom"/>
          </w:tcPr>
          <w:p>
            <w:pPr>
              <w:spacing w:after="0"/>
              <w:rPr>
                <w:sz w:val="11"/>
                <w:szCs w:val="11"/>
                <w:color w:val="auto"/>
              </w:rPr>
            </w:pP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4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cash</w:t>
            </w: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Transfers of assets under common control</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1"/>
        </w:trPr>
        <w:tc>
          <w:tcPr>
            <w:tcW w:w="4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Non-cash adjustments for change in tax basis</w:t>
            </w:r>
          </w:p>
        </w:tc>
        <w:tc>
          <w:tcPr>
            <w:tcW w:w="10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Common stock dividends and distributions to CEG unit holders</w:t>
            </w:r>
          </w:p>
        </w:tc>
        <w:tc>
          <w:tcPr>
            <w:tcW w:w="10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center"/>
              <w:ind w:left="511"/>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June 30, 2024</w:t>
            </w:r>
          </w:p>
        </w:tc>
        <w:tc>
          <w:tcPr>
            <w:tcW w:w="10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4180" w:type="dxa"/>
            <w:vAlign w:val="bottom"/>
          </w:tcPr>
          <w:p>
            <w:pPr>
              <w:ind w:left="200"/>
              <w:spacing w:after="0" w:line="137" w:lineRule="exact"/>
              <w:rPr>
                <w:sz w:val="20"/>
                <w:szCs w:val="20"/>
                <w:color w:val="auto"/>
              </w:rPr>
            </w:pPr>
            <w:r>
              <w:rPr>
                <w:rFonts w:ascii="Times New Roman" w:cs="Times New Roman" w:eastAsia="Times New Roman" w:hAnsi="Times New Roman"/>
                <w:sz w:val="14"/>
                <w:szCs w:val="14"/>
                <w:color w:val="auto"/>
              </w:rPr>
              <w:t>Unrealized loss on derivatives and changes in accumulated OCI, net</w:t>
            </w:r>
          </w:p>
        </w:tc>
        <w:tc>
          <w:tcPr>
            <w:tcW w:w="100" w:type="dxa"/>
            <w:vAlign w:val="bottom"/>
          </w:tcPr>
          <w:p>
            <w:pPr>
              <w:spacing w:after="0"/>
              <w:rPr>
                <w:sz w:val="11"/>
                <w:szCs w:val="11"/>
                <w:color w:val="auto"/>
              </w:rPr>
            </w:pP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center"/>
              <w:ind w:left="511"/>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90"/>
        </w:trPr>
        <w:tc>
          <w:tcPr>
            <w:tcW w:w="4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of tax</w:t>
            </w: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Contributions from CEG, cash</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Distributions to noncontrolling interests, net of contributions, cash</w:t>
            </w:r>
          </w:p>
        </w:tc>
        <w:tc>
          <w:tcPr>
            <w:tcW w:w="10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center"/>
              <w:ind w:left="511"/>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06"/>
        </w:trPr>
        <w:tc>
          <w:tcPr>
            <w:tcW w:w="4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1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Common stock dividends and distributions to CEG unit holders</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left="511"/>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12"/>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September 30,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0700"/>
          </w:cols>
          <w:pgMar w:left="960" w:top="756"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2023</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center"/>
              <w:ind w:right="1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0" w:lineRule="exact"/>
              <w:rPr>
                <w:sz w:val="20"/>
                <w:szCs w:val="20"/>
                <w:color w:val="auto"/>
              </w:rPr>
            </w:pPr>
            <w:r>
              <w:rPr>
                <w:rFonts w:ascii="Times New Roman" w:cs="Times New Roman" w:eastAsia="Times New Roman" w:hAnsi="Times New Roman"/>
                <w:sz w:val="12"/>
                <w:szCs w:val="12"/>
                <w:b w:val="1"/>
                <w:bCs w:val="1"/>
                <w:color w:val="auto"/>
              </w:rPr>
              <w:t>Other</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Preferred</w:t>
            </w:r>
          </w:p>
        </w:tc>
        <w:tc>
          <w:tcPr>
            <w:tcW w:w="100" w:type="dxa"/>
            <w:vAlign w:val="bottom"/>
          </w:tcPr>
          <w:p>
            <w:pPr>
              <w:spacing w:after="0"/>
              <w:rPr>
                <w:sz w:val="11"/>
                <w:szCs w:val="11"/>
                <w:color w:val="auto"/>
              </w:rPr>
            </w:pPr>
          </w:p>
        </w:tc>
        <w:tc>
          <w:tcPr>
            <w:tcW w:w="700" w:type="dxa"/>
            <w:vAlign w:val="bottom"/>
            <w:gridSpan w:val="2"/>
          </w:tcPr>
          <w:p>
            <w:pPr>
              <w:jc w:val="center"/>
              <w:ind w:right="180"/>
              <w:spacing w:after="0" w:line="133" w:lineRule="exact"/>
              <w:rPr>
                <w:sz w:val="20"/>
                <w:szCs w:val="20"/>
                <w:color w:val="auto"/>
              </w:rPr>
            </w:pPr>
            <w:r>
              <w:rPr>
                <w:rFonts w:ascii="Times New Roman" w:cs="Times New Roman" w:eastAsia="Times New Roman" w:hAnsi="Times New Roman"/>
                <w:sz w:val="12"/>
                <w:szCs w:val="12"/>
                <w:b w:val="1"/>
                <w:bCs w:val="1"/>
                <w:color w:val="auto"/>
              </w:rPr>
              <w:t>Common</w:t>
            </w: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00" w:type="dxa"/>
            <w:vAlign w:val="bottom"/>
          </w:tcPr>
          <w:p>
            <w:pPr>
              <w:spacing w:after="0"/>
              <w:rPr>
                <w:sz w:val="11"/>
                <w:szCs w:val="11"/>
                <w:color w:val="auto"/>
              </w:rPr>
            </w:pPr>
          </w:p>
        </w:tc>
        <w:tc>
          <w:tcPr>
            <w:tcW w:w="1040" w:type="dxa"/>
            <w:vAlign w:val="bottom"/>
            <w:gridSpan w:val="2"/>
          </w:tcPr>
          <w:p>
            <w:pPr>
              <w:jc w:val="center"/>
              <w:ind w:right="180"/>
              <w:spacing w:after="0" w:line="133"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11"/>
                <w:szCs w:val="11"/>
                <w:color w:val="auto"/>
              </w:rPr>
            </w:pPr>
          </w:p>
        </w:tc>
        <w:tc>
          <w:tcPr>
            <w:tcW w:w="1000" w:type="dxa"/>
            <w:vAlign w:val="bottom"/>
            <w:gridSpan w:val="2"/>
          </w:tcPr>
          <w:p>
            <w:pPr>
              <w:jc w:val="center"/>
              <w:ind w:right="180"/>
              <w:spacing w:after="0" w:line="133"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100" w:type="dxa"/>
            <w:vAlign w:val="bottom"/>
          </w:tcPr>
          <w:p>
            <w:pPr>
              <w:spacing w:after="0"/>
              <w:rPr>
                <w:sz w:val="11"/>
                <w:szCs w:val="11"/>
                <w:color w:val="auto"/>
              </w:rPr>
            </w:pPr>
          </w:p>
        </w:tc>
        <w:tc>
          <w:tcPr>
            <w:tcW w:w="840" w:type="dxa"/>
            <w:vAlign w:val="bottom"/>
          </w:tcPr>
          <w:p>
            <w:pPr>
              <w:jc w:val="center"/>
              <w:ind w:right="10"/>
              <w:spacing w:after="0" w:line="133"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67"/>
        </w:trPr>
        <w:tc>
          <w:tcPr>
            <w:tcW w:w="4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0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4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Income</w:t>
            </w:r>
          </w:p>
        </w:tc>
        <w:tc>
          <w:tcPr>
            <w:tcW w:w="10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Pr>
          <w:p>
            <w:pPr>
              <w:spacing w:after="0"/>
              <w:rPr>
                <w:sz w:val="14"/>
                <w:szCs w:val="14"/>
                <w:color w:val="auto"/>
              </w:rPr>
            </w:pPr>
          </w:p>
        </w:tc>
        <w:tc>
          <w:tcPr>
            <w:tcW w:w="840" w:type="dxa"/>
            <w:vAlign w:val="bottom"/>
          </w:tcPr>
          <w:p>
            <w:pPr>
              <w:jc w:val="center"/>
              <w:ind w:right="1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97"/>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2022</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4,026</w:t>
            </w:r>
          </w:p>
        </w:tc>
        <w:tc>
          <w:tcPr>
            <w:tcW w:w="0" w:type="dxa"/>
            <w:vAlign w:val="bottom"/>
          </w:tcPr>
          <w:p>
            <w:pPr>
              <w:spacing w:after="0"/>
              <w:rPr>
                <w:sz w:val="1"/>
                <w:szCs w:val="1"/>
                <w:color w:val="auto"/>
              </w:rPr>
            </w:pPr>
          </w:p>
        </w:tc>
      </w:tr>
      <w:tr>
        <w:trPr>
          <w:trHeight w:val="191"/>
        </w:trPr>
        <w:tc>
          <w:tcPr>
            <w:tcW w:w="4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44"/>
        </w:trPr>
        <w:tc>
          <w:tcPr>
            <w:tcW w:w="4240" w:type="dxa"/>
            <w:vAlign w:val="bottom"/>
            <w:shd w:val="clear" w:color="auto" w:fill="CCEEFF"/>
          </w:tcPr>
          <w:p>
            <w:pPr>
              <w:ind w:left="200"/>
              <w:spacing w:after="0" w:line="144" w:lineRule="exact"/>
              <w:rPr>
                <w:sz w:val="20"/>
                <w:szCs w:val="20"/>
                <w:color w:val="auto"/>
              </w:rPr>
            </w:pPr>
            <w:r>
              <w:rPr>
                <w:rFonts w:ascii="Times New Roman" w:cs="Times New Roman" w:eastAsia="Times New Roman" w:hAnsi="Times New Roman"/>
                <w:sz w:val="14"/>
                <w:szCs w:val="14"/>
                <w:color w:val="auto"/>
              </w:rPr>
              <w:t>Unrealized loss on derivatives and changes in accumulated OCI, net of</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5"/>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tax</w:t>
            </w:r>
          </w:p>
        </w:tc>
        <w:tc>
          <w:tcPr>
            <w:tcW w:w="8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Contributions from CEG, net of distributions, cash</w:t>
            </w:r>
          </w:p>
        </w:tc>
        <w:tc>
          <w:tcPr>
            <w:tcW w:w="8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Contributions from noncontrolling interests, net of distributions, cash</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191"/>
        </w:trPr>
        <w:tc>
          <w:tcPr>
            <w:tcW w:w="4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Transfers of assets under common control</w:t>
            </w:r>
          </w:p>
        </w:tc>
        <w:tc>
          <w:tcPr>
            <w:tcW w:w="8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Non-cash adjustments for change in tax basis</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1"/>
        </w:trPr>
        <w:tc>
          <w:tcPr>
            <w:tcW w:w="4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 based compensation</w:t>
            </w:r>
          </w:p>
        </w:tc>
        <w:tc>
          <w:tcPr>
            <w:tcW w:w="8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Common stock dividends and distributions to CEG unit holders</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85"/>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March 31, 2023</w:t>
            </w: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4,153</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37"/>
        </w:trPr>
        <w:tc>
          <w:tcPr>
            <w:tcW w:w="4240" w:type="dxa"/>
            <w:vAlign w:val="bottom"/>
          </w:tcPr>
          <w:p>
            <w:pPr>
              <w:ind w:left="200"/>
              <w:spacing w:after="0" w:line="137" w:lineRule="exact"/>
              <w:rPr>
                <w:sz w:val="20"/>
                <w:szCs w:val="20"/>
                <w:color w:val="auto"/>
              </w:rPr>
            </w:pPr>
            <w:r>
              <w:rPr>
                <w:rFonts w:ascii="Times New Roman" w:cs="Times New Roman" w:eastAsia="Times New Roman" w:hAnsi="Times New Roman"/>
                <w:sz w:val="14"/>
                <w:szCs w:val="14"/>
                <w:color w:val="auto"/>
              </w:rPr>
              <w:t>Unrealized gain on derivatives and changes in accumulated OCI, net</w:t>
            </w:r>
          </w:p>
        </w:tc>
        <w:tc>
          <w:tcPr>
            <w:tcW w:w="80" w:type="dxa"/>
            <w:vAlign w:val="bottom"/>
          </w:tcPr>
          <w:p>
            <w:pPr>
              <w:spacing w:after="0"/>
              <w:rPr>
                <w:sz w:val="11"/>
                <w:szCs w:val="11"/>
                <w:color w:val="auto"/>
              </w:rPr>
            </w:pP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0"/>
        </w:trPr>
        <w:tc>
          <w:tcPr>
            <w:tcW w:w="4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of tax</w:t>
            </w: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Distributions to CEG, net of contributions, cash</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1"/>
        </w:trPr>
        <w:tc>
          <w:tcPr>
            <w:tcW w:w="4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Distributions to noncontrolling interests, net of contributions, cash</w:t>
            </w:r>
          </w:p>
        </w:tc>
        <w:tc>
          <w:tcPr>
            <w:tcW w:w="8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Tax-related distribution</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1"/>
        </w:trPr>
        <w:tc>
          <w:tcPr>
            <w:tcW w:w="4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 based compensation</w:t>
            </w:r>
          </w:p>
        </w:tc>
        <w:tc>
          <w:tcPr>
            <w:tcW w:w="8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Common stock dividends and distributions to CEG unit holders</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92"/>
        </w:trPr>
        <w:tc>
          <w:tcPr>
            <w:tcW w:w="4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9"/>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June 30, 2023</w:t>
            </w: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4,127</w:t>
            </w:r>
          </w:p>
        </w:tc>
        <w:tc>
          <w:tcPr>
            <w:tcW w:w="0" w:type="dxa"/>
            <w:vAlign w:val="bottom"/>
          </w:tcPr>
          <w:p>
            <w:pPr>
              <w:spacing w:after="0"/>
              <w:rPr>
                <w:sz w:val="1"/>
                <w:szCs w:val="1"/>
                <w:color w:val="auto"/>
              </w:rPr>
            </w:pPr>
          </w:p>
        </w:tc>
      </w:tr>
      <w:tr>
        <w:trPr>
          <w:trHeight w:val="191"/>
        </w:trPr>
        <w:tc>
          <w:tcPr>
            <w:tcW w:w="4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8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4"/>
        </w:trPr>
        <w:tc>
          <w:tcPr>
            <w:tcW w:w="4240" w:type="dxa"/>
            <w:vAlign w:val="bottom"/>
            <w:shd w:val="clear" w:color="auto" w:fill="CCEEFF"/>
          </w:tcPr>
          <w:p>
            <w:pPr>
              <w:ind w:left="200"/>
              <w:spacing w:after="0" w:line="144" w:lineRule="exact"/>
              <w:rPr>
                <w:sz w:val="20"/>
                <w:szCs w:val="20"/>
                <w:color w:val="auto"/>
              </w:rPr>
            </w:pPr>
            <w:r>
              <w:rPr>
                <w:rFonts w:ascii="Times New Roman" w:cs="Times New Roman" w:eastAsia="Times New Roman" w:hAnsi="Times New Roman"/>
                <w:sz w:val="14"/>
                <w:szCs w:val="14"/>
                <w:color w:val="auto"/>
              </w:rPr>
              <w:t>Unrealized gain on derivatives and changes in accumulated OCI, net</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5"/>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of tax</w:t>
            </w:r>
          </w:p>
        </w:tc>
        <w:tc>
          <w:tcPr>
            <w:tcW w:w="8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Distributions to CEG, cash</w:t>
            </w:r>
          </w:p>
        </w:tc>
        <w:tc>
          <w:tcPr>
            <w:tcW w:w="8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Contributions from noncontrolling interests, net of distributions, cash</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1"/>
        </w:trPr>
        <w:tc>
          <w:tcPr>
            <w:tcW w:w="4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Distributions to noncontrolling interests, non-cash</w:t>
            </w:r>
          </w:p>
        </w:tc>
        <w:tc>
          <w:tcPr>
            <w:tcW w:w="8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Tax-related distribution</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1"/>
        </w:trPr>
        <w:tc>
          <w:tcPr>
            <w:tcW w:w="4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Transfer of assets under common control</w:t>
            </w:r>
          </w:p>
        </w:tc>
        <w:tc>
          <w:tcPr>
            <w:tcW w:w="8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Non-cash adjustments for change in tax basis</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1"/>
        </w:trPr>
        <w:tc>
          <w:tcPr>
            <w:tcW w:w="4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 based compensation</w:t>
            </w:r>
          </w:p>
        </w:tc>
        <w:tc>
          <w:tcPr>
            <w:tcW w:w="8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Common stock dividends and distributions to CEG unit holders</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92"/>
        </w:trPr>
        <w:tc>
          <w:tcPr>
            <w:tcW w:w="4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4"/>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September 30, 2023</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0880"/>
          </w:cols>
          <w:pgMar w:left="500" w:top="1154" w:right="5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9"/>
          <w:szCs w:val="19"/>
          <w:b w:val="1"/>
          <w:bCs w:val="1"/>
          <w:color w:val="auto"/>
        </w:rPr>
        <w:t>Appendix Table A-1: Three Months Ended September 30, 2024, Segment Adjusted EBITDA Reconciliation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calculation of Adjusted EBITDA and provides a reconciliation to Net Income/(Loss):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6"/>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6"/>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6"/>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ARO</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6"/>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Mark to Market (MtM) Gains on economic hedges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non-recurring</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181"/>
        </w:trPr>
        <w:tc>
          <w:tcPr>
            <w:tcW w:w="418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8"/>
                <w:szCs w:val="18"/>
                <w:color w:val="auto"/>
              </w:rPr>
              <w:t>Adjustments to reflect CWEN’s pro-rata share of</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1"/>
        </w:trPr>
        <w:tc>
          <w:tcPr>
            <w:tcW w:w="4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Adjusted EBITDA from Unconsolidated Affiliates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Equity Compensation</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9"/>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w:t>
            </w: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Appendix Table A-2: Three Months Ended September 30, 2023, Segment Adjusted EBITDA Reconciliation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calculation of Adjusted EBITDA and provides a reconciliation to Net Income/(Loss):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6"/>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6"/>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6"/>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ARO</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172"/>
        </w:trPr>
        <w:tc>
          <w:tcPr>
            <w:tcW w:w="4180" w:type="dxa"/>
            <w:vAlign w:val="bottom"/>
            <w:gridSpan w:val="2"/>
          </w:tcPr>
          <w:p>
            <w:pPr>
              <w:ind w:left="180"/>
              <w:spacing w:after="0" w:line="172" w:lineRule="exact"/>
              <w:rPr>
                <w:sz w:val="20"/>
                <w:szCs w:val="20"/>
                <w:color w:val="auto"/>
              </w:rPr>
            </w:pPr>
            <w:r>
              <w:rPr>
                <w:rFonts w:ascii="Times New Roman" w:cs="Times New Roman" w:eastAsia="Times New Roman" w:hAnsi="Times New Roman"/>
                <w:sz w:val="18"/>
                <w:szCs w:val="18"/>
                <w:color w:val="auto"/>
              </w:rPr>
              <w:t>Mark to Market (MtM) Losses/(Gains) on economic</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39"/>
        </w:trPr>
        <w:tc>
          <w:tcPr>
            <w:tcW w:w="4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hedges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6"/>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non-recurring</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72"/>
        </w:trPr>
        <w:tc>
          <w:tcPr>
            <w:tcW w:w="4180" w:type="dxa"/>
            <w:vAlign w:val="bottom"/>
            <w:gridSpan w:val="2"/>
            <w:shd w:val="clear" w:color="auto" w:fill="CCEEFF"/>
          </w:tcPr>
          <w:p>
            <w:pPr>
              <w:ind w:left="180"/>
              <w:spacing w:after="0" w:line="172" w:lineRule="exact"/>
              <w:rPr>
                <w:sz w:val="20"/>
                <w:szCs w:val="20"/>
                <w:color w:val="auto"/>
              </w:rPr>
            </w:pPr>
            <w:r>
              <w:rPr>
                <w:rFonts w:ascii="Times New Roman" w:cs="Times New Roman" w:eastAsia="Times New Roman" w:hAnsi="Times New Roman"/>
                <w:sz w:val="18"/>
                <w:szCs w:val="18"/>
                <w:color w:val="auto"/>
              </w:rPr>
              <w:t>Adjustments to reflect CWEN’s pro-rata share of</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39"/>
        </w:trPr>
        <w:tc>
          <w:tcPr>
            <w:tcW w:w="4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Adjusted EBITDA from Unconsolidated Affiliates</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6"/>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Non-Cash Equity Compensation</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4"/>
        </w:trPr>
        <w:tc>
          <w:tcPr>
            <w:tcW w:w="40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w:t>
            </w:r>
          </w:p>
        </w:tc>
      </w:tr>
      <w:tr>
        <w:trPr>
          <w:trHeight w:val="20"/>
        </w:trPr>
        <w:tc>
          <w:tcPr>
            <w:tcW w:w="4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0139"/>
          </w:cols>
          <w:pgMar w:left="320" w:top="749"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9"/>
          <w:szCs w:val="19"/>
          <w:b w:val="1"/>
          <w:bCs w:val="1"/>
          <w:color w:val="auto"/>
        </w:rPr>
        <w:t>Appendix Table A-3: Nine Months Ended September 30, 2024, Segment Adjusted EBITDA Reconciliation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calculation of Adjusted EBITDA and provides a reconciliation to Net Income/(Loss):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6"/>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6"/>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26"/>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ARO</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2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6"/>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81"/>
        </w:trPr>
        <w:tc>
          <w:tcPr>
            <w:tcW w:w="4180" w:type="dxa"/>
            <w:vAlign w:val="bottom"/>
            <w:gridSpan w:val="2"/>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Mark to Market (MtM) (Gain)/Loss on economic</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31"/>
        </w:trPr>
        <w:tc>
          <w:tcPr>
            <w:tcW w:w="4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hedges</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6"/>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Non-recurring</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181"/>
        </w:trPr>
        <w:tc>
          <w:tcPr>
            <w:tcW w:w="418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8"/>
                <w:szCs w:val="18"/>
                <w:color w:val="auto"/>
              </w:rPr>
              <w:t>Adjustments to reflect CWEN’s pro-rata share of</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1"/>
        </w:trPr>
        <w:tc>
          <w:tcPr>
            <w:tcW w:w="4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Adjusted EBITDA from Unconsolidated Affiliates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Equity Compensation</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9"/>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770</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918</w:t>
            </w: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Appendix Table A-4: Nine Months Ended September 30, 2023, Segment Adjusted EBITDA Reconciliation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calculation of Adjusted EBITDA and provides a reconciliation to Net Income/(Loss):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Conventional</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Renewables</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6"/>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6"/>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6"/>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ARO</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2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Amortization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172"/>
        </w:trPr>
        <w:tc>
          <w:tcPr>
            <w:tcW w:w="4180" w:type="dxa"/>
            <w:vAlign w:val="bottom"/>
            <w:gridSpan w:val="2"/>
          </w:tcPr>
          <w:p>
            <w:pPr>
              <w:ind w:left="180"/>
              <w:spacing w:after="0" w:line="172" w:lineRule="exact"/>
              <w:rPr>
                <w:sz w:val="20"/>
                <w:szCs w:val="20"/>
                <w:color w:val="auto"/>
              </w:rPr>
            </w:pPr>
            <w:r>
              <w:rPr>
                <w:rFonts w:ascii="Times New Roman" w:cs="Times New Roman" w:eastAsia="Times New Roman" w:hAnsi="Times New Roman"/>
                <w:sz w:val="18"/>
                <w:szCs w:val="18"/>
                <w:color w:val="auto"/>
              </w:rPr>
              <w:t>Mark to Market (MtM) (Gain)/Loss on economic</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39"/>
        </w:trPr>
        <w:tc>
          <w:tcPr>
            <w:tcW w:w="4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hedges</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6"/>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Non-recurring</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72"/>
        </w:trPr>
        <w:tc>
          <w:tcPr>
            <w:tcW w:w="4180" w:type="dxa"/>
            <w:vAlign w:val="bottom"/>
            <w:gridSpan w:val="2"/>
            <w:shd w:val="clear" w:color="auto" w:fill="CCEEFF"/>
          </w:tcPr>
          <w:p>
            <w:pPr>
              <w:ind w:left="180"/>
              <w:spacing w:after="0" w:line="172" w:lineRule="exact"/>
              <w:rPr>
                <w:sz w:val="20"/>
                <w:szCs w:val="20"/>
                <w:color w:val="auto"/>
              </w:rPr>
            </w:pPr>
            <w:r>
              <w:rPr>
                <w:rFonts w:ascii="Times New Roman" w:cs="Times New Roman" w:eastAsia="Times New Roman" w:hAnsi="Times New Roman"/>
                <w:sz w:val="18"/>
                <w:szCs w:val="18"/>
                <w:color w:val="auto"/>
              </w:rPr>
              <w:t>Adjustments to reflect CWEN’s pro-rata share of</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39"/>
        </w:trPr>
        <w:tc>
          <w:tcPr>
            <w:tcW w:w="4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Adjusted EBITDA from Unconsolidated Affiliates</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6"/>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Non-Cash Equity Compensation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4"/>
        </w:trPr>
        <w:tc>
          <w:tcPr>
            <w:tcW w:w="40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857</w:t>
            </w:r>
          </w:p>
        </w:tc>
      </w:tr>
      <w:tr>
        <w:trPr>
          <w:trHeight w:val="20"/>
        </w:trPr>
        <w:tc>
          <w:tcPr>
            <w:tcW w:w="4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671"/>
        </w:trPr>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139"/>
          </w:cols>
          <w:pgMar w:left="320" w:top="749"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9"/>
          <w:szCs w:val="19"/>
          <w:b w:val="1"/>
          <w:bCs w:val="1"/>
          <w:color w:val="auto"/>
        </w:rPr>
        <w:t>Appendix Table A-5: Cash Available for Distribution Reconciliation</w:t>
      </w:r>
    </w:p>
    <w:p>
      <w:pPr>
        <w:spacing w:after="0" w:line="39" w:lineRule="exact"/>
        <w:rPr>
          <w:sz w:val="20"/>
          <w:szCs w:val="20"/>
          <w:color w:val="auto"/>
        </w:rPr>
      </w:pPr>
    </w:p>
    <w:p>
      <w:pPr>
        <w:ind w:right="540"/>
        <w:spacing w:after="0" w:line="270" w:lineRule="auto"/>
        <w:rPr>
          <w:sz w:val="20"/>
          <w:szCs w:val="20"/>
          <w:color w:val="auto"/>
        </w:rPr>
      </w:pPr>
      <w:r>
        <w:rPr>
          <w:rFonts w:ascii="Times New Roman" w:cs="Times New Roman" w:eastAsia="Times New Roman" w:hAnsi="Times New Roman"/>
          <w:sz w:val="19"/>
          <w:szCs w:val="19"/>
          <w:color w:val="auto"/>
        </w:rPr>
        <w:t>The following table summarizes the calculation of Cash Available for Distribution and provides a reconciliation to Cash from Operating Activities:</w:t>
      </w:r>
    </w:p>
    <w:tbl>
      <w:tblPr>
        <w:tblLayout w:type="fixed"/>
        <w:tblInd w:w="0" w:type="dxa"/>
        <w:tblCellMar>
          <w:top w:w="0" w:type="dxa"/>
          <w:left w:w="0" w:type="dxa"/>
          <w:bottom w:w="0" w:type="dxa"/>
          <w:right w:w="0" w:type="dxa"/>
        </w:tblCellMar>
      </w:tblPr>
      <w:tr>
        <w:trPr>
          <w:trHeight w:val="226"/>
        </w:trPr>
        <w:tc>
          <w:tcPr>
            <w:tcW w:w="5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gridSpan w:val="3"/>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60" w:type="dxa"/>
            <w:vAlign w:val="bottom"/>
            <w:gridSpan w:val="4"/>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3"/>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9/30/24</w:t>
            </w: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9/30/23</w:t>
            </w: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9/30/24</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9/30/23</w:t>
            </w:r>
          </w:p>
        </w:tc>
      </w:tr>
      <w:tr>
        <w:trPr>
          <w:trHeight w:val="219"/>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323</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918</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857</w:t>
            </w:r>
          </w:p>
        </w:tc>
      </w:tr>
      <w:tr>
        <w:trPr>
          <w:trHeight w:val="245"/>
        </w:trPr>
        <w:tc>
          <w:tcPr>
            <w:tcW w:w="5280" w:type="dxa"/>
            <w:vAlign w:val="bottom"/>
          </w:tcPr>
          <w:p>
            <w:pPr>
              <w:ind w:left="180"/>
              <w:spacing w:after="0" w:line="245" w:lineRule="exact"/>
              <w:rPr>
                <w:sz w:val="20"/>
                <w:szCs w:val="20"/>
                <w:color w:val="auto"/>
              </w:rPr>
            </w:pPr>
            <w:r>
              <w:rPr>
                <w:rFonts w:ascii="Times New Roman" w:cs="Times New Roman" w:eastAsia="Times New Roman" w:hAnsi="Times New Roman"/>
                <w:sz w:val="18"/>
                <w:szCs w:val="18"/>
                <w:color w:val="auto"/>
              </w:rPr>
              <w:t>Cash interest paid</w:t>
            </w:r>
            <w:r>
              <w:rPr>
                <w:rFonts w:ascii="Times New Roman" w:cs="Times New Roman" w:eastAsia="Times New Roman" w:hAnsi="Times New Roman"/>
                <w:sz w:val="22"/>
                <w:szCs w:val="22"/>
                <w:color w:val="auto"/>
                <w:vertAlign w:val="superscript"/>
              </w:rPr>
              <w:t>3</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(89)</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6"/>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prepaid and accrued liabilities for tolling agreements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6"/>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Adjustments to reflect sale-type leases and payments for lease expenses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6"/>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Pro-rata Adjusted EBITDA from unconsolidated affiliates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6"/>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6"/>
        </w:trPr>
        <w:tc>
          <w:tcPr>
            <w:tcW w:w="52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working capital and other</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9"/>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from Operating Activities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287</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578</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496</w:t>
            </w:r>
          </w:p>
        </w:tc>
      </w:tr>
      <w:tr>
        <w:trPr>
          <w:trHeight w:val="219"/>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working capital and other</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52"/>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Return of investment from unconsolidated affiliates</w:t>
            </w:r>
            <w:r>
              <w:rPr>
                <w:rFonts w:ascii="Times New Roman" w:cs="Times New Roman" w:eastAsia="Times New Roman" w:hAnsi="Times New Roman"/>
                <w:sz w:val="22"/>
                <w:szCs w:val="22"/>
                <w:color w:val="auto"/>
                <w:vertAlign w:val="superscript"/>
              </w:rPr>
              <w:t>4</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52"/>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contributions (to)/from non-controlling interest</w:t>
            </w:r>
            <w:r>
              <w:rPr>
                <w:rFonts w:ascii="Times New Roman" w:cs="Times New Roman" w:eastAsia="Times New Roman" w:hAnsi="Times New Roman"/>
                <w:sz w:val="22"/>
                <w:szCs w:val="22"/>
                <w:color w:val="auto"/>
                <w:vertAlign w:val="superscript"/>
              </w:rPr>
              <w:t>5</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6"/>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2"/>
        </w:trPr>
        <w:tc>
          <w:tcPr>
            <w:tcW w:w="52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amortization of indebtedness</w:t>
            </w:r>
            <w:r>
              <w:rPr>
                <w:rFonts w:ascii="Times New Roman" w:cs="Times New Roman" w:eastAsia="Times New Roman" w:hAnsi="Times New Roman"/>
                <w:sz w:val="22"/>
                <w:szCs w:val="22"/>
                <w:color w:val="auto"/>
                <w:vertAlign w:val="superscript"/>
              </w:rPr>
              <w:t>6</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(78)</w:t>
            </w:r>
          </w:p>
        </w:tc>
        <w:tc>
          <w:tcPr>
            <w:tcW w:w="1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19"/>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Available for Distribution before Adjustments</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156</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375</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w:t>
            </w:r>
          </w:p>
        </w:tc>
      </w:tr>
      <w:tr>
        <w:trPr>
          <w:trHeight w:val="166"/>
        </w:trPr>
        <w:tc>
          <w:tcPr>
            <w:tcW w:w="5280" w:type="dxa"/>
            <w:vAlign w:val="bottom"/>
            <w:shd w:val="clear" w:color="auto" w:fill="CCEEFF"/>
          </w:tcPr>
          <w:p>
            <w:pPr>
              <w:ind w:left="180"/>
              <w:spacing w:after="0" w:line="166" w:lineRule="exact"/>
              <w:rPr>
                <w:sz w:val="20"/>
                <w:szCs w:val="20"/>
                <w:color w:val="auto"/>
              </w:rPr>
            </w:pPr>
            <w:r>
              <w:rPr>
                <w:rFonts w:ascii="Times New Roman" w:cs="Times New Roman" w:eastAsia="Times New Roman" w:hAnsi="Times New Roman"/>
                <w:sz w:val="18"/>
                <w:szCs w:val="18"/>
                <w:color w:val="auto"/>
              </w:rPr>
              <w:t>2024 Net impact of drop downs from timing of construction debt</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9"/>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5280" w:type="dxa"/>
            <w:vAlign w:val="bottom"/>
            <w:tcBorders>
              <w:top w:val="single" w:sz="8" w:color="auto"/>
              <w:bottom w:val="single" w:sz="8" w:color="auto"/>
            </w:tcBorders>
          </w:tcPr>
          <w:p>
            <w:pPr>
              <w:ind w:left="20"/>
              <w:spacing w:after="0" w:line="245" w:lineRule="exact"/>
              <w:rPr>
                <w:sz w:val="20"/>
                <w:szCs w:val="20"/>
                <w:color w:val="auto"/>
              </w:rPr>
            </w:pPr>
            <w:r>
              <w:rPr>
                <w:rFonts w:ascii="Times New Roman" w:cs="Times New Roman" w:eastAsia="Times New Roman" w:hAnsi="Times New Roman"/>
                <w:sz w:val="18"/>
                <w:szCs w:val="18"/>
                <w:b w:val="1"/>
                <w:bCs w:val="1"/>
                <w:color w:val="auto"/>
              </w:rPr>
              <w:t>Cash Available for Distribution</w:t>
            </w:r>
            <w:r>
              <w:rPr>
                <w:rFonts w:ascii="Times New Roman" w:cs="Times New Roman" w:eastAsia="Times New Roman" w:hAnsi="Times New Roman"/>
                <w:sz w:val="22"/>
                <w:szCs w:val="22"/>
                <w:b w:val="1"/>
                <w:bCs w:val="1"/>
                <w:color w:val="auto"/>
                <w:vertAlign w:val="superscript"/>
              </w:rPr>
              <w:t>7</w:t>
            </w: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2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156</w:t>
            </w:r>
          </w:p>
        </w:tc>
        <w:tc>
          <w:tcPr>
            <w:tcW w:w="1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w:t>
            </w:r>
          </w:p>
        </w:tc>
        <w:tc>
          <w:tcPr>
            <w:tcW w:w="1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918210</wp:posOffset>
            </wp:positionV>
            <wp:extent cx="16846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846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0" w:hanging="94"/>
        <w:spacing w:after="0"/>
        <w:tabs>
          <w:tab w:leader="none" w:pos="10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2024 includes $9 million related to swap breakage receipts in connection with the NIMH refinancing</w:t>
      </w:r>
    </w:p>
    <w:p>
      <w:pPr>
        <w:ind w:left="100" w:hanging="94"/>
        <w:spacing w:after="0" w:line="192" w:lineRule="auto"/>
        <w:tabs>
          <w:tab w:leader="none" w:pos="10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2024 excludes $28 million related to Rosamond Central BESS return of capital at substantial completion funding</w:t>
      </w:r>
    </w:p>
    <w:p>
      <w:pPr>
        <w:spacing w:after="0" w:line="29" w:lineRule="exact"/>
        <w:rPr>
          <w:sz w:val="20"/>
          <w:szCs w:val="20"/>
          <w:color w:val="auto"/>
        </w:rPr>
      </w:pPr>
    </w:p>
    <w:p>
      <w:pPr>
        <w:ind w:firstLine="6"/>
        <w:spacing w:after="0" w:line="201" w:lineRule="auto"/>
        <w:tabs>
          <w:tab w:leader="none" w:pos="101"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2024 excludes $1,296 million of contributions related to the funding of Texas Solar Nova 2, Rosamond Central Battery Storage, Victory Pass, Arica, and Cedar Creek; 2023 excludes $229 million of contributions related to the funding of Rosamond Central Battery Storage, Waiawa, and Daggett</w:t>
      </w:r>
    </w:p>
    <w:p>
      <w:pPr>
        <w:spacing w:after="0" w:line="28" w:lineRule="exact"/>
        <w:rPr>
          <w:sz w:val="20"/>
          <w:szCs w:val="20"/>
          <w:color w:val="auto"/>
        </w:rPr>
      </w:pPr>
    </w:p>
    <w:p>
      <w:pPr>
        <w:ind w:right="60" w:firstLine="6"/>
        <w:spacing w:after="0" w:line="229" w:lineRule="auto"/>
        <w:tabs>
          <w:tab w:leader="none" w:pos="101"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 xml:space="preserve">2024 excludes $2,545 million for the repayment of bridge loans in connection with Texas Solar Nova 2, Victory Pass, Arica, and Cedar Creek and $137 million for the repayment of balloon at NIMH Solar; 2023 excludes $130 million for the repayment of construction loans in connection with Waiawa and Daggett, and $24 million for the repayment of balloon at Walnut Creek Holdings; </w:t>
      </w:r>
      <w:r>
        <w:rPr>
          <w:rFonts w:ascii="Times New Roman" w:cs="Times New Roman" w:eastAsia="Times New Roman" w:hAnsi="Times New Roman"/>
          <w:sz w:val="22"/>
          <w:szCs w:val="22"/>
          <w:color w:val="auto"/>
          <w:vertAlign w:val="superscript"/>
        </w:rPr>
        <w:t>7</w:t>
      </w:r>
      <w:r>
        <w:rPr>
          <w:rFonts w:ascii="Times New Roman" w:cs="Times New Roman" w:eastAsia="Times New Roman" w:hAnsi="Times New Roman"/>
          <w:sz w:val="14"/>
          <w:szCs w:val="14"/>
          <w:color w:val="auto"/>
        </w:rPr>
        <w:t xml:space="preserve"> Excludes income tax payments related to Thermal sale</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140"/>
          </w:cols>
          <w:pgMar w:left="320" w:top="988" w:right="439" w:bottom="1440" w:gutter="0" w:footer="0" w:header="0"/>
        </w:sectPr>
      </w:pPr>
    </w:p>
    <w:bookmarkStart w:id="17" w:name="page18"/>
    <w:bookmarkEnd w:id="17"/>
    <w:p>
      <w:pPr>
        <w:ind w:right="2439"/>
        <w:spacing w:after="0" w:line="304" w:lineRule="auto"/>
        <w:rPr>
          <w:sz w:val="20"/>
          <w:szCs w:val="20"/>
          <w:color w:val="auto"/>
        </w:rPr>
      </w:pPr>
      <w:r>
        <w:rPr>
          <w:rFonts w:ascii="Times New Roman" w:cs="Times New Roman" w:eastAsia="Times New Roman" w:hAnsi="Times New Roman"/>
          <w:sz w:val="19"/>
          <w:szCs w:val="19"/>
          <w:b w:val="1"/>
          <w:bCs w:val="1"/>
          <w:color w:val="auto"/>
        </w:rPr>
        <w:t xml:space="preserve">Appendix Table A-6: Nine Months Ended September 30, 2024, Sources and Uses of Liquidity </w:t>
      </w:r>
      <w:r>
        <w:rPr>
          <w:rFonts w:ascii="Times New Roman" w:cs="Times New Roman" w:eastAsia="Times New Roman" w:hAnsi="Times New Roman"/>
          <w:sz w:val="19"/>
          <w:szCs w:val="19"/>
          <w:color w:val="auto"/>
        </w:rPr>
        <w:t>The following table summarizes the sources and uses of liquidity in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r>
      <w:tr>
        <w:trPr>
          <w:trHeight w:val="226"/>
        </w:trPr>
        <w:tc>
          <w:tcPr>
            <w:tcW w:w="4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5"/>
              </w:rPr>
              <w:t>Ended</w:t>
            </w:r>
          </w:p>
        </w:tc>
      </w:tr>
      <w:tr>
        <w:trPr>
          <w:trHeight w:val="233"/>
        </w:trPr>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8"/>
              </w:rPr>
              <w:t>9/30/24</w:t>
            </w:r>
          </w:p>
        </w:tc>
      </w:tr>
      <w:tr>
        <w:trPr>
          <w:trHeight w:val="20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Sources:</w:t>
            </w: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0"/>
        </w:trPr>
        <w:tc>
          <w:tcPr>
            <w:tcW w:w="4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Contributions from noncontrolling interests, net of distributions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w:t>
            </w:r>
          </w:p>
        </w:tc>
      </w:tr>
      <w:tr>
        <w:trPr>
          <w:trHeight w:val="214"/>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r>
      <w:tr>
        <w:trPr>
          <w:trHeight w:val="210"/>
        </w:trPr>
        <w:tc>
          <w:tcPr>
            <w:tcW w:w="4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214"/>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Decrease in note receivable — affiliate</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10"/>
        </w:trPr>
        <w:tc>
          <w:tcPr>
            <w:tcW w:w="4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Return of investments from unconsolidated affiliates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4"/>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net cash inflows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6"/>
        </w:trPr>
        <w:tc>
          <w:tcPr>
            <w:tcW w:w="49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1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Uses: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0"/>
        </w:trPr>
        <w:tc>
          <w:tcPr>
            <w:tcW w:w="4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for long-term debt</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w:t>
            </w:r>
          </w:p>
        </w:tc>
      </w:tr>
      <w:tr>
        <w:trPr>
          <w:trHeight w:val="214"/>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Acquisition of Drop Down Assets, net of cash acquired</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w:t>
            </w:r>
          </w:p>
        </w:tc>
      </w:tr>
      <w:tr>
        <w:trPr>
          <w:trHeight w:val="210"/>
        </w:trPr>
        <w:tc>
          <w:tcPr>
            <w:tcW w:w="4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of dividends and distributions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r>
      <w:tr>
        <w:trPr>
          <w:trHeight w:val="214"/>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Capital expenditures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r>
      <w:tr>
        <w:trPr>
          <w:trHeight w:val="245"/>
        </w:trPr>
        <w:tc>
          <w:tcPr>
            <w:tcW w:w="49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219"/>
        </w:trPr>
        <w:tc>
          <w:tcPr>
            <w:tcW w:w="4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total cash, cash equivalents, and restricted cash</w:t>
            </w:r>
          </w:p>
        </w:tc>
        <w:tc>
          <w:tcPr>
            <w:tcW w:w="12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(377)</w:t>
            </w:r>
          </w:p>
        </w:tc>
      </w:tr>
      <w:tr>
        <w:trPr>
          <w:trHeight w:val="472"/>
        </w:trPr>
        <w:tc>
          <w:tcPr>
            <w:tcW w:w="4900" w:type="dxa"/>
            <w:vAlign w:val="bottom"/>
          </w:tcPr>
          <w:p>
            <w:pPr>
              <w:spacing w:after="0"/>
              <w:rPr>
                <w:sz w:val="24"/>
                <w:szCs w:val="24"/>
                <w:color w:val="auto"/>
              </w:rPr>
            </w:pPr>
          </w:p>
        </w:tc>
        <w:tc>
          <w:tcPr>
            <w:tcW w:w="1260" w:type="dxa"/>
            <w:vAlign w:val="bottom"/>
          </w:tcPr>
          <w:p>
            <w:pPr>
              <w:jc w:val="right"/>
              <w:ind w:right="380"/>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139"/>
          </w:cols>
          <w:pgMar w:left="320" w:top="749"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9"/>
          <w:szCs w:val="19"/>
          <w:b w:val="1"/>
          <w:bCs w:val="1"/>
          <w:color w:val="auto"/>
        </w:rPr>
        <w:t>Appendix Table A-7: Adjusted EBITDA and Cash Available for Distribution Guidance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700" w:type="dxa"/>
            <w:vAlign w:val="bottom"/>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2024 Full Year</w:t>
            </w:r>
          </w:p>
        </w:tc>
        <w:tc>
          <w:tcPr>
            <w:tcW w:w="1560" w:type="dxa"/>
            <w:vAlign w:val="bottom"/>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2025 Full Year</w:t>
            </w:r>
          </w:p>
        </w:tc>
        <w:tc>
          <w:tcPr>
            <w:tcW w:w="0" w:type="dxa"/>
            <w:vAlign w:val="bottom"/>
          </w:tcPr>
          <w:p>
            <w:pPr>
              <w:spacing w:after="0"/>
              <w:rPr>
                <w:sz w:val="1"/>
                <w:szCs w:val="1"/>
                <w:color w:val="auto"/>
              </w:rPr>
            </w:pPr>
          </w:p>
        </w:tc>
      </w:tr>
      <w:tr>
        <w:trPr>
          <w:trHeight w:val="239"/>
        </w:trPr>
        <w:tc>
          <w:tcPr>
            <w:tcW w:w="5080" w:type="dxa"/>
            <w:vAlign w:val="bottom"/>
            <w:tcBorders>
              <w:bottom w:val="single" w:sz="8" w:color="auto"/>
            </w:tcBorders>
            <w:vMerge w:val="continue"/>
          </w:tcPr>
          <w:p>
            <w:pPr>
              <w:spacing w:after="0"/>
              <w:rPr>
                <w:sz w:val="20"/>
                <w:szCs w:val="20"/>
                <w:color w:val="auto"/>
              </w:rPr>
            </w:pPr>
          </w:p>
        </w:tc>
        <w:tc>
          <w:tcPr>
            <w:tcW w:w="17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Guidance</w:t>
            </w:r>
          </w:p>
        </w:tc>
        <w:tc>
          <w:tcPr>
            <w:tcW w:w="15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Guidance Range</w:t>
            </w:r>
          </w:p>
        </w:tc>
        <w:tc>
          <w:tcPr>
            <w:tcW w:w="0" w:type="dxa"/>
            <w:vAlign w:val="bottom"/>
          </w:tcPr>
          <w:p>
            <w:pPr>
              <w:spacing w:after="0"/>
              <w:rPr>
                <w:sz w:val="1"/>
                <w:szCs w:val="1"/>
                <w:color w:val="auto"/>
              </w:rPr>
            </w:pPr>
          </w:p>
        </w:tc>
      </w:tr>
      <w:tr>
        <w:trPr>
          <w:trHeight w:val="219"/>
        </w:trPr>
        <w:tc>
          <w:tcPr>
            <w:tcW w:w="5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7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90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 - 0</w:t>
            </w:r>
          </w:p>
        </w:tc>
        <w:tc>
          <w:tcPr>
            <w:tcW w:w="0" w:type="dxa"/>
            <w:vAlign w:val="bottom"/>
          </w:tcPr>
          <w:p>
            <w:pPr>
              <w:spacing w:after="0"/>
              <w:rPr>
                <w:sz w:val="1"/>
                <w:szCs w:val="1"/>
                <w:color w:val="auto"/>
              </w:rPr>
            </w:pPr>
          </w:p>
        </w:tc>
      </w:tr>
      <w:tr>
        <w:trPr>
          <w:trHeight w:val="219"/>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20</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2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7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330</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0" w:type="dxa"/>
            <w:vAlign w:val="bottom"/>
          </w:tcPr>
          <w:p>
            <w:pPr>
              <w:spacing w:after="0"/>
              <w:rPr>
                <w:sz w:val="1"/>
                <w:szCs w:val="1"/>
                <w:color w:val="auto"/>
              </w:rPr>
            </w:pPr>
          </w:p>
        </w:tc>
      </w:tr>
      <w:tr>
        <w:trPr>
          <w:trHeight w:val="22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Amortization, and ARO Expense</w:t>
            </w:r>
          </w:p>
        </w:tc>
        <w:tc>
          <w:tcPr>
            <w:tcW w:w="1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680</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0" w:type="dxa"/>
            <w:vAlign w:val="bottom"/>
          </w:tcPr>
          <w:p>
            <w:pPr>
              <w:spacing w:after="0"/>
              <w:rPr>
                <w:sz w:val="1"/>
                <w:szCs w:val="1"/>
                <w:color w:val="auto"/>
              </w:rPr>
            </w:pPr>
          </w:p>
        </w:tc>
      </w:tr>
      <w:tr>
        <w:trPr>
          <w:trHeight w:val="172"/>
        </w:trPr>
        <w:tc>
          <w:tcPr>
            <w:tcW w:w="508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color w:val="auto"/>
              </w:rPr>
              <w:t>Adjustment to reflect CWEN share of Adjusted EBITDA in</w:t>
            </w:r>
          </w:p>
        </w:tc>
        <w:tc>
          <w:tcPr>
            <w:tcW w:w="17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unconsolidated affiliates</w:t>
            </w:r>
          </w:p>
        </w:tc>
        <w:tc>
          <w:tcPr>
            <w:tcW w:w="17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26"/>
        </w:trPr>
        <w:tc>
          <w:tcPr>
            <w:tcW w:w="5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Non-Cash Equity Compensation</w:t>
            </w:r>
          </w:p>
        </w:tc>
        <w:tc>
          <w:tcPr>
            <w:tcW w:w="1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5</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5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7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1,175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1,195 - 1,235</w:t>
            </w:r>
          </w:p>
        </w:tc>
        <w:tc>
          <w:tcPr>
            <w:tcW w:w="0" w:type="dxa"/>
            <w:vAlign w:val="bottom"/>
          </w:tcPr>
          <w:p>
            <w:pPr>
              <w:spacing w:after="0"/>
              <w:rPr>
                <w:sz w:val="1"/>
                <w:szCs w:val="1"/>
                <w:color w:val="auto"/>
              </w:rPr>
            </w:pPr>
          </w:p>
        </w:tc>
      </w:tr>
      <w:tr>
        <w:trPr>
          <w:trHeight w:val="219"/>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interest paid</w:t>
            </w:r>
          </w:p>
        </w:tc>
        <w:tc>
          <w:tcPr>
            <w:tcW w:w="17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(310)</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0" w:type="dxa"/>
            <w:vAlign w:val="bottom"/>
          </w:tcPr>
          <w:p>
            <w:pPr>
              <w:spacing w:after="0"/>
              <w:rPr>
                <w:sz w:val="1"/>
                <w:szCs w:val="1"/>
                <w:color w:val="auto"/>
              </w:rPr>
            </w:pPr>
          </w:p>
        </w:tc>
      </w:tr>
      <w:tr>
        <w:trPr>
          <w:trHeight w:val="22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prepaid and accrued liabilities for tolling agreements</w:t>
            </w:r>
          </w:p>
        </w:tc>
        <w:tc>
          <w:tcPr>
            <w:tcW w:w="17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72"/>
        </w:trPr>
        <w:tc>
          <w:tcPr>
            <w:tcW w:w="5080" w:type="dxa"/>
            <w:vAlign w:val="bottom"/>
          </w:tcPr>
          <w:p>
            <w:pPr>
              <w:ind w:left="220"/>
              <w:spacing w:after="0" w:line="172" w:lineRule="exact"/>
              <w:rPr>
                <w:sz w:val="20"/>
                <w:szCs w:val="20"/>
                <w:color w:val="auto"/>
              </w:rPr>
            </w:pPr>
            <w:r>
              <w:rPr>
                <w:rFonts w:ascii="Times New Roman" w:cs="Times New Roman" w:eastAsia="Times New Roman" w:hAnsi="Times New Roman"/>
                <w:sz w:val="18"/>
                <w:szCs w:val="18"/>
                <w:color w:val="auto"/>
              </w:rPr>
              <w:t>Adjustments to reflect sale-type leases and payments for lease</w:t>
            </w:r>
          </w:p>
        </w:tc>
        <w:tc>
          <w:tcPr>
            <w:tcW w:w="1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expenses</w:t>
            </w:r>
          </w:p>
        </w:tc>
        <w:tc>
          <w:tcPr>
            <w:tcW w:w="1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28"/>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Pro-rata Adjusted EBITDA from unconsolidated affiliates</w:t>
            </w:r>
          </w:p>
        </w:tc>
        <w:tc>
          <w:tcPr>
            <w:tcW w:w="17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(85)</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52"/>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distributions from unconsolidated affiliates</w:t>
            </w:r>
            <w:r>
              <w:rPr>
                <w:rFonts w:ascii="Times New Roman" w:cs="Times New Roman" w:eastAsia="Times New Roman" w:hAnsi="Times New Roman"/>
                <w:sz w:val="22"/>
                <w:szCs w:val="22"/>
                <w:color w:val="auto"/>
                <w:vertAlign w:val="superscript"/>
              </w:rPr>
              <w:t>8</w:t>
            </w:r>
          </w:p>
        </w:tc>
        <w:tc>
          <w:tcPr>
            <w:tcW w:w="1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45</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26"/>
        </w:trPr>
        <w:tc>
          <w:tcPr>
            <w:tcW w:w="50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Payments</w:t>
            </w:r>
          </w:p>
        </w:tc>
        <w:tc>
          <w:tcPr>
            <w:tcW w:w="17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from Operating Activities</w:t>
            </w:r>
          </w:p>
        </w:tc>
        <w:tc>
          <w:tcPr>
            <w:tcW w:w="17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830</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844 - 884</w:t>
            </w:r>
          </w:p>
        </w:tc>
        <w:tc>
          <w:tcPr>
            <w:tcW w:w="0" w:type="dxa"/>
            <w:vAlign w:val="bottom"/>
          </w:tcPr>
          <w:p>
            <w:pPr>
              <w:spacing w:after="0"/>
              <w:rPr>
                <w:sz w:val="1"/>
                <w:szCs w:val="1"/>
                <w:color w:val="auto"/>
              </w:rPr>
            </w:pPr>
          </w:p>
        </w:tc>
      </w:tr>
      <w:tr>
        <w:trPr>
          <w:trHeight w:val="245"/>
        </w:trPr>
        <w:tc>
          <w:tcPr>
            <w:tcW w:w="5080" w:type="dxa"/>
            <w:vAlign w:val="bottom"/>
            <w:shd w:val="clear" w:color="auto" w:fill="CCEEFF"/>
          </w:tcPr>
          <w:p>
            <w:pPr>
              <w:ind w:left="180"/>
              <w:spacing w:after="0" w:line="245" w:lineRule="exact"/>
              <w:rPr>
                <w:sz w:val="20"/>
                <w:szCs w:val="20"/>
                <w:color w:val="auto"/>
              </w:rPr>
            </w:pPr>
            <w:r>
              <w:rPr>
                <w:rFonts w:ascii="Times New Roman" w:cs="Times New Roman" w:eastAsia="Times New Roman" w:hAnsi="Times New Roman"/>
                <w:sz w:val="18"/>
                <w:szCs w:val="18"/>
                <w:color w:val="auto"/>
              </w:rPr>
              <w:t>Net distributions to non-controlling interest</w:t>
            </w:r>
            <w:r>
              <w:rPr>
                <w:rFonts w:ascii="Times New Roman" w:cs="Times New Roman" w:eastAsia="Times New Roman" w:hAnsi="Times New Roman"/>
                <w:sz w:val="22"/>
                <w:szCs w:val="22"/>
                <w:color w:val="auto"/>
                <w:vertAlign w:val="superscript"/>
              </w:rPr>
              <w:t>9</w:t>
            </w:r>
          </w:p>
        </w:tc>
        <w:tc>
          <w:tcPr>
            <w:tcW w:w="17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2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receipts from notes receivable</w:t>
            </w:r>
          </w:p>
        </w:tc>
        <w:tc>
          <w:tcPr>
            <w:tcW w:w="17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2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17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26"/>
        </w:trPr>
        <w:tc>
          <w:tcPr>
            <w:tcW w:w="5080" w:type="dxa"/>
            <w:vAlign w:val="bottom"/>
            <w:tcBorders>
              <w:bottom w:val="single" w:sz="8" w:color="auto"/>
            </w:tcBorders>
          </w:tcPr>
          <w:p>
            <w:pPr>
              <w:ind w:left="180"/>
              <w:spacing w:after="0" w:line="225" w:lineRule="exact"/>
              <w:rPr>
                <w:sz w:val="20"/>
                <w:szCs w:val="20"/>
                <w:color w:val="auto"/>
              </w:rPr>
            </w:pPr>
            <w:r>
              <w:rPr>
                <w:rFonts w:ascii="Times New Roman" w:cs="Times New Roman" w:eastAsia="Times New Roman" w:hAnsi="Times New Roman"/>
                <w:sz w:val="18"/>
                <w:szCs w:val="18"/>
                <w:color w:val="auto"/>
              </w:rPr>
              <w:t>Principal amortization of indebtedness</w:t>
            </w:r>
            <w:r>
              <w:rPr>
                <w:rFonts w:ascii="Times New Roman" w:cs="Times New Roman" w:eastAsia="Times New Roman" w:hAnsi="Times New Roman"/>
                <w:sz w:val="22"/>
                <w:szCs w:val="22"/>
                <w:color w:val="auto"/>
                <w:vertAlign w:val="superscript"/>
              </w:rPr>
              <w:t>10</w:t>
            </w:r>
          </w:p>
        </w:tc>
        <w:tc>
          <w:tcPr>
            <w:tcW w:w="17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(295)</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219"/>
        </w:trPr>
        <w:tc>
          <w:tcPr>
            <w:tcW w:w="5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Available for Distribution</w:t>
            </w:r>
          </w:p>
        </w:tc>
        <w:tc>
          <w:tcPr>
            <w:tcW w:w="17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395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400 - 440</w:t>
            </w: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Appendix Table A-8: Adjusted EBITDA and Cash Available for Distribution Growth Projects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60" w:type="dxa"/>
            <w:vAlign w:val="bottom"/>
          </w:tcPr>
          <w:p>
            <w:pPr>
              <w:jc w:val="right"/>
              <w:ind w:right="619"/>
              <w:spacing w:after="0"/>
              <w:rPr>
                <w:sz w:val="20"/>
                <w:szCs w:val="20"/>
                <w:color w:val="auto"/>
              </w:rPr>
            </w:pPr>
            <w:r>
              <w:rPr>
                <w:rFonts w:ascii="Times New Roman" w:cs="Times New Roman" w:eastAsia="Times New Roman" w:hAnsi="Times New Roman"/>
                <w:sz w:val="18"/>
                <w:szCs w:val="18"/>
                <w:b w:val="1"/>
                <w:bCs w:val="1"/>
                <w:color w:val="auto"/>
              </w:rPr>
              <w:t>Pine Forest</w:t>
            </w:r>
          </w:p>
        </w:tc>
        <w:tc>
          <w:tcPr>
            <w:tcW w:w="0" w:type="dxa"/>
            <w:vAlign w:val="bottom"/>
          </w:tcPr>
          <w:p>
            <w:pPr>
              <w:spacing w:after="0"/>
              <w:rPr>
                <w:sz w:val="1"/>
                <w:szCs w:val="1"/>
                <w:color w:val="auto"/>
              </w:rPr>
            </w:pPr>
          </w:p>
        </w:tc>
      </w:tr>
      <w:tr>
        <w:trPr>
          <w:trHeight w:val="239"/>
        </w:trPr>
        <w:tc>
          <w:tcPr>
            <w:tcW w:w="4720" w:type="dxa"/>
            <w:vAlign w:val="bottom"/>
            <w:gridSpan w:val="2"/>
            <w:vMerge w:val="continue"/>
          </w:tcPr>
          <w:p>
            <w:pPr>
              <w:spacing w:after="0"/>
              <w:rPr>
                <w:sz w:val="20"/>
                <w:szCs w:val="20"/>
                <w:color w:val="auto"/>
              </w:rPr>
            </w:pPr>
          </w:p>
        </w:tc>
        <w:tc>
          <w:tcPr>
            <w:tcW w:w="2260" w:type="dxa"/>
            <w:vAlign w:val="bottom"/>
          </w:tcPr>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5 Year Ave. 2026-2030</w:t>
            </w:r>
          </w:p>
        </w:tc>
        <w:tc>
          <w:tcPr>
            <w:tcW w:w="0" w:type="dxa"/>
            <w:vAlign w:val="bottom"/>
          </w:tcPr>
          <w:p>
            <w:pPr>
              <w:spacing w:after="0"/>
              <w:rPr>
                <w:sz w:val="1"/>
                <w:szCs w:val="1"/>
                <w:color w:val="auto"/>
              </w:rPr>
            </w:pPr>
          </w:p>
        </w:tc>
      </w:tr>
      <w:tr>
        <w:trPr>
          <w:trHeight w:val="219"/>
        </w:trPr>
        <w:tc>
          <w:tcPr>
            <w:tcW w:w="4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c>
          <w:tcPr>
            <w:tcW w:w="0" w:type="dxa"/>
            <w:vAlign w:val="bottom"/>
          </w:tcPr>
          <w:p>
            <w:pPr>
              <w:spacing w:after="0"/>
              <w:rPr>
                <w:sz w:val="1"/>
                <w:szCs w:val="1"/>
                <w:color w:val="auto"/>
              </w:rPr>
            </w:pPr>
          </w:p>
        </w:tc>
      </w:tr>
      <w:tr>
        <w:trPr>
          <w:trHeight w:val="219"/>
        </w:trPr>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26"/>
        </w:trPr>
        <w:tc>
          <w:tcPr>
            <w:tcW w:w="4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Amortization, and ARO Expense</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9"/>
        </w:trPr>
        <w:tc>
          <w:tcPr>
            <w:tcW w:w="4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0" w:type="dxa"/>
            <w:vAlign w:val="bottom"/>
            <w:tcBorders>
              <w:bottom w:val="single" w:sz="8" w:color="CCEEFF"/>
            </w:tcBorders>
          </w:tcPr>
          <w:p>
            <w:pPr>
              <w:spacing w:after="0"/>
              <w:rPr>
                <w:sz w:val="19"/>
                <w:szCs w:val="19"/>
                <w:color w:val="auto"/>
              </w:rPr>
            </w:pPr>
          </w:p>
        </w:tc>
        <w:tc>
          <w:tcPr>
            <w:tcW w:w="2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w:t>
            </w:r>
          </w:p>
        </w:tc>
        <w:tc>
          <w:tcPr>
            <w:tcW w:w="0" w:type="dxa"/>
            <w:vAlign w:val="bottom"/>
          </w:tcPr>
          <w:p>
            <w:pPr>
              <w:spacing w:after="0"/>
              <w:rPr>
                <w:sz w:val="1"/>
                <w:szCs w:val="1"/>
                <w:color w:val="auto"/>
              </w:rPr>
            </w:pPr>
          </w:p>
        </w:tc>
      </w:tr>
      <w:tr>
        <w:trPr>
          <w:trHeight w:val="219"/>
        </w:trPr>
        <w:tc>
          <w:tcPr>
            <w:tcW w:w="45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interest paid</w:t>
            </w:r>
          </w:p>
        </w:tc>
        <w:tc>
          <w:tcPr>
            <w:tcW w:w="160" w:type="dxa"/>
            <w:vAlign w:val="bottom"/>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from Operating Activities</w:t>
            </w:r>
          </w:p>
        </w:tc>
        <w:tc>
          <w:tcPr>
            <w:tcW w:w="160" w:type="dxa"/>
            <w:vAlign w:val="bottom"/>
            <w:tcBorders>
              <w:bottom w:val="single" w:sz="8" w:color="CCEEFF"/>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w:t>
            </w:r>
          </w:p>
        </w:tc>
        <w:tc>
          <w:tcPr>
            <w:tcW w:w="0" w:type="dxa"/>
            <w:vAlign w:val="bottom"/>
          </w:tcPr>
          <w:p>
            <w:pPr>
              <w:spacing w:after="0"/>
              <w:rPr>
                <w:sz w:val="1"/>
                <w:szCs w:val="1"/>
                <w:color w:val="auto"/>
              </w:rPr>
            </w:pPr>
          </w:p>
        </w:tc>
      </w:tr>
      <w:tr>
        <w:trPr>
          <w:trHeight w:val="219"/>
        </w:trPr>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distributions (to)/from non-controlling interest</w:t>
            </w:r>
          </w:p>
        </w:tc>
        <w:tc>
          <w:tcPr>
            <w:tcW w:w="16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26"/>
        </w:trPr>
        <w:tc>
          <w:tcPr>
            <w:tcW w:w="4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Principal amortization of indebtedness</w:t>
            </w: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4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Cash Available for Distribution</w:t>
            </w:r>
          </w:p>
        </w:tc>
        <w:tc>
          <w:tcPr>
            <w:tcW w:w="16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16846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84655"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100" w:hanging="94"/>
        <w:spacing w:after="0"/>
        <w:tabs>
          <w:tab w:leader="none" w:pos="10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Distribution from unconsolidated affiliates can be classified as Return of Investment on Unconsolidated Affiliates when actuals are reported. This is below cash from operating activities</w:t>
      </w:r>
    </w:p>
    <w:p>
      <w:pPr>
        <w:spacing w:after="0" w:line="28" w:lineRule="exact"/>
        <w:rPr>
          <w:sz w:val="20"/>
          <w:szCs w:val="20"/>
          <w:color w:val="auto"/>
        </w:rPr>
      </w:pPr>
    </w:p>
    <w:p>
      <w:pPr>
        <w:ind w:right="6640" w:firstLine="6"/>
        <w:spacing w:after="0" w:line="202" w:lineRule="auto"/>
        <w:tabs>
          <w:tab w:leader="none" w:pos="101"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 xml:space="preserve">Includes tax equity proceeds and distributions to tax equity partners </w:t>
      </w:r>
      <w:r>
        <w:rPr>
          <w:rFonts w:ascii="Times New Roman" w:cs="Times New Roman" w:eastAsia="Times New Roman" w:hAnsi="Times New Roman"/>
          <w:sz w:val="22"/>
          <w:szCs w:val="22"/>
          <w:color w:val="auto"/>
          <w:vertAlign w:val="superscript"/>
        </w:rPr>
        <w:t>10</w:t>
      </w:r>
      <w:r>
        <w:rPr>
          <w:rFonts w:ascii="Times New Roman" w:cs="Times New Roman" w:eastAsia="Times New Roman" w:hAnsi="Times New Roman"/>
          <w:sz w:val="14"/>
          <w:szCs w:val="14"/>
          <w:color w:val="auto"/>
        </w:rPr>
        <w:t xml:space="preserve"> 2024 and 2025 excludes maturities assumed to be refinanced</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0580"/>
          </w:cols>
          <w:pgMar w:left="320" w:top="749"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9"/>
          <w:szCs w:val="19"/>
          <w:b w:val="1"/>
          <w:bCs w:val="1"/>
          <w:color w:val="auto"/>
        </w:rPr>
        <w:t>Non-GAAP Financial Information</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2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EBITDA, Adjusted EBITDA, and Cash Available for Distribution (CAFD) are non-GAAP financial measures. These measurements are not recognized in accordance with GAAP and should not be viewed as an alternative to GAAP measures of performance. The presentation of non-GAAP financial measures should not be construed as an inference that Clearway Energy’s future results will be unaffected by unusual or non-recurring items.</w:t>
      </w:r>
    </w:p>
    <w:p>
      <w:pPr>
        <w:spacing w:after="0" w:line="2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EBITDA represents net income before interest (including loss on debt extinguishment), taxes, depreciation and amortization. EBITDA is presented because Clearway Energy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spacing w:after="0" w:line="2" w:lineRule="exact"/>
        <w:rPr>
          <w:sz w:val="20"/>
          <w:szCs w:val="20"/>
          <w:color w:val="auto"/>
        </w:rPr>
      </w:pPr>
    </w:p>
    <w:p>
      <w:pPr>
        <w:ind w:left="320" w:hanging="314"/>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cash expenditures, or future requirements for capital expenditures, or contractual commitments;</w:t>
      </w:r>
    </w:p>
    <w:p>
      <w:pPr>
        <w:spacing w:after="0" w:line="5"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changes in, or cash requirements for, working capital needs;</w:t>
      </w:r>
    </w:p>
    <w:p>
      <w:pPr>
        <w:spacing w:after="0" w:line="5" w:lineRule="exact"/>
        <w:rPr>
          <w:rFonts w:ascii="Times New Roman" w:cs="Times New Roman" w:eastAsia="Times New Roman" w:hAnsi="Times New Roman"/>
          <w:sz w:val="18"/>
          <w:szCs w:val="18"/>
          <w:color w:val="auto"/>
        </w:rPr>
      </w:pPr>
    </w:p>
    <w:p>
      <w:pPr>
        <w:ind w:left="320" w:right="20" w:hanging="314"/>
        <w:spacing w:after="0" w:line="246" w:lineRule="auto"/>
        <w:tabs>
          <w:tab w:leader="none" w:pos="31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the significant interest expense, or the cash requirements necessary to service interest or principal payments, on debt or cash income tax payments;</w:t>
      </w:r>
    </w:p>
    <w:p>
      <w:pPr>
        <w:ind w:left="320" w:hanging="314"/>
        <w:spacing w:after="0" w:line="246" w:lineRule="auto"/>
        <w:tabs>
          <w:tab w:leader="none" w:pos="31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EBITDA does not reflect any cash requirements for such replacements; and</w:t>
      </w:r>
    </w:p>
    <w:p>
      <w:pPr>
        <w:ind w:left="320" w:hanging="314"/>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this industry may calculate EBITDA differently than Clearway Energy does, limiting its usefulness as a comparative measure.</w:t>
      </w:r>
    </w:p>
    <w:p>
      <w:pPr>
        <w:spacing w:after="0" w:line="2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Because of these limitations, EBITDA should not be considered as a measure of discretionary cash available to use to invest in the growth of Clearway Energy’s business. Clearway Energy compensates for these limitations by relying primarily on our GAAP results and using EBITDA and Adjusted EBITDA only supplementally. See the statements of cash flow included in the financial statements that are a part of this news release.</w:t>
      </w:r>
    </w:p>
    <w:p>
      <w:pPr>
        <w:spacing w:after="0" w:line="2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Adjusted EBITDA is presented as a further supplemental measure of operating performance. Adjusted EBITDA represents EBITDA adjusted for mark-to-market gains or losses, non-cash equity compensation expense, asset write offs and impairments; and factors which we do not consider indicative of future operating performance such as transition and integration related costs. The reader is encouraged to evaluate each adjustment and the reasons Clearway Energy considers it appropriate for supplemental analysis. As an analytical tool, Adjusted EBITDA is subject to all of the limitations applicable to EBITDA. In addition, in evaluating Adjusted EBITDA, the reader should be aware that in the future Clearway Energy may incur expenses similar to the adjustments in this news release.</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spacing w:after="0" w:line="20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non-cash equity compensation expense, dispositions or retirements of assets, any mark-to-market gains or losses from accounting for derivatives, adjustments to exclude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1240"/>
          </w:cols>
          <w:pgMar w:left="320" w:top="128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Cash Available for Distribution</w:t>
      </w:r>
    </w:p>
    <w:p>
      <w:pPr>
        <w:spacing w:after="0" w:line="2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non-GAAP measure, Cash Available for Distribution is defined as of September 30, 2024 as Adjusted EBITDA plus cash distributions/return of investment from unconsolidated affiliates, cash receipts from notes receivable, cash distributions from noncontrolling interests, adjustments to reflect sales-type lease cash payments and payments for lease expenses,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 Management believes CAFD is a relevant supplemental measure of the Company’s ability to earn and distribute cash returns to investors.</w:t>
      </w:r>
    </w:p>
    <w:p>
      <w:pPr>
        <w:spacing w:after="0" w:line="2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believe CAFD is useful to investors in evaluating our operating performance because securities analysts and other interested parties use such calculations as a measure of our ability to make quarterly distributions. In addition, CAFD is used by our management team for determining future acquisitions and managing our growth. The GAAP measure most directly comparable to CAFD is cash provided by operating activities.</w:t>
      </w:r>
    </w:p>
    <w:p>
      <w:pPr>
        <w:spacing w:after="0" w:line="2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However, CAFD has limitations as an analytical tool because it does not include changes in operating assets and liabilities and excludes the effect of certain other cash flow items, all of which could have a material effect on our financial condition and results from operations. CAFD is a non-GAAP measure and should not be considered an alternative to cash provided by operating activities or any other performance or liquidity measure determined in accordance with GAAP, nor is it indicative of funds available to fund our cash needs. In addition, our calculations of CAFD are not necessarily comparable to CAFD as calculated by other companies. Investors should not rely on these measures as a substitute for any GAAP measure, including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sectPr>
      <w:pgSz w:w="11900" w:h="16838" w:orient="portrait"/>
      <w:cols w:equalWidth="0" w:num="1">
        <w:col w:w="11240"/>
      </w:cols>
      <w:pgMar w:left="320" w:top="8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bullet"/>
      <w:start w:val="1"/>
    </w:lvl>
  </w:abstractNum>
  <w:abstractNum w:abstractNumId="3">
    <w:nsid w:val="515F007C"/>
    <w:multiLevelType w:val="hybridMultilevel"/>
    <w:lvl w:ilvl="0">
      <w:lvlJc w:val="left"/>
      <w:lvlText w:val="2"/>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3"/>
      <w:numFmt w:val="bullet"/>
      <w:start w:val="1"/>
    </w:lvl>
  </w:abstractNum>
  <w:abstractNum w:abstractNumId="7">
    <w:nsid w:val="216231B"/>
    <w:multiLevelType w:val="hybridMultilevel"/>
    <w:lvl w:ilvl="0">
      <w:lvlJc w:val="left"/>
      <w:lvlText w:val="4"/>
      <w:numFmt w:val="bullet"/>
      <w:start w:val="1"/>
    </w:lvl>
  </w:abstractNum>
  <w:abstractNum w:abstractNumId="8">
    <w:nsid w:val="1F16E9E8"/>
    <w:multiLevelType w:val="hybridMultilevel"/>
    <w:lvl w:ilvl="0">
      <w:lvlJc w:val="left"/>
      <w:lvlText w:val="5"/>
      <w:numFmt w:val="bullet"/>
      <w:start w:val="1"/>
    </w:lvl>
  </w:abstractNum>
  <w:abstractNum w:abstractNumId="9">
    <w:nsid w:val="1190CDE7"/>
    <w:multiLevelType w:val="hybridMultilevel"/>
    <w:lvl w:ilvl="0">
      <w:lvlJc w:val="left"/>
      <w:lvlText w:val="6"/>
      <w:numFmt w:val="bullet"/>
      <w:start w:val="1"/>
    </w:lvl>
  </w:abstractNum>
  <w:abstractNum w:abstractNumId="10">
    <w:nsid w:val="66EF438D"/>
    <w:multiLevelType w:val="hybridMultilevel"/>
    <w:lvl w:ilvl="0">
      <w:lvlJc w:val="left"/>
      <w:lvlText w:val="8"/>
      <w:numFmt w:val="bullet"/>
      <w:start w:val="1"/>
    </w:lvl>
  </w:abstractNum>
  <w:abstractNum w:abstractNumId="11">
    <w:nsid w:val="140E0F76"/>
    <w:multiLevelType w:val="hybridMultilevel"/>
    <w:lvl w:ilvl="0">
      <w:lvlJc w:val="left"/>
      <w:lvlText w:val="9"/>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2024-10-30T05:22:15Z</dcterms:created>
  <dcterms:modified xsi:type="dcterms:W3CDTF">2024-10-30T05:22:15Z</dcterms:modified>
</cp:coreProperties>
</file>