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7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BlackRock Portfolio Management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Clearway Energy,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780" w:type="dxa"/>
            <w:vAlign w:val="bottom"/>
            <w:tcBorders>
              <w:top w:val="single" w:sz="8" w:color="0000EE"/>
            </w:tcBorders>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220" w:type="dxa"/>
            <w:vAlign w:val="bottom"/>
            <w:tcBorders>
              <w:top w:val="single" w:sz="8" w:color="0000EE"/>
              <w:bottom w:val="single" w:sz="8" w:color="9A9A9A"/>
            </w:tcBorders>
          </w:tcPr>
          <w:p>
            <w:pPr>
              <w:spacing w:after="0"/>
              <w:rPr>
                <w:sz w:val="16"/>
                <w:szCs w:val="16"/>
                <w:color w:val="auto"/>
              </w:rPr>
            </w:pPr>
          </w:p>
        </w:tc>
        <w:tc>
          <w:tcPr>
            <w:tcW w:w="1380" w:type="dxa"/>
            <w:vAlign w:val="bottom"/>
            <w:tcBorders>
              <w:top w:val="single" w:sz="8" w:color="0000EE"/>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780" w:type="dxa"/>
            <w:vAlign w:val="bottom"/>
            <w:tcBorders>
              <w:bottom w:val="single" w:sz="8" w:color="2C2C2C"/>
            </w:tcBorders>
          </w:tcPr>
          <w:p>
            <w:pPr>
              <w:spacing w:after="0"/>
              <w:rPr>
                <w:sz w:val="16"/>
                <w:szCs w:val="16"/>
                <w:color w:val="auto"/>
              </w:rPr>
            </w:pPr>
          </w:p>
        </w:tc>
        <w:tc>
          <w:tcPr>
            <w:tcW w:w="18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20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04/01/2025</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50 HUDSON YARDS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8" w:lineRule="exact"/>
        <w:rPr>
          <w:sz w:val="20"/>
          <w:szCs w:val="20"/>
          <w:color w:val="auto"/>
        </w:rPr>
      </w:pPr>
    </w:p>
    <w:p>
      <w:pPr>
        <w:sectPr>
          <w:pgSz w:w="11900" w:h="16838" w:orient="portrait"/>
          <w:cols w:equalWidth="0" w:num="2">
            <w:col w:w="7660" w:space="75"/>
            <w:col w:w="3345"/>
          </w:cols>
          <w:pgMar w:left="460" w:top="219" w:right="359" w:bottom="73"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8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04/02/2025</w:t>
            </w: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20" w:type="dxa"/>
            <w:vAlign w:val="bottom"/>
            <w:gridSpan w:val="7"/>
            <w:vMerge w:val="restart"/>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10001</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20" w:type="dxa"/>
            <w:vAlign w:val="bottom"/>
            <w:gridSpan w:val="7"/>
            <w:vMerge w:val="restart"/>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1720" w:type="dxa"/>
            <w:vAlign w:val="bottom"/>
            <w:gridSpan w:val="2"/>
            <w:vMerge w:val="restart"/>
          </w:tcPr>
          <w:p>
            <w:pPr>
              <w:ind w:left="400"/>
              <w:spacing w:after="0"/>
              <w:rPr>
                <w:sz w:val="20"/>
                <w:szCs w:val="20"/>
                <w:color w:val="auto"/>
              </w:rPr>
            </w:pPr>
            <w:r>
              <w:rPr>
                <w:rFonts w:ascii="Arial" w:cs="Arial" w:eastAsia="Arial" w:hAnsi="Arial"/>
                <w:sz w:val="13"/>
                <w:szCs w:val="13"/>
                <w:color w:val="auto"/>
              </w:rPr>
              <w:t>Person</w:t>
            </w: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3"/>
          </w:tcPr>
          <w:p>
            <w:pPr>
              <w:spacing w:after="0"/>
              <w:rPr>
                <w:sz w:val="10"/>
                <w:szCs w:val="10"/>
                <w:color w:val="auto"/>
              </w:rPr>
            </w:pPr>
          </w:p>
        </w:tc>
        <w:tc>
          <w:tcPr>
            <w:tcW w:w="2720" w:type="dxa"/>
            <w:vAlign w:val="bottom"/>
            <w:tcBorders>
              <w:bottom w:val="single" w:sz="8" w:color="2C2C2C"/>
            </w:tcBorders>
            <w:gridSpan w:val="6"/>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2"/>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4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5"/>
                <w:szCs w:val="15"/>
                <w:color w:val="auto"/>
              </w:rPr>
            </w:pP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1140" w:type="dxa"/>
            <w:vAlign w:val="bottom"/>
            <w:tcBorders>
              <w:top w:val="single" w:sz="8" w:color="2C2C2C"/>
            </w:tcBorders>
            <w:gridSpan w:val="3"/>
            <w:vMerge w:val="restart"/>
          </w:tcPr>
          <w:p>
            <w:pPr>
              <w:ind w:left="8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40" w:type="dxa"/>
            <w:vAlign w:val="bottom"/>
            <w:vMerge w:val="restart"/>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140" w:type="dxa"/>
            <w:vAlign w:val="bottom"/>
            <w:gridSpan w:val="3"/>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3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34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0000FF"/>
              </w:rPr>
              <w:t>04/01/2025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44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567,594</w:t>
            </w:r>
          </w:p>
        </w:tc>
        <w:tc>
          <w:tcPr>
            <w:tcW w:w="3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w w:val="81"/>
              </w:rPr>
              <w:t>D</w:t>
            </w:r>
          </w:p>
        </w:tc>
        <w:tc>
          <w:tcPr>
            <w:tcW w:w="820" w:type="dxa"/>
            <w:vAlign w:val="bottom"/>
            <w:gridSpan w:val="2"/>
            <w:vMerge w:val="restart"/>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30.47</w:t>
            </w:r>
          </w:p>
        </w:tc>
        <w:tc>
          <w:tcPr>
            <w:tcW w:w="40" w:type="dxa"/>
            <w:vAlign w:val="bottom"/>
          </w:tcPr>
          <w:p>
            <w:pPr>
              <w:spacing w:after="0"/>
              <w:rPr>
                <w:sz w:val="21"/>
                <w:szCs w:val="21"/>
                <w:color w:val="auto"/>
              </w:rPr>
            </w:pPr>
          </w:p>
        </w:tc>
        <w:tc>
          <w:tcPr>
            <w:tcW w:w="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58,505</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13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12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160" w:type="dxa"/>
            <w:vAlign w:val="bottom"/>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4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grant of shares of restricted stock of the Issuer granted by Clearway Energy Group under its Long Term Equity Incentive Program to one or more of its employees.</w:t>
      </w:r>
    </w:p>
    <w:p>
      <w:pPr>
        <w:spacing w:after="0" w:line="50" w:lineRule="exact"/>
        <w:rPr>
          <w:rFonts w:ascii="Times New Roman" w:cs="Times New Roman" w:eastAsia="Times New Roman" w:hAnsi="Times New Roman"/>
          <w:sz w:val="13"/>
          <w:szCs w:val="13"/>
          <w:color w:val="008000"/>
        </w:rPr>
      </w:pPr>
    </w:p>
    <w:p>
      <w:pPr>
        <w:ind w:left="40" w:right="2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(the "GIP Entities")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Michael McGhee, Rajaram Rao, Deepak Agrawal, Julie Ashworth, Jonathan Bram, William Brilliant, Matthew Harris, Tom Horton, Robert O'Brien and Salim Samaha,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BlackRock Portfolio Management LLC and the GIP Entities disclaim beneficial ownership of the securities reported herein, except to the extent of their respective pecuniary interest therein, if any, and, pursuant to Rule 16a-1(a)(4) under the Securities Exchange Act of 1934, as amended, BlackRock Portfolio Management LLC and the GIP Entities state that the inclusion of these securities in this report shall not be deemed an admission of beneficial ownership of the securities reported herein for purposes of Section 16 or for any other purpose.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180"/>
        <w:spacing w:after="0" w:line="241" w:lineRule="auto"/>
        <w:rPr>
          <w:sz w:val="20"/>
          <w:szCs w:val="20"/>
          <w:color w:val="auto"/>
        </w:rPr>
      </w:pPr>
      <w:r>
        <w:rPr>
          <w:rFonts w:ascii="Times New Roman" w:cs="Times New Roman" w:eastAsia="Times New Roman" w:hAnsi="Times New Roman"/>
          <w:sz w:val="13"/>
          <w:szCs w:val="13"/>
          <w:color w:val="008000"/>
        </w:rPr>
        <w:t>This Form 4/A amends the original Form 4 filed by the Reporting Person on April 2, 2025 (the "Original Form 4"). This amendment restates the number of shares of restricted stock granted on April 1, 2025 to reflect a grant made to an employee in connection with their election to receive a portion of their 2024 bonus in the form of stock rather than cash, and the resulting balance of securities beneficially owned following the transactions reported herein. Information contained in this Form 4 reflects ownership and other information as of April 1, 2025. This amendment is also deemed to adjust the reported balances in the Forms 4 filed by the Reporting Person after the filing of the Original Form 4 through the date of this filing. In accordance with SEC Release No. 34-39538 (January 12, 1998), BlackRock Portfolio Management LLC is reporting Issuer securities beneficially owned, or deemed to be beneficially owned, by certain business units (collectively, the "Reporting Business Units") of BlackRock, Inc. and its subsidiaries and affiliates. This filing does not include Issuer securities, if any, beneficially owned by other business units whose beneficial ownership of securities is disaggregated from that of the Reporting Business Units in accordance with such release.</w:t>
      </w:r>
    </w:p>
    <w:p>
      <w:pPr>
        <w:spacing w:after="0" w:line="5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BlackRock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074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80"/>
        <w:spacing w:after="0" w:line="201" w:lineRule="auto"/>
        <w:tabs>
          <w:tab w:leader="none" w:pos="8760" w:val="left"/>
        </w:tabs>
        <w:rPr>
          <w:sz w:val="20"/>
          <w:szCs w:val="20"/>
          <w:color w:val="auto"/>
        </w:rPr>
      </w:pPr>
      <w:r>
        <w:rPr>
          <w:rFonts w:ascii="Times New Roman" w:cs="Times New Roman" w:eastAsia="Times New Roman" w:hAnsi="Times New Roman"/>
          <w:sz w:val="17"/>
          <w:szCs w:val="17"/>
          <w:color w:val="0000FF"/>
        </w:rPr>
        <w:t>Management LLC By: /s/</w:t>
      </w:r>
      <w:r>
        <w:rPr>
          <w:sz w:val="20"/>
          <w:szCs w:val="20"/>
          <w:color w:val="auto"/>
        </w:rPr>
        <w:tab/>
      </w:r>
      <w:r>
        <w:rPr>
          <w:rFonts w:ascii="Times New Roman" w:cs="Times New Roman" w:eastAsia="Times New Roman" w:hAnsi="Times New Roman"/>
          <w:sz w:val="26"/>
          <w:szCs w:val="26"/>
          <w:color w:val="0000FF"/>
          <w:vertAlign w:val="subscript"/>
        </w:rPr>
        <w:t>05/23/2025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127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Julie Ashworth,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185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185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279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2052113"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2025-05-23T15:24:11Z</dcterms:created>
  <dcterms:modified xsi:type="dcterms:W3CDTF">2025-05-23T15:24:11Z</dcterms:modified>
</cp:coreProperties>
</file>