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3"/>
          <w:szCs w:val="23"/>
          <w:color w:val="auto"/>
        </w:rPr>
        <w:t>SEC Form 3</w:t>
      </w:r>
    </w:p>
    <w:p>
      <w:pPr>
        <w:spacing w:after="0" w:line="14" w:lineRule="exact"/>
        <w:rPr>
          <w:sz w:val="24"/>
          <w:szCs w:val="24"/>
          <w:color w:val="auto"/>
        </w:rPr>
      </w:pPr>
    </w:p>
    <w:tbl>
      <w:tblPr>
        <w:tblLayout w:type="fixed"/>
        <w:tblInd w:w="600" w:type="dxa"/>
        <w:tblCellMar>
          <w:top w:w="0" w:type="dxa"/>
          <w:left w:w="0" w:type="dxa"/>
          <w:bottom w:w="0" w:type="dxa"/>
          <w:right w:w="0" w:type="dxa"/>
        </w:tblCellMar>
      </w:tblPr>
      <w:tr>
        <w:trPr>
          <w:trHeight w:val="299"/>
        </w:trPr>
        <w:tc>
          <w:tcPr>
            <w:tcW w:w="1640" w:type="dxa"/>
            <w:vAlign w:val="bottom"/>
          </w:tcPr>
          <w:p>
            <w:pPr>
              <w:spacing w:after="0"/>
              <w:rPr>
                <w:sz w:val="20"/>
                <w:szCs w:val="20"/>
                <w:color w:val="auto"/>
              </w:rPr>
            </w:pPr>
            <w:r>
              <w:rPr>
                <w:rFonts w:ascii="Arial" w:cs="Arial" w:eastAsia="Arial" w:hAnsi="Arial"/>
                <w:sz w:val="26"/>
                <w:szCs w:val="26"/>
                <w:b w:val="1"/>
                <w:bCs w:val="1"/>
                <w:color w:val="auto"/>
              </w:rPr>
              <w:t>FORM 3</w:t>
            </w:r>
          </w:p>
        </w:tc>
        <w:tc>
          <w:tcPr>
            <w:tcW w:w="6580" w:type="dxa"/>
            <w:vAlign w:val="bottom"/>
          </w:tcPr>
          <w:p>
            <w:pPr>
              <w:jc w:val="center"/>
              <w:ind w:right="19"/>
              <w:spacing w:after="0"/>
              <w:rPr>
                <w:sz w:val="20"/>
                <w:szCs w:val="20"/>
                <w:color w:val="auto"/>
              </w:rPr>
            </w:pPr>
            <w:r>
              <w:rPr>
                <w:rFonts w:ascii="Arial" w:cs="Arial" w:eastAsia="Arial" w:hAnsi="Arial"/>
                <w:sz w:val="23"/>
                <w:szCs w:val="23"/>
                <w:b w:val="1"/>
                <w:bCs w:val="1"/>
                <w:color w:val="auto"/>
                <w:w w:val="99"/>
              </w:rPr>
              <w:t>UNITED STATES SECURITIES AND EXCHANGE</w:t>
            </w: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1640" w:type="dxa"/>
            <w:vAlign w:val="bottom"/>
          </w:tcPr>
          <w:p>
            <w:pPr>
              <w:spacing w:after="0"/>
              <w:rPr>
                <w:sz w:val="2"/>
                <w:szCs w:val="2"/>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23"/>
                <w:szCs w:val="23"/>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65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980" w:type="dxa"/>
            <w:vAlign w:val="bottom"/>
            <w:tcBorders>
              <w:top w:val="single" w:sz="8" w:color="2C2C2C"/>
            </w:tcBorders>
          </w:tcPr>
          <w:p>
            <w:pPr>
              <w:jc w:val="center"/>
              <w:spacing w:after="0" w:line="182" w:lineRule="exact"/>
              <w:rPr>
                <w:sz w:val="20"/>
                <w:szCs w:val="20"/>
                <w:color w:val="auto"/>
              </w:rPr>
            </w:pPr>
            <w:r>
              <w:rPr>
                <w:rFonts w:ascii="Arial" w:cs="Arial" w:eastAsia="Arial" w:hAnsi="Arial"/>
                <w:sz w:val="19"/>
                <w:szCs w:val="19"/>
                <w:color w:val="auto"/>
                <w:w w:val="96"/>
              </w:rPr>
              <w:t>OMB APPROVAL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640" w:type="dxa"/>
            <w:vAlign w:val="bottom"/>
          </w:tcPr>
          <w:p>
            <w:pPr>
              <w:spacing w:after="0"/>
              <w:rPr>
                <w:sz w:val="5"/>
                <w:szCs w:val="5"/>
                <w:color w:val="auto"/>
              </w:rPr>
            </w:pPr>
          </w:p>
        </w:tc>
        <w:tc>
          <w:tcPr>
            <w:tcW w:w="6580" w:type="dxa"/>
            <w:vAlign w:val="bottom"/>
            <w:vMerge w:val="restart"/>
          </w:tcPr>
          <w:p>
            <w:pPr>
              <w:jc w:val="center"/>
              <w:ind w:right="19"/>
              <w:spacing w:after="0"/>
              <w:rPr>
                <w:sz w:val="20"/>
                <w:szCs w:val="20"/>
                <w:color w:val="auto"/>
              </w:rPr>
            </w:pPr>
            <w:r>
              <w:rPr>
                <w:rFonts w:ascii="Arial" w:cs="Arial" w:eastAsia="Arial" w:hAnsi="Arial"/>
                <w:sz w:val="14"/>
                <w:szCs w:val="14"/>
                <w:color w:val="auto"/>
              </w:rPr>
              <w:t>Washington, D.C. 20549</w:t>
            </w:r>
          </w:p>
        </w:tc>
        <w:tc>
          <w:tcPr>
            <w:tcW w:w="40" w:type="dxa"/>
            <w:vAlign w:val="bottom"/>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1640" w:type="dxa"/>
            <w:vAlign w:val="bottom"/>
          </w:tcPr>
          <w:p>
            <w:pPr>
              <w:spacing w:after="0"/>
              <w:rPr>
                <w:sz w:val="2"/>
                <w:szCs w:val="2"/>
                <w:color w:val="auto"/>
              </w:rPr>
            </w:pPr>
          </w:p>
        </w:tc>
        <w:tc>
          <w:tcPr>
            <w:tcW w:w="65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1640" w:type="dxa"/>
            <w:vAlign w:val="bottom"/>
          </w:tcPr>
          <w:p>
            <w:pPr>
              <w:spacing w:after="0"/>
              <w:rPr>
                <w:sz w:val="6"/>
                <w:szCs w:val="6"/>
                <w:color w:val="auto"/>
              </w:rPr>
            </w:pPr>
          </w:p>
        </w:tc>
        <w:tc>
          <w:tcPr>
            <w:tcW w:w="65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auto"/>
                <w:w w:val="99"/>
              </w:rPr>
              <w:t>OMB Number:3235-0104</w:t>
            </w:r>
          </w:p>
        </w:tc>
        <w:tc>
          <w:tcPr>
            <w:tcW w:w="0" w:type="dxa"/>
            <w:vAlign w:val="bottom"/>
          </w:tcPr>
          <w:p>
            <w:pPr>
              <w:spacing w:after="0"/>
              <w:rPr>
                <w:sz w:val="1"/>
                <w:szCs w:val="1"/>
                <w:color w:val="auto"/>
              </w:rPr>
            </w:pPr>
          </w:p>
        </w:tc>
      </w:tr>
      <w:tr>
        <w:trPr>
          <w:trHeight w:val="140"/>
        </w:trPr>
        <w:tc>
          <w:tcPr>
            <w:tcW w:w="164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6863715</wp:posOffset>
            </wp:positionH>
            <wp:positionV relativeFrom="paragraph">
              <wp:posOffset>-377190</wp:posOffset>
            </wp:positionV>
            <wp:extent cx="62230" cy="803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230" cy="80327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-377190</wp:posOffset>
            </wp:positionV>
            <wp:extent cx="62230" cy="803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230" cy="803275"/>
                    </a:xfrm>
                    <a:prstGeom prst="rect">
                      <a:avLst/>
                    </a:prstGeom>
                    <a:noFill/>
                  </pic:spPr>
                </pic:pic>
              </a:graphicData>
            </a:graphic>
          </wp:anchor>
        </w:drawing>
      </w:r>
    </w:p>
    <w:p>
      <w:pPr>
        <w:sectPr>
          <w:pgSz w:w="11900" w:h="16838" w:orient="portrait"/>
          <w:cols w:equalWidth="0" w:num="1">
            <w:col w:w="10940"/>
          </w:cols>
          <w:pgMar w:left="480" w:top="225" w:right="479" w:bottom="1440" w:gutter="0" w:footer="0" w:header="0"/>
        </w:sectPr>
      </w:pPr>
    </w:p>
    <w:p>
      <w:pPr>
        <w:spacing w:after="0" w:line="71" w:lineRule="exact"/>
        <w:rPr>
          <w:sz w:val="24"/>
          <w:szCs w:val="24"/>
          <w:color w:val="auto"/>
        </w:rPr>
      </w:pPr>
    </w:p>
    <w:p>
      <w:pPr>
        <w:jc w:val="center"/>
        <w:ind w:left="2500"/>
        <w:spacing w:after="0"/>
        <w:rPr>
          <w:sz w:val="20"/>
          <w:szCs w:val="20"/>
          <w:color w:val="auto"/>
        </w:rPr>
      </w:pPr>
      <w:r>
        <w:rPr>
          <w:rFonts w:ascii="Arial" w:cs="Arial" w:eastAsia="Arial" w:hAnsi="Arial"/>
          <w:sz w:val="22"/>
          <w:szCs w:val="22"/>
          <w:b w:val="1"/>
          <w:bCs w:val="1"/>
          <w:color w:val="auto"/>
        </w:rPr>
        <w:t>INITIAL STATEMENT OF BENEFICIAL OWNERSHIP OF</w:t>
      </w:r>
    </w:p>
    <w:p>
      <w:pPr>
        <w:spacing w:after="0" w:line="30" w:lineRule="exact"/>
        <w:rPr>
          <w:sz w:val="24"/>
          <w:szCs w:val="24"/>
          <w:color w:val="auto"/>
        </w:rPr>
      </w:pPr>
    </w:p>
    <w:p>
      <w:pPr>
        <w:jc w:val="center"/>
        <w:ind w:left="2500"/>
        <w:spacing w:after="0"/>
        <w:rPr>
          <w:sz w:val="20"/>
          <w:szCs w:val="20"/>
          <w:color w:val="auto"/>
        </w:rPr>
      </w:pPr>
      <w:r>
        <w:rPr>
          <w:rFonts w:ascii="Arial" w:cs="Arial" w:eastAsia="Arial" w:hAnsi="Arial"/>
          <w:sz w:val="23"/>
          <w:szCs w:val="23"/>
          <w:b w:val="1"/>
          <w:bCs w:val="1"/>
          <w:color w:val="auto"/>
        </w:rPr>
        <w:t>SECURITIES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380"/>
        <w:spacing w:after="0"/>
        <w:rPr>
          <w:sz w:val="20"/>
          <w:szCs w:val="20"/>
          <w:color w:val="auto"/>
        </w:rPr>
      </w:pPr>
      <w:r>
        <w:rPr>
          <w:rFonts w:ascii="Arial" w:cs="Arial" w:eastAsia="Arial" w:hAnsi="Arial"/>
          <w:sz w:val="13"/>
          <w:szCs w:val="13"/>
          <w:color w:val="auto"/>
        </w:rPr>
        <w:t>Estimated average burden</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1180" w:type="dxa"/>
            <w:vAlign w:val="bottom"/>
          </w:tcPr>
          <w:p>
            <w:pPr>
              <w:ind w:left="60"/>
              <w:spacing w:after="0"/>
              <w:rPr>
                <w:sz w:val="20"/>
                <w:szCs w:val="20"/>
                <w:color w:val="auto"/>
              </w:rPr>
            </w:pPr>
            <w:r>
              <w:rPr>
                <w:rFonts w:ascii="Arial" w:cs="Arial" w:eastAsia="Arial" w:hAnsi="Arial"/>
                <w:sz w:val="13"/>
                <w:szCs w:val="13"/>
                <w:color w:val="auto"/>
              </w:rPr>
              <w:t>hours per</w:t>
            </w: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response:</w:t>
            </w:r>
          </w:p>
        </w:tc>
        <w:tc>
          <w:tcPr>
            <w:tcW w:w="8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8440" w:space="380"/>
            <w:col w:w="2120"/>
          </w:cols>
          <w:pgMar w:left="480" w:top="225" w:right="479" w:bottom="1440" w:gutter="0" w:footer="0" w:header="0"/>
          <w:type w:val="continuous"/>
        </w:sectPr>
      </w:pP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22860</wp:posOffset>
            </wp:positionV>
            <wp:extent cx="6978015" cy="4855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78015" cy="4855845"/>
                    </a:xfrm>
                    <a:prstGeom prst="rect">
                      <a:avLst/>
                    </a:prstGeom>
                    <a:noFill/>
                  </pic:spPr>
                </pic:pic>
              </a:graphicData>
            </a:graphic>
          </wp:anchor>
        </w:drawing>
      </w:r>
    </w:p>
    <w:p>
      <w:pPr>
        <w:sectPr>
          <w:pgSz w:w="11900" w:h="16838" w:orient="portrait"/>
          <w:cols w:equalWidth="0" w:num="1">
            <w:col w:w="10940"/>
          </w:cols>
          <w:pgMar w:left="480" w:top="225" w:right="479" w:bottom="1440" w:gutter="0" w:footer="0" w:header="0"/>
          <w:type w:val="continuous"/>
        </w:sectPr>
      </w:pPr>
    </w:p>
    <w:p>
      <w:pPr>
        <w:spacing w:after="0" w:line="39" w:lineRule="exact"/>
        <w:rPr>
          <w:sz w:val="24"/>
          <w:szCs w:val="24"/>
          <w:color w:val="auto"/>
        </w:rPr>
      </w:pPr>
    </w:p>
    <w:tbl>
      <w:tblPr>
        <w:tblLayout w:type="fixed"/>
        <w:tblInd w:w="80" w:type="dxa"/>
        <w:tblCellMar>
          <w:top w:w="0" w:type="dxa"/>
          <w:left w:w="0" w:type="dxa"/>
          <w:bottom w:w="0" w:type="dxa"/>
          <w:right w:w="0" w:type="dxa"/>
        </w:tblCellMar>
      </w:tblPr>
      <w:tr>
        <w:trPr>
          <w:trHeight w:val="276"/>
        </w:trPr>
        <w:tc>
          <w:tcPr>
            <w:tcW w:w="312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4"/>
                <w:szCs w:val="24"/>
                <w:color w:val="auto"/>
                <w:vertAlign w:val="superscript"/>
              </w:rPr>
              <w:t>*</w:t>
            </w:r>
          </w:p>
        </w:tc>
        <w:tc>
          <w:tcPr>
            <w:tcW w:w="146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gridSpan w:val="2"/>
            <w:vMerge w:val="restart"/>
          </w:tcPr>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color w:val="0000EE"/>
                </w:rPr>
                <w:t>Murphy Michael Taft</w:t>
              </w:r>
            </w:hyperlink>
          </w:p>
        </w:tc>
        <w:tc>
          <w:tcPr>
            <w:tcW w:w="1460" w:type="dxa"/>
            <w:vAlign w:val="bottom"/>
          </w:tcPr>
          <w:p>
            <w:pPr>
              <w:ind w:left="160"/>
              <w:spacing w:after="0" w:line="129" w:lineRule="exact"/>
              <w:rPr>
                <w:sz w:val="20"/>
                <w:szCs w:val="20"/>
                <w:color w:val="auto"/>
              </w:rPr>
            </w:pPr>
            <w:r>
              <w:rPr>
                <w:rFonts w:ascii="Arial" w:cs="Arial" w:eastAsia="Arial" w:hAnsi="Arial"/>
                <w:sz w:val="14"/>
                <w:szCs w:val="14"/>
                <w:color w:val="auto"/>
              </w:rPr>
              <w:t>Requiring Statement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gridSpan w:val="2"/>
            <w:vMerge w:val="continue"/>
          </w:tcPr>
          <w:p>
            <w:pPr>
              <w:spacing w:after="0"/>
              <w:rPr>
                <w:sz w:val="13"/>
                <w:szCs w:val="13"/>
                <w:color w:val="auto"/>
              </w:rPr>
            </w:pPr>
          </w:p>
        </w:tc>
        <w:tc>
          <w:tcPr>
            <w:tcW w:w="1460" w:type="dxa"/>
            <w:vAlign w:val="bottom"/>
          </w:tcPr>
          <w:p>
            <w:pPr>
              <w:ind w:left="160"/>
              <w:spacing w:after="0" w:line="159"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98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460" w:type="dxa"/>
            <w:vAlign w:val="bottom"/>
          </w:tcPr>
          <w:p>
            <w:pPr>
              <w:ind w:left="160"/>
              <w:spacing w:after="0" w:line="182" w:lineRule="exact"/>
              <w:rPr>
                <w:sz w:val="20"/>
                <w:szCs w:val="20"/>
                <w:color w:val="auto"/>
              </w:rPr>
            </w:pPr>
            <w:r>
              <w:rPr>
                <w:rFonts w:ascii="Times New Roman" w:cs="Times New Roman" w:eastAsia="Times New Roman" w:hAnsi="Times New Roman"/>
                <w:sz w:val="19"/>
                <w:szCs w:val="19"/>
                <w:color w:val="0000FF"/>
              </w:rPr>
              <w:t>04/28/2022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3"/>
          <w:szCs w:val="23"/>
          <w:color w:val="0000EE"/>
        </w:rPr>
      </w:pPr>
      <w:hyperlink r:id="rId12">
        <w:r>
          <w:rPr>
            <w:rFonts w:ascii="Times New Roman" w:cs="Times New Roman" w:eastAsia="Times New Roman" w:hAnsi="Times New Roman"/>
            <w:sz w:val="23"/>
            <w:szCs w:val="23"/>
            <w:u w:val="single" w:color="auto"/>
            <w:color w:val="0000EE"/>
          </w:rPr>
          <w:t>Clearway Energy,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CWEN</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15" w:lineRule="exact"/>
        <w:rPr>
          <w:sz w:val="24"/>
          <w:szCs w:val="24"/>
          <w:color w:val="auto"/>
        </w:rPr>
      </w:pPr>
    </w:p>
    <w:p>
      <w:pPr>
        <w:sectPr>
          <w:pgSz w:w="11900" w:h="16838" w:orient="portrait"/>
          <w:cols w:equalWidth="0" w:num="2">
            <w:col w:w="4660" w:space="320"/>
            <w:col w:w="5960"/>
          </w:cols>
          <w:pgMar w:left="480" w:top="225" w:right="479" w:bottom="1440" w:gutter="0" w:footer="0" w:header="0"/>
          <w:type w:val="continuous"/>
        </w:sectPr>
      </w:pPr>
    </w:p>
    <w:p>
      <w:pPr>
        <w:spacing w:after="0" w:line="101"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20" w:type="dxa"/>
            <w:vAlign w:val="bottom"/>
          </w:tcPr>
          <w:p>
            <w:pPr>
              <w:ind w:left="80"/>
              <w:spacing w:after="0"/>
              <w:rPr>
                <w:sz w:val="20"/>
                <w:szCs w:val="20"/>
                <w:color w:val="auto"/>
              </w:rPr>
            </w:pPr>
            <w:r>
              <w:rPr>
                <w:rFonts w:ascii="Arial" w:cs="Arial" w:eastAsia="Arial" w:hAnsi="Arial"/>
                <w:sz w:val="14"/>
                <w:szCs w:val="14"/>
                <w:color w:val="auto"/>
              </w:rPr>
              <w:t>(First)</w:t>
            </w:r>
          </w:p>
        </w:tc>
        <w:tc>
          <w:tcPr>
            <w:tcW w:w="1020" w:type="dxa"/>
            <w:vAlign w:val="bottom"/>
          </w:tcPr>
          <w:p>
            <w:pPr>
              <w:spacing w:after="0"/>
              <w:rPr>
                <w:sz w:val="20"/>
                <w:szCs w:val="20"/>
                <w:color w:val="auto"/>
              </w:rPr>
            </w:pPr>
            <w:r>
              <w:rPr>
                <w:rFonts w:ascii="Arial" w:cs="Arial" w:eastAsia="Arial" w:hAnsi="Arial"/>
                <w:sz w:val="14"/>
                <w:szCs w:val="14"/>
                <w:color w:val="auto"/>
              </w:rPr>
              <w:t>(Middle)</w:t>
            </w:r>
          </w:p>
        </w:tc>
      </w:tr>
      <w:tr>
        <w:trPr>
          <w:trHeight w:val="298"/>
        </w:trPr>
        <w:tc>
          <w:tcPr>
            <w:tcW w:w="2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0000FF"/>
                <w:w w:val="98"/>
              </w:rPr>
              <w:t>300 CARNEGIE CENTER</w:t>
            </w:r>
          </w:p>
        </w:tc>
        <w:tc>
          <w:tcPr>
            <w:tcW w:w="10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9"/>
                <w:szCs w:val="19"/>
                <w:color w:val="0000FF"/>
              </w:rPr>
              <w:t>SUITE 300</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r>
      <w:tr>
        <w:trPr>
          <w:trHeight w:val="291"/>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5"/>
        </w:trPr>
        <w:tc>
          <w:tcPr>
            <w:tcW w:w="20" w:type="dxa"/>
            <w:vAlign w:val="bottom"/>
          </w:tcPr>
          <w:p>
            <w:pPr>
              <w:spacing w:after="0"/>
              <w:rPr>
                <w:sz w:val="22"/>
                <w:szCs w:val="22"/>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0000FF"/>
              </w:rPr>
              <w:t>PRINCETON NJ</w:t>
            </w:r>
          </w:p>
        </w:tc>
        <w:tc>
          <w:tcPr>
            <w:tcW w:w="1020" w:type="dxa"/>
            <w:vAlign w:val="bottom"/>
          </w:tcPr>
          <w:p>
            <w:pPr>
              <w:ind w:left="40"/>
              <w:spacing w:after="0"/>
              <w:rPr>
                <w:sz w:val="20"/>
                <w:szCs w:val="20"/>
                <w:color w:val="auto"/>
              </w:rPr>
            </w:pPr>
            <w:r>
              <w:rPr>
                <w:rFonts w:ascii="Times New Roman" w:cs="Times New Roman" w:eastAsia="Times New Roman" w:hAnsi="Times New Roman"/>
                <w:sz w:val="19"/>
                <w:szCs w:val="19"/>
                <w:color w:val="0000FF"/>
              </w:rPr>
              <w:t>08540</w:t>
            </w:r>
          </w:p>
        </w:tc>
      </w:tr>
    </w:tbl>
    <w:p>
      <w:pPr>
        <w:spacing w:after="0" w:line="20" w:lineRule="exact"/>
        <w:rPr>
          <w:sz w:val="24"/>
          <w:szCs w:val="24"/>
          <w:color w:val="auto"/>
        </w:rPr>
      </w:pPr>
      <w:r>
        <w:rPr>
          <w:sz w:val="24"/>
          <w:szCs w:val="24"/>
          <w:color w:val="auto"/>
        </w:rPr>
        <w:br w:type="column"/>
      </w:r>
    </w:p>
    <w:p>
      <w:pPr>
        <w:spacing w:after="0" w:line="268" w:lineRule="auto"/>
        <w:tabs>
          <w:tab w:leader="none" w:pos="16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90"/>
        </w:trPr>
        <w:tc>
          <w:tcPr>
            <w:tcW w:w="240" w:type="dxa"/>
            <w:vAlign w:val="bottom"/>
          </w:tcPr>
          <w:p>
            <w:pPr>
              <w:spacing w:after="0"/>
              <w:rPr>
                <w:sz w:val="16"/>
                <w:szCs w:val="16"/>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280" w:type="dxa"/>
            <w:vAlign w:val="bottom"/>
          </w:tcPr>
          <w:p>
            <w:pPr>
              <w:ind w:left="3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Times New Roman" w:cs="Times New Roman" w:eastAsia="Times New Roman" w:hAnsi="Times New Roman"/>
                <w:sz w:val="19"/>
                <w:szCs w:val="19"/>
                <w:color w:val="0000FF"/>
              </w:rPr>
              <w:t>X</w:t>
            </w:r>
          </w:p>
        </w:tc>
        <w:tc>
          <w:tcPr>
            <w:tcW w:w="1260" w:type="dxa"/>
            <w:vAlign w:val="bottom"/>
          </w:tcPr>
          <w:p>
            <w:pPr>
              <w:ind w:left="100"/>
              <w:spacing w:after="0"/>
              <w:rPr>
                <w:sz w:val="20"/>
                <w:szCs w:val="20"/>
                <w:color w:val="auto"/>
              </w:rPr>
            </w:pPr>
            <w:r>
              <w:rPr>
                <w:rFonts w:ascii="Arial" w:cs="Arial" w:eastAsia="Arial" w:hAnsi="Arial"/>
                <w:sz w:val="14"/>
                <w:szCs w:val="14"/>
                <w:color w:val="auto"/>
              </w:rPr>
              <w:t>Officer (give</w:t>
            </w:r>
          </w:p>
        </w:tc>
        <w:tc>
          <w:tcPr>
            <w:tcW w:w="1280" w:type="dxa"/>
            <w:vAlign w:val="bottom"/>
          </w:tcPr>
          <w:p>
            <w:pPr>
              <w:ind w:left="3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8"/>
        </w:trPr>
        <w:tc>
          <w:tcPr>
            <w:tcW w:w="240" w:type="dxa"/>
            <w:vAlign w:val="bottom"/>
            <w:vMerge w:val="continue"/>
          </w:tcPr>
          <w:p>
            <w:pPr>
              <w:spacing w:after="0"/>
              <w:rPr>
                <w:sz w:val="11"/>
                <w:szCs w:val="11"/>
                <w:color w:val="auto"/>
              </w:rPr>
            </w:pPr>
          </w:p>
        </w:tc>
        <w:tc>
          <w:tcPr>
            <w:tcW w:w="1260" w:type="dxa"/>
            <w:vAlign w:val="bottom"/>
            <w:vMerge w:val="restart"/>
          </w:tcPr>
          <w:p>
            <w:pPr>
              <w:ind w:left="100"/>
              <w:spacing w:after="0"/>
              <w:rPr>
                <w:sz w:val="20"/>
                <w:szCs w:val="20"/>
                <w:color w:val="auto"/>
              </w:rPr>
            </w:pPr>
            <w:r>
              <w:rPr>
                <w:rFonts w:ascii="Arial" w:cs="Arial" w:eastAsia="Arial" w:hAnsi="Arial"/>
                <w:sz w:val="14"/>
                <w:szCs w:val="14"/>
                <w:color w:val="auto"/>
              </w:rPr>
              <w:t>title below)</w:t>
            </w:r>
          </w:p>
        </w:tc>
        <w:tc>
          <w:tcPr>
            <w:tcW w:w="1280" w:type="dxa"/>
            <w:vAlign w:val="bottom"/>
            <w:vMerge w:val="restart"/>
          </w:tcPr>
          <w:p>
            <w:pPr>
              <w:ind w:left="38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62"/>
        </w:trPr>
        <w:tc>
          <w:tcPr>
            <w:tcW w:w="24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9"/>
          <w:szCs w:val="19"/>
          <w:color w:val="0000FF"/>
        </w:rPr>
        <w:t>CHIEF INVESTMENT OFFICER</w:t>
      </w:r>
    </w:p>
    <w:p>
      <w:pPr>
        <w:spacing w:after="0" w:line="20" w:lineRule="exact"/>
        <w:rPr>
          <w:sz w:val="24"/>
          <w:szCs w:val="24"/>
          <w:color w:val="auto"/>
        </w:rPr>
      </w:pPr>
      <w:r>
        <w:rPr>
          <w:sz w:val="24"/>
          <w:szCs w:val="24"/>
          <w:color w:val="auto"/>
        </w:rPr>
        <w:br w:type="column"/>
      </w:r>
    </w:p>
    <w:p>
      <w:pPr>
        <w:ind w:left="9" w:right="200" w:hanging="9"/>
        <w:spacing w:after="0" w:line="280"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9" w:right="80" w:hanging="9"/>
        <w:spacing w:after="0" w:line="260" w:lineRule="auto"/>
        <w:tabs>
          <w:tab w:leader="none" w:pos="17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1" w:lineRule="exact"/>
        <w:rPr>
          <w:sz w:val="24"/>
          <w:szCs w:val="24"/>
          <w:color w:val="auto"/>
        </w:rPr>
      </w:pPr>
    </w:p>
    <w:p>
      <w:pPr>
        <w:ind w:left="469" w:right="420" w:hanging="314"/>
        <w:spacing w:after="0" w:line="182" w:lineRule="auto"/>
        <w:tabs>
          <w:tab w:leader="none" w:pos="469" w:val="left"/>
        </w:tabs>
        <w:numPr>
          <w:ilvl w:val="0"/>
          <w:numId w:val="3"/>
        </w:numPr>
        <w:rPr>
          <w:rFonts w:ascii="Times New Roman" w:cs="Times New Roman" w:eastAsia="Times New Roman" w:hAnsi="Times New Roman"/>
          <w:sz w:val="28"/>
          <w:szCs w:val="28"/>
          <w:color w:val="0000FF"/>
          <w:vertAlign w:val="subscript"/>
        </w:rPr>
      </w:pPr>
      <w:r>
        <w:rPr>
          <w:rFonts w:ascii="Arial" w:cs="Arial" w:eastAsia="Arial" w:hAnsi="Arial"/>
          <w:sz w:val="12"/>
          <w:szCs w:val="12"/>
          <w:color w:val="auto"/>
        </w:rPr>
        <w:t>Form filed by One Reporting Person</w:t>
      </w:r>
    </w:p>
    <w:p>
      <w:pPr>
        <w:spacing w:after="0" w:line="25" w:lineRule="exact"/>
        <w:rPr>
          <w:rFonts w:ascii="Times New Roman" w:cs="Times New Roman" w:eastAsia="Times New Roman" w:hAnsi="Times New Roman"/>
          <w:sz w:val="28"/>
          <w:szCs w:val="28"/>
          <w:color w:val="0000FF"/>
          <w:vertAlign w:val="subscript"/>
        </w:rPr>
      </w:pPr>
    </w:p>
    <w:p>
      <w:pPr>
        <w:ind w:left="469" w:right="400"/>
        <w:spacing w:after="0" w:line="280" w:lineRule="auto"/>
        <w:rPr>
          <w:rFonts w:ascii="Times New Roman" w:cs="Times New Roman" w:eastAsia="Times New Roman" w:hAnsi="Times New Roman"/>
          <w:sz w:val="28"/>
          <w:szCs w:val="28"/>
          <w:color w:val="0000FF"/>
          <w:vertAlign w:val="subscript"/>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260" w:space="720"/>
            <w:col w:w="3040" w:space="231"/>
            <w:col w:w="2689"/>
          </w:cols>
          <w:pgMar w:left="480" w:top="225" w:right="479" w:bottom="1440" w:gutter="0" w:footer="0" w:header="0"/>
          <w:type w:val="continuous"/>
        </w:sectPr>
      </w:pPr>
    </w:p>
    <w:p>
      <w:pPr>
        <w:spacing w:after="0" w:line="15" w:lineRule="exact"/>
        <w:rPr>
          <w:sz w:val="24"/>
          <w:szCs w:val="24"/>
          <w:color w:val="auto"/>
        </w:rPr>
      </w:pPr>
    </w:p>
    <w:p>
      <w:pPr>
        <w:ind w:left="120"/>
        <w:spacing w:after="0"/>
        <w:tabs>
          <w:tab w:leader="none" w:pos="1120" w:val="left"/>
          <w:tab w:leader="none" w:pos="21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4"/>
          <w:szCs w:val="14"/>
          <w:color w:val="auto"/>
        </w:rPr>
        <w:t>(Zip)</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Table I - Non-Derivative Securities Beneficially Owned</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00"/>
              <w:spacing w:after="0"/>
              <w:rPr>
                <w:sz w:val="20"/>
                <w:szCs w:val="20"/>
                <w:color w:val="auto"/>
              </w:rPr>
            </w:pPr>
            <w:r>
              <w:rPr>
                <w:rFonts w:ascii="Arial" w:cs="Arial" w:eastAsia="Arial" w:hAnsi="Arial"/>
                <w:sz w:val="14"/>
                <w:szCs w:val="14"/>
                <w:b w:val="1"/>
                <w:bCs w:val="1"/>
                <w:color w:val="auto"/>
              </w:rPr>
              <w:t>2. Amount of Securities</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3. Ownership</w:t>
            </w:r>
          </w:p>
        </w:tc>
        <w:tc>
          <w:tcPr>
            <w:tcW w:w="29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w:t>
            </w:r>
          </w:p>
        </w:tc>
      </w:tr>
      <w:tr>
        <w:trPr>
          <w:trHeight w:val="158"/>
        </w:trPr>
        <w:tc>
          <w:tcPr>
            <w:tcW w:w="3400" w:type="dxa"/>
            <w:vAlign w:val="bottom"/>
          </w:tcPr>
          <w:p>
            <w:pPr>
              <w:spacing w:after="0"/>
              <w:rPr>
                <w:sz w:val="13"/>
                <w:szCs w:val="13"/>
                <w:color w:val="auto"/>
              </w:rPr>
            </w:pPr>
          </w:p>
        </w:tc>
        <w:tc>
          <w:tcPr>
            <w:tcW w:w="3500" w:type="dxa"/>
            <w:vAlign w:val="bottom"/>
          </w:tcPr>
          <w:p>
            <w:pPr>
              <w:ind w:left="1500"/>
              <w:spacing w:after="0" w:line="159" w:lineRule="exact"/>
              <w:rPr>
                <w:sz w:val="20"/>
                <w:szCs w:val="20"/>
                <w:color w:val="auto"/>
              </w:rPr>
            </w:pPr>
            <w:r>
              <w:rPr>
                <w:rFonts w:ascii="Arial" w:cs="Arial" w:eastAsia="Arial" w:hAnsi="Arial"/>
                <w:sz w:val="14"/>
                <w:szCs w:val="14"/>
                <w:b w:val="1"/>
                <w:bCs w:val="1"/>
                <w:color w:val="auto"/>
              </w:rPr>
              <w:t>Beneficially Owned (Instr. 4)</w:t>
            </w: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Form: Direct</w:t>
            </w:r>
          </w:p>
        </w:tc>
        <w:tc>
          <w:tcPr>
            <w:tcW w:w="2900" w:type="dxa"/>
            <w:vAlign w:val="bottom"/>
          </w:tcPr>
          <w:p>
            <w:pPr>
              <w:ind w:left="120"/>
              <w:spacing w:after="0" w:line="159" w:lineRule="exact"/>
              <w:rPr>
                <w:sz w:val="20"/>
                <w:szCs w:val="20"/>
                <w:color w:val="auto"/>
              </w:rPr>
            </w:pPr>
            <w:r>
              <w:rPr>
                <w:rFonts w:ascii="Arial" w:cs="Arial" w:eastAsia="Arial" w:hAnsi="Arial"/>
                <w:sz w:val="14"/>
                <w:szCs w:val="14"/>
                <w:b w:val="1"/>
                <w:bCs w:val="1"/>
                <w:color w:val="auto"/>
              </w:rPr>
              <w:t>Ownership (Instr. 5)</w:t>
            </w:r>
          </w:p>
        </w:tc>
      </w:tr>
      <w:tr>
        <w:trPr>
          <w:trHeight w:val="158"/>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1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(D) or Indirect</w:t>
            </w:r>
          </w:p>
        </w:tc>
        <w:tc>
          <w:tcPr>
            <w:tcW w:w="2900" w:type="dxa"/>
            <w:vAlign w:val="bottom"/>
          </w:tcPr>
          <w:p>
            <w:pPr>
              <w:spacing w:after="0"/>
              <w:rPr>
                <w:sz w:val="13"/>
                <w:szCs w:val="13"/>
                <w:color w:val="auto"/>
              </w:rPr>
            </w:pPr>
          </w:p>
        </w:tc>
      </w:tr>
      <w:tr>
        <w:trPr>
          <w:trHeight w:val="198"/>
        </w:trPr>
        <w:tc>
          <w:tcPr>
            <w:tcW w:w="34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(I) (Instr. 5)</w:t>
            </w:r>
          </w:p>
        </w:tc>
        <w:tc>
          <w:tcPr>
            <w:tcW w:w="2900" w:type="dxa"/>
            <w:vAlign w:val="bottom"/>
          </w:tcPr>
          <w:p>
            <w:pPr>
              <w:spacing w:after="0"/>
              <w:rPr>
                <w:sz w:val="17"/>
                <w:szCs w:val="17"/>
                <w:color w:val="auto"/>
              </w:rPr>
            </w:pPr>
          </w:p>
        </w:tc>
      </w:tr>
      <w:tr>
        <w:trPr>
          <w:trHeight w:val="41"/>
        </w:trPr>
        <w:tc>
          <w:tcPr>
            <w:tcW w:w="3400" w:type="dxa"/>
            <w:vAlign w:val="bottom"/>
            <w:tcBorders>
              <w:bottom w:val="single" w:sz="8" w:color="2C2C2C"/>
            </w:tcBorders>
          </w:tcPr>
          <w:p>
            <w:pPr>
              <w:spacing w:after="0"/>
              <w:rPr>
                <w:sz w:val="3"/>
                <w:szCs w:val="3"/>
                <w:color w:val="auto"/>
              </w:rPr>
            </w:pPr>
          </w:p>
        </w:tc>
        <w:tc>
          <w:tcPr>
            <w:tcW w:w="35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51"/>
        </w:trPr>
        <w:tc>
          <w:tcPr>
            <w:tcW w:w="418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9"/>
                <w:szCs w:val="19"/>
                <w:color w:val="0000FF"/>
              </w:rPr>
              <w:t>Class C Common Stock, par value $.01 per share</w:t>
            </w:r>
          </w:p>
        </w:tc>
        <w:tc>
          <w:tcPr>
            <w:tcW w:w="8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9"/>
                <w:szCs w:val="19"/>
                <w:color w:val="0000FF"/>
              </w:rPr>
              <w:t>27,579</w:t>
            </w:r>
            <w:r>
              <w:rPr>
                <w:rFonts w:ascii="Times New Roman" w:cs="Times New Roman" w:eastAsia="Times New Roman" w:hAnsi="Times New Roman"/>
                <w:sz w:val="24"/>
                <w:szCs w:val="24"/>
                <w:color w:val="008000"/>
                <w:vertAlign w:val="superscript"/>
              </w:rPr>
              <w:t>(1)</w:t>
            </w:r>
          </w:p>
        </w:tc>
        <w:tc>
          <w:tcPr>
            <w:tcW w:w="80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9"/>
                <w:szCs w:val="19"/>
                <w:color w:val="0000FF"/>
              </w:rPr>
              <w:t>D</w:t>
            </w:r>
          </w:p>
        </w:tc>
        <w:tc>
          <w:tcPr>
            <w:tcW w:w="8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40" w:type="dxa"/>
            <w:vAlign w:val="bottom"/>
            <w:gridSpan w:val="5"/>
          </w:tcPr>
          <w:p>
            <w:pPr>
              <w:ind w:left="20"/>
              <w:spacing w:after="0"/>
              <w:rPr>
                <w:sz w:val="20"/>
                <w:szCs w:val="20"/>
                <w:color w:val="auto"/>
              </w:rPr>
            </w:pPr>
            <w:r>
              <w:rPr>
                <w:rFonts w:ascii="Arial" w:cs="Arial" w:eastAsia="Arial" w:hAnsi="Arial"/>
                <w:sz w:val="19"/>
                <w:szCs w:val="19"/>
                <w:b w:val="1"/>
                <w:bCs w:val="1"/>
                <w:color w:val="auto"/>
                <w:w w:val="98"/>
              </w:rPr>
              <w:t>Table II - Derivative Securities Beneficially Owned</w:t>
            </w: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760" w:type="dxa"/>
            <w:vAlign w:val="bottom"/>
          </w:tcPr>
          <w:p>
            <w:pPr>
              <w:spacing w:after="0"/>
              <w:rPr>
                <w:sz w:val="22"/>
                <w:szCs w:val="22"/>
                <w:color w:val="auto"/>
              </w:rPr>
            </w:pPr>
          </w:p>
        </w:tc>
        <w:tc>
          <w:tcPr>
            <w:tcW w:w="5800" w:type="dxa"/>
            <w:vAlign w:val="bottom"/>
            <w:gridSpan w:val="7"/>
          </w:tcPr>
          <w:p>
            <w:pPr>
              <w:ind w:left="120"/>
              <w:spacing w:after="0"/>
              <w:rPr>
                <w:sz w:val="20"/>
                <w:szCs w:val="20"/>
                <w:color w:val="auto"/>
              </w:rPr>
            </w:pPr>
            <w:r>
              <w:rPr>
                <w:rFonts w:ascii="Arial" w:cs="Arial" w:eastAsia="Arial" w:hAnsi="Arial"/>
                <w:sz w:val="19"/>
                <w:szCs w:val="19"/>
                <w:b w:val="1"/>
                <w:bCs w:val="1"/>
                <w:color w:val="auto"/>
              </w:rPr>
              <w:t>(e.g., puts, calls, warrants, options, convertible securities)</w:t>
            </w:r>
          </w:p>
        </w:tc>
        <w:tc>
          <w:tcPr>
            <w:tcW w:w="9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2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76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480" w:type="dxa"/>
            <w:vAlign w:val="bottom"/>
          </w:tcPr>
          <w:p>
            <w:pPr>
              <w:spacing w:after="0"/>
              <w:rPr>
                <w:sz w:val="17"/>
                <w:szCs w:val="17"/>
                <w:color w:val="auto"/>
              </w:rPr>
            </w:pP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640" w:type="dxa"/>
            <w:vAlign w:val="bottom"/>
            <w:gridSpan w:val="3"/>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spacing w:after="0"/>
              <w:rPr>
                <w:sz w:val="20"/>
                <w:szCs w:val="20"/>
                <w:color w:val="auto"/>
              </w:rPr>
            </w:pPr>
            <w:r>
              <w:rPr>
                <w:rFonts w:ascii="Arial" w:cs="Arial" w:eastAsia="Arial" w:hAnsi="Arial"/>
                <w:sz w:val="14"/>
                <w:szCs w:val="14"/>
                <w:b w:val="1"/>
                <w:bCs w:val="1"/>
                <w:color w:val="auto"/>
              </w:rPr>
              <w:t>4.</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6. Nature of</w:t>
            </w: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Expiration Date</w:t>
            </w:r>
          </w:p>
        </w:tc>
        <w:tc>
          <w:tcPr>
            <w:tcW w:w="2640" w:type="dxa"/>
            <w:vAlign w:val="bottom"/>
            <w:gridSpan w:val="3"/>
          </w:tcPr>
          <w:p>
            <w:pPr>
              <w:ind w:left="60"/>
              <w:spacing w:after="0" w:line="159" w:lineRule="exact"/>
              <w:rPr>
                <w:sz w:val="20"/>
                <w:szCs w:val="20"/>
                <w:color w:val="auto"/>
              </w:rPr>
            </w:pPr>
            <w:r>
              <w:rPr>
                <w:rFonts w:ascii="Arial" w:cs="Arial" w:eastAsia="Arial" w:hAnsi="Arial"/>
                <w:sz w:val="14"/>
                <w:szCs w:val="14"/>
                <w:b w:val="1"/>
                <w:bCs w:val="1"/>
                <w:color w:val="auto"/>
              </w:rPr>
              <w:t>Underlying Derivative Security</w:t>
            </w:r>
          </w:p>
        </w:tc>
        <w:tc>
          <w:tcPr>
            <w:tcW w:w="880" w:type="dxa"/>
            <w:vAlign w:val="bottom"/>
          </w:tcPr>
          <w:p>
            <w:pPr>
              <w:spacing w:after="0" w:line="159" w:lineRule="exact"/>
              <w:rPr>
                <w:sz w:val="20"/>
                <w:szCs w:val="20"/>
                <w:color w:val="auto"/>
              </w:rPr>
            </w:pPr>
            <w:r>
              <w:rPr>
                <w:rFonts w:ascii="Arial" w:cs="Arial" w:eastAsia="Arial" w:hAnsi="Arial"/>
                <w:sz w:val="14"/>
                <w:szCs w:val="14"/>
                <w:b w:val="1"/>
                <w:bCs w:val="1"/>
                <w:color w:val="auto"/>
              </w:rPr>
              <w:t>Conversion</w:t>
            </w:r>
          </w:p>
        </w:tc>
        <w:tc>
          <w:tcPr>
            <w:tcW w:w="90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Indirect Beneficial</w:t>
            </w: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gridSpan w:val="2"/>
          </w:tcPr>
          <w:p>
            <w:pPr>
              <w:ind w:left="60"/>
              <w:spacing w:after="0" w:line="15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ind w:left="60"/>
              <w:spacing w:after="0" w:line="159" w:lineRule="exact"/>
              <w:rPr>
                <w:sz w:val="20"/>
                <w:szCs w:val="20"/>
                <w:color w:val="auto"/>
              </w:rPr>
            </w:pPr>
            <w:r>
              <w:rPr>
                <w:rFonts w:ascii="Arial" w:cs="Arial" w:eastAsia="Arial" w:hAnsi="Arial"/>
                <w:sz w:val="14"/>
                <w:szCs w:val="14"/>
                <w:b w:val="1"/>
                <w:bCs w:val="1"/>
                <w:color w:val="auto"/>
              </w:rPr>
              <w:t>(Instr. 4)</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line="159" w:lineRule="exact"/>
              <w:rPr>
                <w:sz w:val="20"/>
                <w:szCs w:val="20"/>
                <w:color w:val="auto"/>
              </w:rPr>
            </w:pPr>
            <w:r>
              <w:rPr>
                <w:rFonts w:ascii="Arial" w:cs="Arial" w:eastAsia="Arial" w:hAnsi="Arial"/>
                <w:sz w:val="14"/>
                <w:szCs w:val="14"/>
                <w:b w:val="1"/>
                <w:bCs w:val="1"/>
                <w:color w:val="auto"/>
              </w:rPr>
              <w:t>or Exercise</w:t>
            </w:r>
          </w:p>
        </w:tc>
        <w:tc>
          <w:tcPr>
            <w:tcW w:w="90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Ownership (Instr.</w:t>
            </w:r>
          </w:p>
        </w:tc>
        <w:tc>
          <w:tcPr>
            <w:tcW w:w="0" w:type="dxa"/>
            <w:vAlign w:val="bottom"/>
          </w:tcPr>
          <w:p>
            <w:pPr>
              <w:spacing w:after="0"/>
              <w:rPr>
                <w:sz w:val="1"/>
                <w:szCs w:val="1"/>
                <w:color w:val="auto"/>
              </w:rPr>
            </w:pPr>
          </w:p>
        </w:tc>
      </w:tr>
      <w:tr>
        <w:trPr>
          <w:trHeight w:val="81"/>
        </w:trPr>
        <w:tc>
          <w:tcPr>
            <w:tcW w:w="2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vMerge w:val="restart"/>
          </w:tcPr>
          <w:p>
            <w:pPr>
              <w:spacing w:after="0" w:line="159" w:lineRule="exact"/>
              <w:rPr>
                <w:sz w:val="20"/>
                <w:szCs w:val="20"/>
                <w:color w:val="auto"/>
              </w:rPr>
            </w:pPr>
            <w:r>
              <w:rPr>
                <w:rFonts w:ascii="Arial" w:cs="Arial" w:eastAsia="Arial" w:hAnsi="Arial"/>
                <w:sz w:val="14"/>
                <w:szCs w:val="14"/>
                <w:b w:val="1"/>
                <w:bCs w:val="1"/>
                <w:color w:val="auto"/>
              </w:rPr>
              <w:t>Price of</w:t>
            </w:r>
          </w:p>
        </w:tc>
        <w:tc>
          <w:tcPr>
            <w:tcW w:w="90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Direct (D)</w:t>
            </w:r>
          </w:p>
        </w:tc>
        <w:tc>
          <w:tcPr>
            <w:tcW w:w="1480" w:type="dxa"/>
            <w:vAlign w:val="bottom"/>
            <w:vMerge w:val="restart"/>
          </w:tcPr>
          <w:p>
            <w:pPr>
              <w:ind w:left="80"/>
              <w:spacing w:after="0" w:line="159" w:lineRule="exact"/>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57"/>
        </w:trPr>
        <w:tc>
          <w:tcPr>
            <w:tcW w:w="2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tcPr>
          <w:p>
            <w:pPr>
              <w:spacing w:after="0" w:line="145" w:lineRule="exact"/>
              <w:rPr>
                <w:sz w:val="20"/>
                <w:szCs w:val="20"/>
                <w:color w:val="auto"/>
              </w:rPr>
            </w:pPr>
            <w:r>
              <w:rPr>
                <w:rFonts w:ascii="Arial" w:cs="Arial" w:eastAsia="Arial" w:hAnsi="Arial"/>
                <w:sz w:val="14"/>
                <w:szCs w:val="14"/>
                <w:b w:val="1"/>
                <w:bCs w:val="1"/>
                <w:color w:val="auto"/>
              </w:rPr>
              <w:t>Derivative</w:t>
            </w:r>
          </w:p>
        </w:tc>
        <w:tc>
          <w:tcPr>
            <w:tcW w:w="9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spacing w:after="0" w:line="159" w:lineRule="exact"/>
              <w:rPr>
                <w:sz w:val="20"/>
                <w:szCs w:val="20"/>
                <w:color w:val="auto"/>
              </w:rPr>
            </w:pPr>
            <w:r>
              <w:rPr>
                <w:rFonts w:ascii="Arial" w:cs="Arial" w:eastAsia="Arial" w:hAnsi="Arial"/>
                <w:sz w:val="14"/>
                <w:szCs w:val="14"/>
                <w:b w:val="1"/>
                <w:bCs w:val="1"/>
                <w:color w:val="auto"/>
              </w:rPr>
              <w:t>Security</w:t>
            </w:r>
          </w:p>
        </w:tc>
        <w:tc>
          <w:tcPr>
            <w:tcW w:w="900" w:type="dxa"/>
            <w:vAlign w:val="bottom"/>
          </w:tcPr>
          <w:p>
            <w:pPr>
              <w:ind w:left="80"/>
              <w:spacing w:after="0" w:line="15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3"/>
                <w:szCs w:val="13"/>
                <w:color w:val="auto"/>
              </w:rPr>
            </w:pPr>
          </w:p>
        </w:tc>
        <w:tc>
          <w:tcPr>
            <w:tcW w:w="80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800" w:type="dxa"/>
            <w:vAlign w:val="bottom"/>
            <w:gridSpan w:val="2"/>
          </w:tcPr>
          <w:p>
            <w:pPr>
              <w:ind w:left="120"/>
              <w:spacing w:after="0" w:line="15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74"/>
        </w:trPr>
        <w:tc>
          <w:tcPr>
            <w:tcW w:w="2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0000FF"/>
                <w:w w:val="98"/>
              </w:rPr>
              <w:t>Class C Common</w:t>
            </w: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760" w:type="dxa"/>
            <w:vAlign w:val="bottom"/>
          </w:tcPr>
          <w:p>
            <w:pPr>
              <w:ind w:left="80"/>
              <w:spacing w:after="0"/>
              <w:rPr>
                <w:sz w:val="20"/>
                <w:szCs w:val="20"/>
                <w:color w:val="auto"/>
              </w:rPr>
            </w:pPr>
            <w:r>
              <w:rPr>
                <w:rFonts w:ascii="Times New Roman" w:cs="Times New Roman" w:eastAsia="Times New Roman" w:hAnsi="Times New Roman"/>
                <w:sz w:val="19"/>
                <w:szCs w:val="19"/>
                <w:color w:val="0000FF"/>
              </w:rPr>
              <w:t>Relative Performance Stock Units</w:t>
            </w:r>
          </w:p>
        </w:tc>
        <w:tc>
          <w:tcPr>
            <w:tcW w:w="1420" w:type="dxa"/>
            <w:vAlign w:val="bottom"/>
            <w:gridSpan w:val="2"/>
          </w:tcPr>
          <w:p>
            <w:pPr>
              <w:jc w:val="right"/>
              <w:ind w:right="64"/>
              <w:spacing w:after="0"/>
              <w:rPr>
                <w:sz w:val="20"/>
                <w:szCs w:val="20"/>
                <w:color w:val="auto"/>
              </w:rPr>
            </w:pPr>
            <w:r>
              <w:rPr>
                <w:rFonts w:ascii="Times New Roman" w:cs="Times New Roman" w:eastAsia="Times New Roman" w:hAnsi="Times New Roman"/>
                <w:sz w:val="14"/>
                <w:szCs w:val="14"/>
                <w:color w:val="0000FF"/>
              </w:rPr>
              <w:t>04/15/2025</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0000FF"/>
              </w:rPr>
              <w:t>04/15/2025</w:t>
            </w: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0000FF"/>
                <w:w w:val="99"/>
              </w:rPr>
              <w:t>Stock, par value $.01</w:t>
            </w:r>
          </w:p>
        </w:tc>
        <w:tc>
          <w:tcPr>
            <w:tcW w:w="740" w:type="dxa"/>
            <w:vAlign w:val="bottom"/>
          </w:tcPr>
          <w:p>
            <w:pPr>
              <w:ind w:left="180"/>
              <w:spacing w:after="0"/>
              <w:rPr>
                <w:sz w:val="20"/>
                <w:szCs w:val="20"/>
                <w:color w:val="auto"/>
              </w:rPr>
            </w:pPr>
            <w:r>
              <w:rPr>
                <w:rFonts w:ascii="Times New Roman" w:cs="Times New Roman" w:eastAsia="Times New Roman" w:hAnsi="Times New Roman"/>
                <w:sz w:val="19"/>
                <w:szCs w:val="19"/>
                <w:color w:val="0000FF"/>
              </w:rPr>
              <w:t>7,681</w:t>
            </w:r>
          </w:p>
        </w:tc>
        <w:tc>
          <w:tcPr>
            <w:tcW w:w="60" w:type="dxa"/>
            <w:vAlign w:val="bottom"/>
          </w:tcPr>
          <w:p>
            <w:pPr>
              <w:spacing w:after="0"/>
              <w:rPr>
                <w:sz w:val="20"/>
                <w:szCs w:val="20"/>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2"/>
                <w:szCs w:val="12"/>
                <w:color w:val="008000"/>
              </w:rPr>
              <w:t>(2)(3)</w:t>
            </w:r>
          </w:p>
        </w:tc>
        <w:tc>
          <w:tcPr>
            <w:tcW w:w="900" w:type="dxa"/>
            <w:vAlign w:val="bottom"/>
          </w:tcPr>
          <w:p>
            <w:pPr>
              <w:ind w:left="380"/>
              <w:spacing w:after="0"/>
              <w:rPr>
                <w:sz w:val="20"/>
                <w:szCs w:val="20"/>
                <w:color w:val="auto"/>
              </w:rPr>
            </w:pPr>
            <w:r>
              <w:rPr>
                <w:rFonts w:ascii="Times New Roman" w:cs="Times New Roman" w:eastAsia="Times New Roman" w:hAnsi="Times New Roman"/>
                <w:sz w:val="19"/>
                <w:szCs w:val="19"/>
                <w:color w:val="0000FF"/>
              </w:rPr>
              <w:t>D</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9"/>
                <w:szCs w:val="19"/>
                <w:color w:val="0000FF"/>
                <w:w w:val="98"/>
              </w:rPr>
              <w:t>per share</w:t>
            </w: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5" w:lineRule="exact"/>
        <w:rPr>
          <w:sz w:val="24"/>
          <w:szCs w:val="24"/>
          <w:color w:val="auto"/>
        </w:rPr>
      </w:pPr>
    </w:p>
    <w:p>
      <w:pPr>
        <w:ind w:left="40" w:right="140" w:hanging="2"/>
        <w:spacing w:after="0" w:line="246" w:lineRule="auto"/>
        <w:tabs>
          <w:tab w:leader="none" w:pos="184"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the following unvested Restricted Stock Units ("RSUs") issued by Clearway Energy, Inc. (the "Company") under the Company's Amended and Restated 2013 Equity Incentive Plan ("LTIP"): (i) 3,626 RSUs issued on April 15, 2020, which RSUs will vest on April 15, 2023, (ii) 4,934 RSUs issued on April 15, 2021, of which 2,463 RSUs will vest on April 15, 2023 and 2,471 RSUs will vest on April 15, 2024, and (iii) 3,916 RSUs issued on April 15, 2022, which RSUs will vest ratably over a three-year period beginning on the first anniversary of the date of the grant. In addition, includes 539 dividend equivalent rights accrued on the Reporting Person's RSUs, which become exercisable proportionately with the RSUs to which they relate and may only be settled in the Company's Class C Common Stock.</w:t>
      </w:r>
    </w:p>
    <w:p>
      <w:pPr>
        <w:spacing w:after="0" w:line="24" w:lineRule="exact"/>
        <w:rPr>
          <w:rFonts w:ascii="Times New Roman" w:cs="Times New Roman" w:eastAsia="Times New Roman" w:hAnsi="Times New Roman"/>
          <w:sz w:val="14"/>
          <w:szCs w:val="14"/>
          <w:color w:val="008000"/>
        </w:rPr>
      </w:pPr>
    </w:p>
    <w:p>
      <w:pPr>
        <w:jc w:val="both"/>
        <w:ind w:left="40" w:right="140" w:hanging="2"/>
        <w:spacing w:after="0" w:line="249" w:lineRule="auto"/>
        <w:tabs>
          <w:tab w:leader="none" w:pos="184"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Reporting Person was issued 7,681 Relative Performance Stock Units ("RPSUs") by Clearway Energy, Inc. under the LTIP on April 15, 2022. The RPSUs will convert to shares of Clearway Energy, Inc. Class C Common Stock on April 15, 2025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3" w:lineRule="exact"/>
        <w:rPr>
          <w:rFonts w:ascii="Times New Roman" w:cs="Times New Roman" w:eastAsia="Times New Roman" w:hAnsi="Times New Roman"/>
          <w:sz w:val="14"/>
          <w:szCs w:val="14"/>
          <w:color w:val="008000"/>
        </w:rPr>
      </w:pPr>
    </w:p>
    <w:p>
      <w:pPr>
        <w:ind w:left="40" w:right="160" w:hanging="2"/>
        <w:spacing w:after="0" w:line="244" w:lineRule="auto"/>
        <w:tabs>
          <w:tab w:leader="none" w:pos="184"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Reporting Person will receive (i) a maximum of 11,521 shares of Class C Common Stock if Company's TSR is ranked at or above the 75th percentile relative to a peer group of companies approved by the Company's Compensation Committee (the "Peer Group") for the performance period ("Maximum"); (ii) 7,681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1,920 shares of Common Stock if Company's TSR is ranked at the 25th percentile relative to the Peer Group for the performance period (the "Threshold").The Reporting Person will not receive any shares of Common Stock if Company's TSR is below the 25th percentile.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218"/>
        </w:trPr>
        <w:tc>
          <w:tcPr>
            <w:tcW w:w="1960" w:type="dxa"/>
            <w:vAlign w:val="bottom"/>
            <w:gridSpan w:val="3"/>
          </w:tcPr>
          <w:p>
            <w:pPr>
              <w:spacing w:after="0"/>
              <w:rPr>
                <w:sz w:val="20"/>
                <w:szCs w:val="20"/>
                <w:color w:val="auto"/>
              </w:rPr>
            </w:pPr>
            <w:r>
              <w:rPr>
                <w:rFonts w:ascii="Times New Roman" w:cs="Times New Roman" w:eastAsia="Times New Roman" w:hAnsi="Times New Roman"/>
                <w:sz w:val="19"/>
                <w:szCs w:val="19"/>
                <w:color w:val="0000FF"/>
              </w:rPr>
              <w:t>/s/ Kevin P. Malcarney,</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0000FF"/>
              </w:rPr>
              <w:t>06/03/2022</w:t>
            </w:r>
          </w:p>
        </w:tc>
        <w:tc>
          <w:tcPr>
            <w:tcW w:w="0" w:type="dxa"/>
            <w:vAlign w:val="bottom"/>
          </w:tcPr>
          <w:p>
            <w:pPr>
              <w:spacing w:after="0"/>
              <w:rPr>
                <w:sz w:val="1"/>
                <w:szCs w:val="1"/>
                <w:color w:val="auto"/>
              </w:rPr>
            </w:pPr>
          </w:p>
        </w:tc>
      </w:tr>
      <w:tr>
        <w:trPr>
          <w:trHeight w:val="95"/>
        </w:trPr>
        <w:tc>
          <w:tcPr>
            <w:tcW w:w="1260" w:type="dxa"/>
            <w:vAlign w:val="bottom"/>
            <w:tcBorders>
              <w:top w:val="single" w:sz="8" w:color="auto"/>
            </w:tcBorders>
            <w:vMerge w:val="restart"/>
          </w:tcPr>
          <w:p>
            <w:pPr>
              <w:spacing w:after="0" w:line="211" w:lineRule="exact"/>
              <w:rPr>
                <w:sz w:val="20"/>
                <w:szCs w:val="20"/>
                <w:color w:val="auto"/>
              </w:rPr>
            </w:pPr>
            <w:r>
              <w:rPr>
                <w:rFonts w:ascii="Times New Roman" w:cs="Times New Roman" w:eastAsia="Times New Roman" w:hAnsi="Times New Roman"/>
                <w:sz w:val="19"/>
                <w:szCs w:val="19"/>
                <w:color w:val="0000FF"/>
                <w:w w:val="97"/>
              </w:rPr>
              <w:t>Attorney-in-Fact</w:t>
            </w:r>
          </w:p>
        </w:tc>
        <w:tc>
          <w:tcPr>
            <w:tcW w:w="480" w:type="dxa"/>
            <w:vAlign w:val="bottom"/>
            <w:tcBorders>
              <w:top w:val="single" w:sz="8" w:color="auto"/>
            </w:tcBorders>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260" w:type="dxa"/>
            <w:vAlign w:val="bottom"/>
            <w:tcBorders>
              <w:top w:val="single" w:sz="8" w:color="auto"/>
              <w:bottom w:val="single" w:sz="8" w:color="auto"/>
            </w:tcBorders>
            <w:vMerge w:val="continue"/>
          </w:tcPr>
          <w:p>
            <w:pPr>
              <w:spacing w:after="0"/>
              <w:rPr>
                <w:sz w:val="8"/>
                <w:szCs w:val="8"/>
                <w:color w:val="auto"/>
              </w:rPr>
            </w:pPr>
          </w:p>
        </w:tc>
        <w:tc>
          <w:tcPr>
            <w:tcW w:w="480" w:type="dxa"/>
            <w:vAlign w:val="bottom"/>
            <w:tcBorders>
              <w:top w:val="single" w:sz="8" w:color="auto"/>
            </w:tcBorders>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6580"/>
        <w:spacing w:after="0"/>
        <w:rPr>
          <w:sz w:val="20"/>
          <w:szCs w:val="20"/>
          <w:color w:val="auto"/>
        </w:rPr>
      </w:pPr>
      <w:r>
        <w:rPr>
          <w:rFonts w:ascii="Arial" w:cs="Arial" w:eastAsia="Arial" w:hAnsi="Arial"/>
          <w:sz w:val="14"/>
          <w:szCs w:val="14"/>
          <w:color w:val="auto"/>
        </w:rPr>
        <w:t>** Signature of Reporting Person  Date</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55" w:lineRule="exact"/>
        <w:rPr>
          <w:sz w:val="24"/>
          <w:szCs w:val="24"/>
          <w:color w:val="auto"/>
        </w:rPr>
      </w:pPr>
    </w:p>
    <w:p>
      <w:pPr>
        <w:jc w:val="both"/>
        <w:ind w:left="40" w:right="2580" w:hanging="2"/>
        <w:spacing w:after="0" w:line="322" w:lineRule="auto"/>
        <w:tabs>
          <w:tab w:leader="none" w:pos="192"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520"/>
        <w:spacing w:after="0" w:line="291" w:lineRule="auto"/>
        <w:rPr>
          <w:sz w:val="20"/>
          <w:szCs w:val="20"/>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25" w:right="479" w:bottom="1440" w:gutter="0" w:footer="0" w:header="0"/>
          <w:type w:val="continuous"/>
        </w:sectPr>
      </w:pPr>
    </w:p>
    <w:bookmarkStart w:id="1" w:name="page2"/>
    <w:bookmarkEnd w:id="1"/>
    <w:p>
      <w:pPr>
        <w:jc w:val="center"/>
        <w:ind w:right="-4"/>
        <w:spacing w:after="0"/>
        <w:rPr>
          <w:sz w:val="20"/>
          <w:szCs w:val="20"/>
          <w:color w:val="auto"/>
        </w:rPr>
      </w:pPr>
      <w:r>
        <w:rPr>
          <w:rFonts w:ascii="Times New Roman" w:cs="Times New Roman" w:eastAsia="Times New Roman" w:hAnsi="Times New Roman"/>
          <w:sz w:val="23"/>
          <w:szCs w:val="23"/>
          <w:b w:val="1"/>
          <w:bCs w:val="1"/>
          <w:color w:val="auto"/>
        </w:rPr>
        <w:t>May 27, 2022</w:t>
      </w:r>
    </w:p>
    <w:p>
      <w:pPr>
        <w:spacing w:after="0" w:line="2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3"/>
          <w:szCs w:val="23"/>
          <w:b w:val="1"/>
          <w:bCs w:val="1"/>
          <w:color w:val="auto"/>
        </w:rPr>
        <w:t>POWER OF ATTORNEY</w:t>
      </w:r>
    </w:p>
    <w:p>
      <w:pPr>
        <w:spacing w:after="0" w:line="229" w:lineRule="exact"/>
        <w:rPr>
          <w:sz w:val="20"/>
          <w:szCs w:val="20"/>
          <w:color w:val="auto"/>
        </w:rPr>
      </w:pPr>
    </w:p>
    <w:p>
      <w:pPr>
        <w:jc w:val="both"/>
        <w:ind w:left="5" w:firstLine="692"/>
        <w:spacing w:after="0"/>
        <w:rPr>
          <w:sz w:val="20"/>
          <w:szCs w:val="20"/>
          <w:color w:val="auto"/>
        </w:rPr>
      </w:pPr>
      <w:r>
        <w:rPr>
          <w:rFonts w:ascii="Times New Roman" w:cs="Times New Roman" w:eastAsia="Times New Roman" w:hAnsi="Times New Roman"/>
          <w:sz w:val="23"/>
          <w:szCs w:val="23"/>
          <w:color w:val="auto"/>
        </w:rPr>
        <w:t>KNOW ALL BY THESE PRESENTS, that the undersigned hereby constitutes and appoints each of Kevin P. Malcarney and Amelia McKeithen signing singly, the undersigned’s true and lawful attorney-in-fact to: (i) execute for and on behalf of the undersigned, in the undersigned’s capacity as an officer and/or director and/or owner of greater than 10% of the outstanding Common Stock of Clearway Energy, Inc., a Delaware corporation (the "Company"), Forms 3, 4, and 5 in accordance with Section 16(a) of the Securities Exchange Act of 1934 and the rules thereunder;</w:t>
      </w:r>
    </w:p>
    <w:p>
      <w:pPr>
        <w:jc w:val="both"/>
        <w:ind w:left="5" w:hanging="5"/>
        <w:spacing w:after="0" w:line="237" w:lineRule="auto"/>
        <w:tabs>
          <w:tab w:leader="none" w:pos="373" w:val="left"/>
        </w:tabs>
        <w:numPr>
          <w:ilvl w:val="0"/>
          <w:numId w:val="6"/>
        </w:numPr>
        <w:rPr>
          <w:rFonts w:ascii="Times New Roman" w:cs="Times New Roman" w:eastAsia="Times New Roman" w:hAnsi="Times New Roman"/>
          <w:sz w:val="23"/>
          <w:szCs w:val="23"/>
          <w:color w:val="auto"/>
        </w:rPr>
      </w:pPr>
      <w:r>
        <w:rPr>
          <w:rFonts w:ascii="Times New Roman" w:cs="Times New Roman" w:eastAsia="Times New Roman" w:hAnsi="Times New Roman"/>
          <w:sz w:val="23"/>
          <w:szCs w:val="23"/>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0" w:lineRule="exact"/>
        <w:rPr>
          <w:sz w:val="20"/>
          <w:szCs w:val="20"/>
          <w:color w:val="auto"/>
        </w:rPr>
      </w:pPr>
    </w:p>
    <w:p>
      <w:pPr>
        <w:jc w:val="both"/>
        <w:ind w:left="5" w:firstLine="692"/>
        <w:spacing w:after="0"/>
        <w:rPr>
          <w:sz w:val="20"/>
          <w:szCs w:val="20"/>
          <w:color w:val="auto"/>
        </w:rPr>
      </w:pPr>
      <w:r>
        <w:rPr>
          <w:rFonts w:ascii="Times New Roman" w:cs="Times New Roman" w:eastAsia="Times New Roman" w:hAnsi="Times New Roman"/>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9" w:lineRule="exact"/>
        <w:rPr>
          <w:sz w:val="20"/>
          <w:szCs w:val="20"/>
          <w:color w:val="auto"/>
        </w:rPr>
      </w:pPr>
    </w:p>
    <w:p>
      <w:pPr>
        <w:jc w:val="both"/>
        <w:ind w:left="5" w:firstLine="692"/>
        <w:spacing w:after="0" w:line="252" w:lineRule="auto"/>
        <w:rPr>
          <w:sz w:val="20"/>
          <w:szCs w:val="20"/>
          <w:color w:val="auto"/>
        </w:rPr>
      </w:pPr>
      <w:r>
        <w:rPr>
          <w:rFonts w:ascii="Times New Roman" w:cs="Times New Roman" w:eastAsia="Times New Roman" w:hAnsi="Times New Roman"/>
          <w:sz w:val="23"/>
          <w:szCs w:val="23"/>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75" w:lineRule="exact"/>
        <w:rPr>
          <w:sz w:val="20"/>
          <w:szCs w:val="20"/>
          <w:color w:val="auto"/>
        </w:rPr>
      </w:pPr>
    </w:p>
    <w:p>
      <w:pPr>
        <w:jc w:val="both"/>
        <w:ind w:left="5" w:firstLine="692"/>
        <w:spacing w:after="0" w:line="268" w:lineRule="auto"/>
        <w:rPr>
          <w:sz w:val="20"/>
          <w:szCs w:val="20"/>
          <w:color w:val="auto"/>
        </w:rPr>
      </w:pPr>
      <w:r>
        <w:rPr>
          <w:rFonts w:ascii="Times New Roman" w:cs="Times New Roman" w:eastAsia="Times New Roman" w:hAnsi="Times New Roman"/>
          <w:sz w:val="23"/>
          <w:szCs w:val="23"/>
          <w:color w:val="auto"/>
        </w:rPr>
        <w:t>IN WITNESS WHEREOF, the undersigned have caused this Power of Attorney to be executed as of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23"/>
          <w:szCs w:val="23"/>
          <w:color w:val="auto"/>
        </w:rPr>
        <w:t>Michael T. Murphy</w:t>
      </w:r>
    </w:p>
    <w:p>
      <w:pPr>
        <w:spacing w:after="0" w:line="16" w:lineRule="exact"/>
        <w:rPr>
          <w:sz w:val="20"/>
          <w:szCs w:val="20"/>
          <w:color w:val="auto"/>
        </w:rPr>
      </w:pPr>
    </w:p>
    <w:p>
      <w:pPr>
        <w:ind w:left="4665"/>
        <w:spacing w:after="0"/>
        <w:rPr>
          <w:sz w:val="20"/>
          <w:szCs w:val="20"/>
          <w:color w:val="auto"/>
        </w:rPr>
      </w:pPr>
      <w:r>
        <w:rPr>
          <w:rFonts w:ascii="Times New Roman" w:cs="Times New Roman" w:eastAsia="Times New Roman" w:hAnsi="Times New Roman"/>
          <w:sz w:val="23"/>
          <w:szCs w:val="23"/>
          <w:color w:val="auto"/>
        </w:rPr>
        <w:t>/s/ Michael T. Murphy</w:t>
      </w:r>
    </w:p>
    <w:p>
      <w:pPr>
        <w:ind w:left="4665"/>
        <w:spacing w:after="0"/>
        <w:rPr>
          <w:sz w:val="20"/>
          <w:szCs w:val="20"/>
          <w:color w:val="auto"/>
        </w:rPr>
      </w:pPr>
      <w:r>
        <w:rPr>
          <w:rFonts w:ascii="Times New Roman" w:cs="Times New Roman" w:eastAsia="Times New Roman" w:hAnsi="Times New Roman"/>
          <w:sz w:val="23"/>
          <w:szCs w:val="2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23"/>
          <w:szCs w:val="23"/>
          <w:color w:val="auto"/>
        </w:rPr>
        <w:t>1</w:t>
      </w:r>
    </w:p>
    <w:sectPr>
      <w:pgSz w:w="11900" w:h="16838" w:orient="portrait"/>
      <w:cols w:equalWidth="0" w:num="1">
        <w:col w:w="10945"/>
      </w:cols>
      <w:pgMar w:left="475" w:top="10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32383" TargetMode="External"/><Relationship Id="rId12"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2022-06-03T15:10:20Z</dcterms:created>
  <dcterms:modified xsi:type="dcterms:W3CDTF">2022-06-03T15:10:20Z</dcterms:modified>
</cp:coreProperties>
</file>