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311785</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346075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17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3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Pursuant to Section 13 or 15(d) of the Securities Exchange Act of 1934</w:t>
      </w:r>
    </w:p>
    <w:p>
      <w:pPr>
        <w:spacing w:after="0" w:line="20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 xml:space="preserve">Date of Report (Date of earliest event reported): </w:t>
      </w:r>
      <w:r>
        <w:rPr>
          <w:rFonts w:ascii="Times New Roman" w:cs="Times New Roman" w:eastAsia="Times New Roman" w:hAnsi="Times New Roman"/>
          <w:sz w:val="18"/>
          <w:szCs w:val="18"/>
          <w:b w:val="1"/>
          <w:bCs w:val="1"/>
          <w:color w:val="auto"/>
        </w:rPr>
        <w:t>June 24, 2022</w:t>
      </w:r>
    </w:p>
    <w:p>
      <w:pPr>
        <w:spacing w:after="0" w:line="20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Clearway Energy, Inc.</w:t>
      </w:r>
    </w:p>
    <w:p>
      <w:pPr>
        <w:spacing w:after="0" w:line="4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ectPr>
          <w:pgSz w:w="11900" w:h="16838" w:orient="portrait"/>
          <w:cols w:equalWidth="0" w:num="1">
            <w:col w:w="11240"/>
          </w:cols>
          <w:pgMar w:left="320" w:top="754" w:right="339" w:bottom="1440" w:gutter="0" w:footer="0" w:header="0"/>
        </w:sectPr>
      </w:pPr>
    </w:p>
    <w:p>
      <w:pPr>
        <w:spacing w:after="0" w:line="201" w:lineRule="exact"/>
        <w:rPr>
          <w:sz w:val="24"/>
          <w:szCs w:val="24"/>
          <w:color w:val="auto"/>
        </w:rPr>
      </w:pPr>
    </w:p>
    <w:p>
      <w:pPr>
        <w:jc w:val="center"/>
        <w:ind w:right="300"/>
        <w:spacing w:after="0"/>
        <w:rPr>
          <w:sz w:val="20"/>
          <w:szCs w:val="20"/>
          <w:color w:val="auto"/>
        </w:rPr>
      </w:pPr>
      <w:r>
        <w:rPr>
          <w:rFonts w:ascii="Times New Roman" w:cs="Times New Roman" w:eastAsia="Times New Roman" w:hAnsi="Times New Roman"/>
          <w:sz w:val="18"/>
          <w:szCs w:val="18"/>
          <w:b w:val="1"/>
          <w:bCs w:val="1"/>
          <w:color w:val="auto"/>
        </w:rPr>
        <w:t>Delaware</w:t>
      </w:r>
    </w:p>
    <w:p>
      <w:pPr>
        <w:spacing w:after="0" w:line="31" w:lineRule="exact"/>
        <w:rPr>
          <w:sz w:val="24"/>
          <w:szCs w:val="24"/>
          <w:color w:val="auto"/>
        </w:rPr>
      </w:pPr>
    </w:p>
    <w:p>
      <w:pPr>
        <w:jc w:val="center"/>
        <w:ind w:right="300"/>
        <w:spacing w:after="0"/>
        <w:rPr>
          <w:sz w:val="20"/>
          <w:szCs w:val="20"/>
          <w:color w:val="auto"/>
        </w:rPr>
      </w:pPr>
      <w:r>
        <w:rPr>
          <w:rFonts w:ascii="Times New Roman" w:cs="Times New Roman" w:eastAsia="Times New Roman" w:hAnsi="Times New Roman"/>
          <w:sz w:val="18"/>
          <w:szCs w:val="18"/>
          <w:color w:val="auto"/>
        </w:rPr>
        <w:t>(State or other jurisdiction of</w:t>
      </w:r>
    </w:p>
    <w:p>
      <w:pPr>
        <w:spacing w:after="0" w:line="20" w:lineRule="exact"/>
        <w:rPr>
          <w:sz w:val="24"/>
          <w:szCs w:val="24"/>
          <w:color w:val="auto"/>
        </w:rPr>
      </w:pPr>
      <w:r>
        <w:rPr>
          <w:sz w:val="24"/>
          <w:szCs w:val="24"/>
          <w:color w:val="auto"/>
        </w:rPr>
        <w:br w:type="column"/>
      </w:r>
    </w:p>
    <w:p>
      <w:pPr>
        <w:spacing w:after="0" w:line="181" w:lineRule="exact"/>
        <w:rPr>
          <w:sz w:val="24"/>
          <w:szCs w:val="24"/>
          <w:color w:val="auto"/>
        </w:rPr>
      </w:pPr>
    </w:p>
    <w:p>
      <w:pPr>
        <w:jc w:val="center"/>
        <w:ind w:right="840"/>
        <w:spacing w:after="0"/>
        <w:rPr>
          <w:sz w:val="20"/>
          <w:szCs w:val="20"/>
          <w:color w:val="auto"/>
        </w:rPr>
      </w:pPr>
      <w:r>
        <w:rPr>
          <w:rFonts w:ascii="Times New Roman" w:cs="Times New Roman" w:eastAsia="Times New Roman" w:hAnsi="Times New Roman"/>
          <w:sz w:val="18"/>
          <w:szCs w:val="18"/>
          <w:b w:val="1"/>
          <w:bCs w:val="1"/>
          <w:color w:val="auto"/>
        </w:rPr>
        <w:t>001-36002</w:t>
      </w:r>
    </w:p>
    <w:p>
      <w:pPr>
        <w:spacing w:after="0" w:line="31" w:lineRule="exact"/>
        <w:rPr>
          <w:sz w:val="24"/>
          <w:szCs w:val="24"/>
          <w:color w:val="auto"/>
        </w:rPr>
      </w:pPr>
    </w:p>
    <w:p>
      <w:pPr>
        <w:jc w:val="center"/>
        <w:ind w:right="840"/>
        <w:spacing w:after="0"/>
        <w:rPr>
          <w:sz w:val="20"/>
          <w:szCs w:val="20"/>
          <w:color w:val="auto"/>
        </w:rPr>
      </w:pPr>
      <w:r>
        <w:rPr>
          <w:rFonts w:ascii="Times New Roman" w:cs="Times New Roman" w:eastAsia="Times New Roman" w:hAnsi="Times New Roman"/>
          <w:sz w:val="18"/>
          <w:szCs w:val="18"/>
          <w:color w:val="auto"/>
        </w:rPr>
        <w:t>(Commission File Number)</w:t>
      </w:r>
    </w:p>
    <w:p>
      <w:pPr>
        <w:spacing w:after="0" w:line="20" w:lineRule="exact"/>
        <w:rPr>
          <w:sz w:val="24"/>
          <w:szCs w:val="24"/>
          <w:color w:val="auto"/>
        </w:rPr>
      </w:pPr>
      <w:r>
        <w:rPr>
          <w:sz w:val="24"/>
          <w:szCs w:val="24"/>
          <w:color w:val="auto"/>
        </w:rPr>
        <w:br w:type="column"/>
      </w:r>
    </w:p>
    <w:p>
      <w:pPr>
        <w:spacing w:after="0" w:line="181" w:lineRule="exact"/>
        <w:rPr>
          <w:sz w:val="24"/>
          <w:szCs w:val="24"/>
          <w:color w:val="auto"/>
        </w:rPr>
      </w:pPr>
    </w:p>
    <w:p>
      <w:pPr>
        <w:jc w:val="center"/>
        <w:ind w:right="560"/>
        <w:spacing w:after="0"/>
        <w:rPr>
          <w:sz w:val="20"/>
          <w:szCs w:val="20"/>
          <w:color w:val="auto"/>
        </w:rPr>
      </w:pPr>
      <w:r>
        <w:rPr>
          <w:rFonts w:ascii="Times New Roman" w:cs="Times New Roman" w:eastAsia="Times New Roman" w:hAnsi="Times New Roman"/>
          <w:sz w:val="18"/>
          <w:szCs w:val="18"/>
          <w:b w:val="1"/>
          <w:bCs w:val="1"/>
          <w:color w:val="auto"/>
        </w:rPr>
        <w:t>46-1777204</w:t>
      </w:r>
    </w:p>
    <w:p>
      <w:pPr>
        <w:spacing w:after="0" w:line="31" w:lineRule="exact"/>
        <w:rPr>
          <w:sz w:val="24"/>
          <w:szCs w:val="24"/>
          <w:color w:val="auto"/>
        </w:rPr>
      </w:pPr>
    </w:p>
    <w:p>
      <w:pPr>
        <w:jc w:val="center"/>
        <w:ind w:right="560"/>
        <w:spacing w:after="0"/>
        <w:rPr>
          <w:sz w:val="20"/>
          <w:szCs w:val="20"/>
          <w:color w:val="auto"/>
        </w:rPr>
      </w:pPr>
      <w:r>
        <w:rPr>
          <w:rFonts w:ascii="Times New Roman" w:cs="Times New Roman" w:eastAsia="Times New Roman" w:hAnsi="Times New Roman"/>
          <w:sz w:val="17"/>
          <w:szCs w:val="17"/>
          <w:color w:val="auto"/>
        </w:rPr>
        <w:t>(IRS Employer Identification No.)</w:t>
      </w:r>
    </w:p>
    <w:p>
      <w:pPr>
        <w:spacing w:after="0" w:line="20" w:lineRule="exact"/>
        <w:rPr>
          <w:sz w:val="24"/>
          <w:szCs w:val="24"/>
          <w:color w:val="auto"/>
        </w:rPr>
      </w:pPr>
    </w:p>
    <w:p>
      <w:pPr>
        <w:sectPr>
          <w:pgSz w:w="11900" w:h="16838" w:orient="portrait"/>
          <w:cols w:equalWidth="0" w:num="3">
            <w:col w:w="3920" w:space="720"/>
            <w:col w:w="2840" w:space="720"/>
            <w:col w:w="3040"/>
          </w:cols>
          <w:pgMar w:left="320" w:top="754" w:right="339" w:bottom="1440" w:gutter="0" w:footer="0" w:header="0"/>
          <w:type w:val="continuous"/>
        </w:sectPr>
      </w:pPr>
    </w:p>
    <w:p>
      <w:pPr>
        <w:ind w:left="1300"/>
        <w:spacing w:after="0"/>
        <w:rPr>
          <w:sz w:val="20"/>
          <w:szCs w:val="20"/>
          <w:color w:val="auto"/>
        </w:rPr>
      </w:pPr>
      <w:r>
        <w:rPr>
          <w:rFonts w:ascii="Times New Roman" w:cs="Times New Roman" w:eastAsia="Times New Roman" w:hAnsi="Times New Roman"/>
          <w:sz w:val="18"/>
          <w:szCs w:val="18"/>
          <w:color w:val="auto"/>
        </w:rPr>
        <w:t>incorporation)</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300 Carnegie Center, Suite 300, Princeton, New Jersey 08540</w:t>
      </w:r>
    </w:p>
    <w:p>
      <w:pPr>
        <w:spacing w:after="0" w:line="4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(Address of principal executive offices, including zip code)</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(609) 608-1525</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(Registrant’s telephone number, including area code)</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N/A</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(Former name or former address, if changed since last report)</w:t>
      </w:r>
    </w:p>
    <w:p>
      <w:pPr>
        <w:sectPr>
          <w:pgSz w:w="11900" w:h="16838" w:orient="portrait"/>
          <w:cols w:equalWidth="0" w:num="1">
            <w:col w:w="11240"/>
          </w:cols>
          <w:pgMar w:left="320" w:top="754" w:right="339" w:bottom="1440" w:gutter="0" w:footer="0" w:header="0"/>
          <w:type w:val="continuous"/>
        </w:sectPr>
      </w:pPr>
    </w:p>
    <w:p>
      <w:pPr>
        <w:spacing w:after="0" w:line="207" w:lineRule="exact"/>
        <w:rPr>
          <w:sz w:val="24"/>
          <w:szCs w:val="24"/>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62" w:lineRule="exact"/>
        <w:rPr>
          <w:sz w:val="24"/>
          <w:szCs w:val="24"/>
          <w:color w:val="auto"/>
        </w:rPr>
      </w:pPr>
    </w:p>
    <w:p>
      <w:pPr>
        <w:ind w:left="420" w:hanging="331"/>
        <w:spacing w:after="0"/>
        <w:tabs>
          <w:tab w:leader="none" w:pos="420" w:val="left"/>
        </w:tabs>
        <w:numPr>
          <w:ilvl w:val="1"/>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420" w:hanging="331"/>
        <w:spacing w:after="0"/>
        <w:tabs>
          <w:tab w:leader="none" w:pos="420" w:val="left"/>
        </w:tabs>
        <w:numPr>
          <w:ilvl w:val="1"/>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400" w:hanging="325"/>
        <w:spacing w:after="0"/>
        <w:tabs>
          <w:tab w:leader="none" w:pos="40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right="2800" w:firstLine="75"/>
        <w:spacing w:after="0" w:line="498" w:lineRule="auto"/>
        <w:tabs>
          <w:tab w:leader="none" w:pos="391"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 Securities registered pursuant to Section 12(b) of the Act:</w:t>
      </w:r>
    </w:p>
    <w:p>
      <w:pPr>
        <w:spacing w:after="0" w:line="1" w:lineRule="exact"/>
        <w:rPr>
          <w:sz w:val="24"/>
          <w:szCs w:val="24"/>
          <w:color w:val="auto"/>
        </w:rPr>
      </w:pPr>
    </w:p>
    <w:tbl>
      <w:tblPr>
        <w:tblLayout w:type="fixed"/>
        <w:tblInd w:w="0" w:type="dxa"/>
        <w:tblCellMar>
          <w:top w:w="0" w:type="dxa"/>
          <w:left w:w="0" w:type="dxa"/>
          <w:bottom w:w="0" w:type="dxa"/>
          <w:right w:w="0" w:type="dxa"/>
        </w:tblCellMar>
      </w:tblPr>
      <w:tr>
        <w:trPr>
          <w:trHeight w:val="238"/>
        </w:trPr>
        <w:tc>
          <w:tcPr>
            <w:tcW w:w="4320" w:type="dxa"/>
            <w:vAlign w:val="bottom"/>
            <w:tcBorders>
              <w:bottom w:val="single" w:sz="8" w:color="auto"/>
            </w:tcBorders>
          </w:tcPr>
          <w:p>
            <w:pPr>
              <w:jc w:val="center"/>
              <w:ind w:left="110"/>
              <w:spacing w:after="0"/>
              <w:rPr>
                <w:sz w:val="20"/>
                <w:szCs w:val="20"/>
                <w:color w:val="auto"/>
              </w:rPr>
            </w:pPr>
            <w:r>
              <w:rPr>
                <w:rFonts w:ascii="Times New Roman" w:cs="Times New Roman" w:eastAsia="Times New Roman" w:hAnsi="Times New Roman"/>
                <w:sz w:val="18"/>
                <w:szCs w:val="18"/>
                <w:b w:val="1"/>
                <w:bCs w:val="1"/>
                <w:color w:val="auto"/>
              </w:rPr>
              <w:t>Title of each class</w:t>
            </w:r>
          </w:p>
        </w:tc>
        <w:tc>
          <w:tcPr>
            <w:tcW w:w="2520" w:type="dxa"/>
            <w:vAlign w:val="bottom"/>
            <w:tcBorders>
              <w:bottom w:val="single" w:sz="8" w:color="auto"/>
            </w:tcBorders>
          </w:tcPr>
          <w:p>
            <w:pPr>
              <w:jc w:val="center"/>
              <w:ind w:left="10"/>
              <w:spacing w:after="0"/>
              <w:rPr>
                <w:sz w:val="20"/>
                <w:szCs w:val="20"/>
                <w:color w:val="auto"/>
              </w:rPr>
            </w:pPr>
            <w:r>
              <w:rPr>
                <w:rFonts w:ascii="Times New Roman" w:cs="Times New Roman" w:eastAsia="Times New Roman" w:hAnsi="Times New Roman"/>
                <w:sz w:val="18"/>
                <w:szCs w:val="18"/>
                <w:b w:val="1"/>
                <w:bCs w:val="1"/>
                <w:color w:val="auto"/>
                <w:w w:val="98"/>
              </w:rPr>
              <w:t>Trading Symbol(s)</w:t>
            </w:r>
          </w:p>
        </w:tc>
        <w:tc>
          <w:tcPr>
            <w:tcW w:w="4400" w:type="dxa"/>
            <w:vAlign w:val="bottom"/>
            <w:tcBorders>
              <w:bottom w:val="single" w:sz="8" w:color="auto"/>
            </w:tcBorders>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191"/>
        </w:trPr>
        <w:tc>
          <w:tcPr>
            <w:tcW w:w="4320" w:type="dxa"/>
            <w:vAlign w:val="bottom"/>
          </w:tcPr>
          <w:p>
            <w:pPr>
              <w:jc w:val="center"/>
              <w:ind w:left="90"/>
              <w:spacing w:after="0" w:line="191" w:lineRule="exact"/>
              <w:rPr>
                <w:sz w:val="20"/>
                <w:szCs w:val="20"/>
                <w:color w:val="auto"/>
              </w:rPr>
            </w:pPr>
            <w:r>
              <w:rPr>
                <w:rFonts w:ascii="Times New Roman" w:cs="Times New Roman" w:eastAsia="Times New Roman" w:hAnsi="Times New Roman"/>
                <w:sz w:val="18"/>
                <w:szCs w:val="18"/>
                <w:color w:val="auto"/>
                <w:w w:val="99"/>
              </w:rPr>
              <w:t>Class A Common Stock, par value $0.01</w:t>
            </w:r>
          </w:p>
        </w:tc>
        <w:tc>
          <w:tcPr>
            <w:tcW w:w="2520" w:type="dxa"/>
            <w:vAlign w:val="bottom"/>
          </w:tcPr>
          <w:p>
            <w:pPr>
              <w:jc w:val="center"/>
              <w:ind w:left="10"/>
              <w:spacing w:after="0" w:line="191" w:lineRule="exact"/>
              <w:rPr>
                <w:sz w:val="20"/>
                <w:szCs w:val="20"/>
                <w:color w:val="auto"/>
              </w:rPr>
            </w:pPr>
            <w:r>
              <w:rPr>
                <w:rFonts w:ascii="Times New Roman" w:cs="Times New Roman" w:eastAsia="Times New Roman" w:hAnsi="Times New Roman"/>
                <w:sz w:val="18"/>
                <w:szCs w:val="18"/>
                <w:color w:val="auto"/>
                <w:w w:val="99"/>
              </w:rPr>
              <w:t>CWEN.A</w:t>
            </w:r>
          </w:p>
        </w:tc>
        <w:tc>
          <w:tcPr>
            <w:tcW w:w="4400" w:type="dxa"/>
            <w:vAlign w:val="bottom"/>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New York Stock Exchange</w:t>
            </w:r>
          </w:p>
        </w:tc>
      </w:tr>
      <w:tr>
        <w:trPr>
          <w:trHeight w:val="234"/>
        </w:trPr>
        <w:tc>
          <w:tcPr>
            <w:tcW w:w="4320" w:type="dxa"/>
            <w:vAlign w:val="bottom"/>
          </w:tcPr>
          <w:p>
            <w:pPr>
              <w:jc w:val="center"/>
              <w:ind w:left="110"/>
              <w:spacing w:after="0"/>
              <w:rPr>
                <w:sz w:val="20"/>
                <w:szCs w:val="20"/>
                <w:color w:val="auto"/>
              </w:rPr>
            </w:pPr>
            <w:r>
              <w:rPr>
                <w:rFonts w:ascii="Times New Roman" w:cs="Times New Roman" w:eastAsia="Times New Roman" w:hAnsi="Times New Roman"/>
                <w:sz w:val="18"/>
                <w:szCs w:val="18"/>
                <w:color w:val="auto"/>
                <w:w w:val="99"/>
              </w:rPr>
              <w:t>Class C Common Stock, par value $0.01</w:t>
            </w:r>
          </w:p>
        </w:tc>
        <w:tc>
          <w:tcPr>
            <w:tcW w:w="2520" w:type="dxa"/>
            <w:vAlign w:val="bottom"/>
          </w:tcPr>
          <w:p>
            <w:pPr>
              <w:jc w:val="center"/>
              <w:ind w:left="10"/>
              <w:spacing w:after="0"/>
              <w:rPr>
                <w:sz w:val="20"/>
                <w:szCs w:val="20"/>
                <w:color w:val="auto"/>
              </w:rPr>
            </w:pPr>
            <w:r>
              <w:rPr>
                <w:rFonts w:ascii="Times New Roman" w:cs="Times New Roman" w:eastAsia="Times New Roman" w:hAnsi="Times New Roman"/>
                <w:sz w:val="18"/>
                <w:szCs w:val="18"/>
                <w:color w:val="auto"/>
              </w:rPr>
              <w:t>CWEN</w:t>
            </w:r>
          </w:p>
        </w:tc>
        <w:tc>
          <w:tcPr>
            <w:tcW w:w="44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New York Stock Exchange</w:t>
            </w:r>
          </w:p>
        </w:tc>
      </w:tr>
    </w:tbl>
    <w:p>
      <w:pPr>
        <w:spacing w:after="0" w:line="198" w:lineRule="exact"/>
        <w:rPr>
          <w:sz w:val="24"/>
          <w:szCs w:val="24"/>
          <w:color w:val="auto"/>
        </w:rPr>
      </w:pPr>
    </w:p>
    <w:p>
      <w:pPr>
        <w:ind w:right="52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33" w:lineRule="exact"/>
        <w:rPr>
          <w:sz w:val="24"/>
          <w:szCs w:val="24"/>
          <w:color w:val="auto"/>
        </w:rPr>
      </w:pPr>
    </w:p>
    <w:p>
      <w:pPr>
        <w:ind w:left="8280"/>
        <w:spacing w:after="0" w:line="207" w:lineRule="exact"/>
        <w:tabs>
          <w:tab w:leader="none" w:pos="10420" w:val="left"/>
        </w:tabs>
        <w:rPr>
          <w:sz w:val="20"/>
          <w:szCs w:val="20"/>
          <w:color w:val="auto"/>
        </w:rPr>
      </w:pPr>
      <w:r>
        <w:rPr>
          <w:rFonts w:ascii="Times New Roman" w:cs="Times New Roman" w:eastAsia="Times New Roman" w:hAnsi="Times New Roman"/>
          <w:sz w:val="18"/>
          <w:szCs w:val="18"/>
          <w:color w:val="auto"/>
        </w:rPr>
        <w:t>Emerging growth company</w:t>
      </w:r>
      <w:r>
        <w:rPr>
          <w:sz w:val="20"/>
          <w:szCs w:val="20"/>
          <w:color w:val="auto"/>
        </w:rPr>
        <w:tab/>
      </w:r>
      <w:r>
        <w:rPr>
          <w:rFonts w:ascii="MS PGothic" w:cs="MS PGothic" w:eastAsia="MS PGothic" w:hAnsi="MS PGothic"/>
          <w:sz w:val="16"/>
          <w:szCs w:val="16"/>
          <w:color w:val="auto"/>
        </w:rPr>
        <w:t>☐</w:t>
      </w:r>
    </w:p>
    <w:p>
      <w:pPr>
        <w:spacing w:after="0" w:line="254" w:lineRule="exact"/>
        <w:rPr>
          <w:sz w:val="24"/>
          <w:szCs w:val="24"/>
          <w:color w:val="auto"/>
        </w:rPr>
      </w:pPr>
    </w:p>
    <w:p>
      <w:pPr>
        <w:ind w:right="160"/>
        <w:spacing w:after="0" w:line="235"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125095</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596900</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54" w:right="339" w:bottom="1440" w:gutter="0" w:footer="0" w:header="0"/>
          <w:type w:val="continuous"/>
        </w:sectPr>
      </w:pPr>
    </w:p>
    <w:bookmarkStart w:id="1" w:name="page2"/>
    <w:bookmarkEnd w:id="1"/>
    <w:p>
      <w:pPr>
        <w:ind w:left="1300" w:right="1080" w:hanging="1295"/>
        <w:spacing w:after="0" w:line="286" w:lineRule="auto"/>
        <w:tabs>
          <w:tab w:leader="none" w:pos="1280" w:val="left"/>
        </w:tabs>
        <w:rPr>
          <w:sz w:val="20"/>
          <w:szCs w:val="20"/>
          <w:color w:val="auto"/>
        </w:rPr>
      </w:pPr>
      <w:r>
        <w:rPr>
          <w:rFonts w:ascii="Times New Roman" w:cs="Times New Roman" w:eastAsia="Times New Roman" w:hAnsi="Times New Roman"/>
          <w:sz w:val="18"/>
          <w:szCs w:val="18"/>
          <w:b w:val="1"/>
          <w:bCs w:val="1"/>
          <w:color w:val="auto"/>
        </w:rPr>
        <w:t>Item 5.02</w:t>
      </w:r>
      <w:r>
        <w:rPr>
          <w:sz w:val="20"/>
          <w:szCs w:val="20"/>
          <w:color w:val="auto"/>
        </w:rPr>
        <w:tab/>
      </w:r>
      <w:r>
        <w:rPr>
          <w:rFonts w:ascii="Times New Roman" w:cs="Times New Roman" w:eastAsia="Times New Roman" w:hAnsi="Times New Roman"/>
          <w:sz w:val="18"/>
          <w:szCs w:val="18"/>
          <w:b w:val="1"/>
          <w:bCs w:val="1"/>
          <w:color w:val="auto"/>
        </w:rPr>
        <w:t>Departure of Directors or Certain Officers; Election of Directors; Appointment of Certain Officers; Compensatory Arrangements of Certain Officers.</w:t>
      </w:r>
    </w:p>
    <w:p>
      <w:pPr>
        <w:spacing w:after="0" w:line="159" w:lineRule="exact"/>
        <w:rPr>
          <w:sz w:val="20"/>
          <w:szCs w:val="20"/>
          <w:color w:val="auto"/>
        </w:rPr>
      </w:pPr>
    </w:p>
    <w:p>
      <w:pPr>
        <w:ind w:firstLine="648"/>
        <w:spacing w:after="0" w:line="258" w:lineRule="auto"/>
        <w:rPr>
          <w:sz w:val="20"/>
          <w:szCs w:val="20"/>
          <w:color w:val="auto"/>
        </w:rPr>
      </w:pPr>
      <w:r>
        <w:rPr>
          <w:rFonts w:ascii="Times New Roman" w:cs="Times New Roman" w:eastAsia="Times New Roman" w:hAnsi="Times New Roman"/>
          <w:sz w:val="18"/>
          <w:szCs w:val="18"/>
          <w:color w:val="auto"/>
        </w:rPr>
        <w:t>On June 24, 2022, Chad Plotkin informed Clearway Energy, Inc. (the “Company”) of his intention to resign from his position as Executive Vice President and Chief Financial Officer of the Company to pursue another opportunity. Mr. Plotkin will continue to serve as the Company’s Executive Vice President and Chief Financial Officer through the date of the filing of the Company’s Quarterly Report on Form 10-Q for the three months ended June 30, 2022, which is anticipated to be filed on or around August 2, 2022. Mr. Plotkin’s resignation as Executive Vice President and Chief Financial Officer of the Company was not the result of any disagreement with the Company or its independent auditors.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419735</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00"/>
          </w:cols>
          <w:pgMar w:left="320" w:top="900" w:right="379" w:bottom="1440" w:gutter="0" w:footer="0" w:header="0"/>
        </w:sectPr>
      </w:pPr>
    </w:p>
    <w:bookmarkStart w:id="2" w:name="page3"/>
    <w:bookmarkEnd w:id="2"/>
    <w:p>
      <w:pPr>
        <w:jc w:val="center"/>
        <w:ind w:right="-3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58"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Clearway Energy, Inc.</w:t>
      </w:r>
    </w:p>
    <w:p>
      <w:pPr>
        <w:spacing w:after="0" w:line="229"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By: /s/ Kevin P. Malcarney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17145</wp:posOffset>
            </wp:positionV>
            <wp:extent cx="335153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351530" cy="8890"/>
                    </a:xfrm>
                    <a:prstGeom prst="rect">
                      <a:avLst/>
                    </a:prstGeom>
                    <a:noFill/>
                  </pic:spPr>
                </pic:pic>
              </a:graphicData>
            </a:graphic>
          </wp:anchor>
        </w:drawing>
      </w:r>
    </w:p>
    <w:p>
      <w:pPr>
        <w:spacing w:after="0" w:line="7"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Kevin P. Malcarney</w:t>
      </w:r>
    </w:p>
    <w:p>
      <w:pPr>
        <w:spacing w:after="0" w:line="23"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General Counsel and Corporate Secretary</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June 30,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445770</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sectPr>
      <w:pgSz w:w="11900" w:h="16838" w:orient="portrait"/>
      <w:cols w:equalWidth="0" w:num="1">
        <w:col w:w="10920"/>
      </w:cols>
      <w:pgMar w:left="320" w:top="900" w:right="6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lvl w:ilvl="1">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2022-06-30T15:11:10Z</dcterms:created>
  <dcterms:modified xsi:type="dcterms:W3CDTF">2022-06-30T15:11:10Z</dcterms:modified>
</cp:coreProperties>
</file>