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406400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6, 2019</w:t>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CLEARWAY ENERGY,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904"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6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00" w:space="720"/>
            <w:col w:w="2840" w:space="720"/>
            <w:col w:w="3140"/>
          </w:cols>
          <w:pgMar w:left="240" w:top="904" w:right="239" w:bottom="1440" w:gutter="0" w:footer="0" w:header="0"/>
          <w:type w:val="continuous"/>
        </w:sect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300 Carnegie Center, Suite 300, Princeton, New Jersey 08540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0" w:lineRule="exact"/>
        <w:rPr>
          <w:sz w:val="24"/>
          <w:szCs w:val="24"/>
          <w:color w:val="auto"/>
        </w:rPr>
      </w:pP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7"/>
              </w:rPr>
              <w:t>Title of each class</w:t>
            </w:r>
          </w:p>
        </w:tc>
        <w:tc>
          <w:tcPr>
            <w:tcW w:w="29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9"/>
              </w:rPr>
              <w:t>Trading Symbol(s)</w:t>
            </w:r>
          </w:p>
        </w:tc>
        <w:tc>
          <w:tcPr>
            <w:tcW w:w="428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4180" w:type="dxa"/>
            <w:vAlign w:val="bottom"/>
          </w:tcPr>
          <w:p>
            <w:pPr>
              <w:jc w:val="center"/>
              <w:ind w:right="270"/>
              <w:spacing w:after="0" w:line="195" w:lineRule="exact"/>
              <w:rPr>
                <w:sz w:val="20"/>
                <w:szCs w:val="20"/>
                <w:color w:val="auto"/>
              </w:rPr>
            </w:pPr>
            <w:r>
              <w:rPr>
                <w:rFonts w:ascii="Arial" w:cs="Arial" w:eastAsia="Arial" w:hAnsi="Arial"/>
                <w:sz w:val="18"/>
                <w:szCs w:val="18"/>
                <w:color w:val="auto"/>
                <w:w w:val="90"/>
              </w:rPr>
              <w:t>Class A Common Stock, par value $0.01</w:t>
            </w:r>
          </w:p>
        </w:tc>
        <w:tc>
          <w:tcPr>
            <w:tcW w:w="296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7"/>
              </w:rPr>
              <w:t>CWEN.A</w:t>
            </w:r>
          </w:p>
        </w:tc>
        <w:tc>
          <w:tcPr>
            <w:tcW w:w="4280" w:type="dxa"/>
            <w:vAlign w:val="bottom"/>
          </w:tcPr>
          <w:p>
            <w:pPr>
              <w:jc w:val="center"/>
              <w:ind w:left="370"/>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4180" w:type="dxa"/>
            <w:vAlign w:val="bottom"/>
          </w:tcPr>
          <w:p>
            <w:pPr>
              <w:jc w:val="center"/>
              <w:ind w:right="270"/>
              <w:spacing w:after="0"/>
              <w:rPr>
                <w:sz w:val="20"/>
                <w:szCs w:val="20"/>
                <w:color w:val="auto"/>
              </w:rPr>
            </w:pPr>
            <w:r>
              <w:rPr>
                <w:rFonts w:ascii="Arial" w:cs="Arial" w:eastAsia="Arial" w:hAnsi="Arial"/>
                <w:sz w:val="18"/>
                <w:szCs w:val="18"/>
                <w:color w:val="auto"/>
                <w:w w:val="90"/>
              </w:rPr>
              <w:t>Class C Common Stock, par value $0.01</w:t>
            </w:r>
          </w:p>
        </w:tc>
        <w:tc>
          <w:tcPr>
            <w:tcW w:w="2960" w:type="dxa"/>
            <w:vAlign w:val="bottom"/>
          </w:tcPr>
          <w:p>
            <w:pPr>
              <w:jc w:val="center"/>
              <w:ind w:left="10"/>
              <w:spacing w:after="0"/>
              <w:rPr>
                <w:sz w:val="20"/>
                <w:szCs w:val="20"/>
                <w:color w:val="auto"/>
              </w:rPr>
            </w:pPr>
            <w:r>
              <w:rPr>
                <w:rFonts w:ascii="Arial" w:cs="Arial" w:eastAsia="Arial" w:hAnsi="Arial"/>
                <w:sz w:val="18"/>
                <w:szCs w:val="18"/>
                <w:color w:val="auto"/>
                <w:w w:val="98"/>
              </w:rPr>
              <w:t>CWEN</w:t>
            </w:r>
          </w:p>
        </w:tc>
        <w:tc>
          <w:tcPr>
            <w:tcW w:w="4280" w:type="dxa"/>
            <w:vAlign w:val="bottom"/>
          </w:tcPr>
          <w:p>
            <w:pPr>
              <w:jc w:val="center"/>
              <w:ind w:left="370"/>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3360"/>
        <w:spacing w:after="0" w:line="207" w:lineRule="exact"/>
        <w:tabs>
          <w:tab w:leader="none" w:pos="55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2.02</w:t>
            </w:r>
          </w:p>
        </w:tc>
        <w:tc>
          <w:tcPr>
            <w:tcW w:w="10600" w:type="dxa"/>
            <w:vAlign w:val="bottom"/>
            <w:gridSpan w:val="5"/>
          </w:tcPr>
          <w:p>
            <w:pPr>
              <w:ind w:left="80"/>
              <w:spacing w:after="0"/>
              <w:rPr>
                <w:sz w:val="20"/>
                <w:szCs w:val="20"/>
                <w:color w:val="auto"/>
              </w:rPr>
            </w:pPr>
            <w:r>
              <w:rPr>
                <w:rFonts w:ascii="Arial" w:cs="Arial" w:eastAsia="Arial" w:hAnsi="Arial"/>
                <w:sz w:val="18"/>
                <w:szCs w:val="18"/>
                <w:b w:val="1"/>
                <w:bCs w:val="1"/>
                <w:color w:val="auto"/>
              </w:rPr>
              <w:t>Results of Operations and Financial Condition</w:t>
            </w:r>
          </w:p>
        </w:tc>
      </w:tr>
      <w:tr>
        <w:trPr>
          <w:trHeight w:val="418"/>
        </w:trPr>
        <w:tc>
          <w:tcPr>
            <w:tcW w:w="660" w:type="dxa"/>
            <w:vAlign w:val="bottom"/>
          </w:tcPr>
          <w:p>
            <w:pPr>
              <w:spacing w:after="0"/>
              <w:rPr>
                <w:sz w:val="24"/>
                <w:szCs w:val="24"/>
                <w:color w:val="auto"/>
              </w:rPr>
            </w:pPr>
          </w:p>
        </w:tc>
        <w:tc>
          <w:tcPr>
            <w:tcW w:w="10760" w:type="dxa"/>
            <w:vAlign w:val="bottom"/>
            <w:gridSpan w:val="6"/>
          </w:tcPr>
          <w:p>
            <w:pPr>
              <w:spacing w:after="0"/>
              <w:rPr>
                <w:sz w:val="20"/>
                <w:szCs w:val="20"/>
                <w:color w:val="auto"/>
              </w:rPr>
            </w:pPr>
            <w:r>
              <w:rPr>
                <w:rFonts w:ascii="Arial" w:cs="Arial" w:eastAsia="Arial" w:hAnsi="Arial"/>
                <w:sz w:val="18"/>
                <w:szCs w:val="18"/>
                <w:color w:val="auto"/>
                <w:w w:val="92"/>
              </w:rPr>
              <w:t>On November 6, 2019, Clearway Energy, Inc. issued a press release announcing its financial results for the quarter ended September 30, 2019. A</w:t>
            </w:r>
          </w:p>
        </w:tc>
      </w:tr>
      <w:tr>
        <w:trPr>
          <w:trHeight w:val="230"/>
        </w:trPr>
        <w:tc>
          <w:tcPr>
            <w:tcW w:w="11420" w:type="dxa"/>
            <w:vAlign w:val="bottom"/>
            <w:gridSpan w:val="7"/>
          </w:tcPr>
          <w:p>
            <w:pPr>
              <w:spacing w:after="0"/>
              <w:rPr>
                <w:sz w:val="20"/>
                <w:szCs w:val="20"/>
                <w:color w:val="auto"/>
              </w:rPr>
            </w:pPr>
            <w:r>
              <w:rPr>
                <w:rFonts w:ascii="Arial" w:cs="Arial" w:eastAsia="Arial" w:hAnsi="Arial"/>
                <w:sz w:val="18"/>
                <w:szCs w:val="18"/>
                <w:color w:val="auto"/>
              </w:rPr>
              <w:t>copy of the press release is furnished as Exhibit 99.1 to this report on Form 8-K and is hereby incorporated by reference.</w:t>
            </w: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600" w:type="dxa"/>
            <w:vAlign w:val="bottom"/>
            <w:gridSpan w:val="5"/>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96"/>
        </w:trPr>
        <w:tc>
          <w:tcPr>
            <w:tcW w:w="660" w:type="dxa"/>
            <w:vAlign w:val="bottom"/>
          </w:tcPr>
          <w:p>
            <w:pPr>
              <w:spacing w:after="0"/>
              <w:rPr>
                <w:sz w:val="24"/>
                <w:szCs w:val="24"/>
                <w:color w:val="auto"/>
              </w:rPr>
            </w:pPr>
          </w:p>
        </w:tc>
        <w:tc>
          <w:tcPr>
            <w:tcW w:w="10760" w:type="dxa"/>
            <w:vAlign w:val="bottom"/>
            <w:gridSpan w:val="6"/>
          </w:tcPr>
          <w:p>
            <w:pPr>
              <w:spacing w:after="0"/>
              <w:rPr>
                <w:sz w:val="20"/>
                <w:szCs w:val="20"/>
                <w:color w:val="auto"/>
              </w:rPr>
            </w:pPr>
            <w:r>
              <w:rPr>
                <w:rFonts w:ascii="Arial" w:cs="Arial" w:eastAsia="Arial" w:hAnsi="Arial"/>
                <w:sz w:val="22"/>
                <w:szCs w:val="22"/>
                <w:color w:val="auto"/>
              </w:rPr>
              <w:t>(d) Exhibits</w:t>
            </w:r>
          </w:p>
        </w:tc>
      </w:tr>
      <w:tr>
        <w:trPr>
          <w:trHeight w:val="431"/>
        </w:trPr>
        <w:tc>
          <w:tcPr>
            <w:tcW w:w="6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w w:val="94"/>
              </w:rPr>
              <w:t>Number</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540" w:type="dxa"/>
            <w:vAlign w:val="bottom"/>
            <w:gridSpan w:val="3"/>
          </w:tcPr>
          <w:p>
            <w:pPr>
              <w:ind w:left="1580"/>
              <w:spacing w:after="0"/>
              <w:rPr>
                <w:sz w:val="20"/>
                <w:szCs w:val="20"/>
                <w:color w:val="auto"/>
              </w:rPr>
            </w:pPr>
            <w:r>
              <w:rPr>
                <w:rFonts w:ascii="Arial" w:cs="Arial" w:eastAsia="Arial" w:hAnsi="Arial"/>
                <w:sz w:val="18"/>
                <w:szCs w:val="18"/>
                <w:b w:val="1"/>
                <w:bCs w:val="1"/>
                <w:color w:val="auto"/>
              </w:rPr>
              <w:t>Document</w:t>
            </w:r>
          </w:p>
        </w:tc>
      </w:tr>
      <w:tr>
        <w:trPr>
          <w:trHeight w:val="169"/>
        </w:trPr>
        <w:tc>
          <w:tcPr>
            <w:tcW w:w="66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99.1</w:t>
            </w: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3980" w:type="dxa"/>
            <w:vAlign w:val="bottom"/>
            <w:tcBorders>
              <w:top w:val="single" w:sz="8" w:color="auto"/>
            </w:tcBorders>
            <w:gridSpan w:val="2"/>
          </w:tcPr>
          <w:p>
            <w:pPr>
              <w:jc w:val="right"/>
              <w:ind w:right="1140"/>
              <w:spacing w:after="0" w:line="170"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Press Release, dated November 6, 2019</w:t>
              </w:r>
            </w:hyperlink>
          </w:p>
        </w:tc>
        <w:tc>
          <w:tcPr>
            <w:tcW w:w="456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490"/>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gridSpan w:val="2"/>
          </w:tcPr>
          <w:p>
            <w:pPr>
              <w:spacing w:after="0"/>
              <w:rPr>
                <w:sz w:val="24"/>
                <w:szCs w:val="24"/>
                <w:color w:val="auto"/>
              </w:rPr>
            </w:pPr>
          </w:p>
        </w:tc>
        <w:tc>
          <w:tcPr>
            <w:tcW w:w="3980" w:type="dxa"/>
            <w:vAlign w:val="bottom"/>
            <w:gridSpan w:val="2"/>
          </w:tcPr>
          <w:p>
            <w:pPr>
              <w:jc w:val="right"/>
              <w:ind w:right="1100"/>
              <w:spacing w:after="0"/>
              <w:rPr>
                <w:sz w:val="20"/>
                <w:szCs w:val="20"/>
                <w:color w:val="auto"/>
              </w:rPr>
            </w:pPr>
            <w:r>
              <w:rPr>
                <w:rFonts w:ascii="Arial" w:cs="Arial" w:eastAsia="Arial" w:hAnsi="Arial"/>
                <w:sz w:val="22"/>
                <w:szCs w:val="22"/>
                <w:color w:val="auto"/>
              </w:rPr>
              <w:t>2</w:t>
            </w:r>
          </w:p>
        </w:tc>
        <w:tc>
          <w:tcPr>
            <w:tcW w:w="4560" w:type="dxa"/>
            <w:vAlign w:val="bottom"/>
          </w:tcPr>
          <w:p>
            <w:pPr>
              <w:spacing w:after="0"/>
              <w:rPr>
                <w:sz w:val="24"/>
                <w:szCs w:val="24"/>
                <w:color w:val="auto"/>
              </w:rPr>
            </w:pPr>
          </w:p>
        </w:tc>
      </w:tr>
      <w:tr>
        <w:trPr>
          <w:trHeight w:val="105"/>
        </w:trPr>
        <w:tc>
          <w:tcPr>
            <w:tcW w:w="6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56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Clearway Energy,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P. Malcarney</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Kevin P. Malcarney</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6,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70150" cy="351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7015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Clearway Energy, Inc. Reports Third Quarter 2019 Financial Results and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Initiates 2020 Financial Guidance</w:t>
      </w:r>
    </w:p>
    <w:p>
      <w:pPr>
        <w:spacing w:after="0" w:line="218" w:lineRule="exact"/>
        <w:rPr>
          <w:sz w:val="20"/>
          <w:szCs w:val="20"/>
          <w:color w:val="auto"/>
        </w:rPr>
      </w:pPr>
    </w:p>
    <w:p>
      <w:pPr>
        <w:ind w:left="660" w:hanging="197"/>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Maintaining 2019 and Initiating 2020 CAFD Guidance</w:t>
      </w:r>
    </w:p>
    <w:p>
      <w:pPr>
        <w:spacing w:after="0" w:line="27" w:lineRule="exact"/>
        <w:rPr>
          <w:rFonts w:ascii="Arial" w:cs="Arial" w:eastAsia="Arial" w:hAnsi="Arial"/>
          <w:sz w:val="18"/>
          <w:szCs w:val="18"/>
          <w:b w:val="1"/>
          <w:bCs w:val="1"/>
          <w:color w:val="auto"/>
        </w:rPr>
      </w:pPr>
    </w:p>
    <w:p>
      <w:pPr>
        <w:ind w:left="660" w:hanging="197"/>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Reached commercial operations at the Hawaii Solar Phase I Oahu project; Repowering 1.0 remains on schedule</w:t>
      </w:r>
    </w:p>
    <w:p>
      <w:pPr>
        <w:spacing w:after="0" w:line="9" w:lineRule="exact"/>
        <w:rPr>
          <w:rFonts w:ascii="Arial" w:cs="Arial" w:eastAsia="Arial" w:hAnsi="Arial"/>
          <w:sz w:val="18"/>
          <w:szCs w:val="18"/>
          <w:b w:val="1"/>
          <w:bCs w:val="1"/>
          <w:color w:val="auto"/>
        </w:rPr>
      </w:pPr>
    </w:p>
    <w:p>
      <w:pPr>
        <w:ind w:left="660" w:hanging="197"/>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Signed new thermal energy services agreement with owner of Four Seasons Cayo Largo</w:t>
      </w:r>
    </w:p>
    <w:p>
      <w:pPr>
        <w:spacing w:after="0" w:line="9" w:lineRule="exact"/>
        <w:rPr>
          <w:rFonts w:ascii="Arial" w:cs="Arial" w:eastAsia="Arial" w:hAnsi="Arial"/>
          <w:sz w:val="18"/>
          <w:szCs w:val="18"/>
          <w:b w:val="1"/>
          <w:bCs w:val="1"/>
          <w:color w:val="auto"/>
        </w:rPr>
      </w:pPr>
    </w:p>
    <w:p>
      <w:pPr>
        <w:ind w:left="660" w:hanging="197"/>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Repurchased the outstanding non-recourse project financing for Agua Caliente Borrower 2</w:t>
      </w:r>
    </w:p>
    <w:p>
      <w:pPr>
        <w:spacing w:after="0" w:line="9" w:lineRule="exact"/>
        <w:rPr>
          <w:rFonts w:ascii="Arial" w:cs="Arial" w:eastAsia="Arial" w:hAnsi="Arial"/>
          <w:sz w:val="18"/>
          <w:szCs w:val="18"/>
          <w:b w:val="1"/>
          <w:bCs w:val="1"/>
          <w:color w:val="auto"/>
        </w:rPr>
      </w:pPr>
    </w:p>
    <w:p>
      <w:pPr>
        <w:ind w:left="660" w:hanging="197"/>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Announced sales of Energy Center Dover and a 6 MW distributed solar project</w:t>
      </w:r>
    </w:p>
    <w:p>
      <w:pPr>
        <w:spacing w:after="0" w:line="9" w:lineRule="exact"/>
        <w:rPr>
          <w:rFonts w:ascii="Arial" w:cs="Arial" w:eastAsia="Arial" w:hAnsi="Arial"/>
          <w:sz w:val="18"/>
          <w:szCs w:val="18"/>
          <w:b w:val="1"/>
          <w:bCs w:val="1"/>
          <w:color w:val="auto"/>
        </w:rPr>
      </w:pPr>
    </w:p>
    <w:p>
      <w:pPr>
        <w:ind w:left="660" w:hanging="197"/>
        <w:spacing w:after="0"/>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Partnered with Global Infrastructure Partners III to reduce future capital requirements for Carlsbad via a new non-resource financing</w:t>
      </w:r>
    </w:p>
    <w:p>
      <w:pPr>
        <w:spacing w:after="0" w:line="20" w:lineRule="exact"/>
        <w:rPr>
          <w:rFonts w:ascii="Arial" w:cs="Arial" w:eastAsia="Arial" w:hAnsi="Arial"/>
          <w:sz w:val="17"/>
          <w:szCs w:val="17"/>
          <w:b w:val="1"/>
          <w:bCs w:val="1"/>
          <w:color w:val="auto"/>
        </w:rPr>
      </w:pPr>
    </w:p>
    <w:p>
      <w:pPr>
        <w:ind w:left="660" w:hanging="197"/>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Elected not to pursue Mesquite Star drop down offer from Clearway Group</w:t>
      </w:r>
    </w:p>
    <w:p>
      <w:pPr>
        <w:spacing w:after="0" w:line="9" w:lineRule="exact"/>
        <w:rPr>
          <w:rFonts w:ascii="Arial" w:cs="Arial" w:eastAsia="Arial" w:hAnsi="Arial"/>
          <w:sz w:val="18"/>
          <w:szCs w:val="18"/>
          <w:b w:val="1"/>
          <w:bCs w:val="1"/>
          <w:color w:val="auto"/>
        </w:rPr>
      </w:pPr>
    </w:p>
    <w:p>
      <w:pPr>
        <w:ind w:left="660" w:hanging="197"/>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Declared quarterly dividend of $0.20 per share in fourth quarter 2019</w:t>
      </w: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PRINCETON, NJ </w:t>
      </w:r>
      <w:r>
        <w:rPr>
          <w:rFonts w:ascii="Arial" w:cs="Arial" w:eastAsia="Arial" w:hAnsi="Arial"/>
          <w:sz w:val="18"/>
          <w:szCs w:val="18"/>
          <w:color w:val="auto"/>
        </w:rPr>
        <w:t>—</w:t>
      </w:r>
      <w:r>
        <w:rPr>
          <w:rFonts w:ascii="Arial" w:cs="Arial" w:eastAsia="Arial" w:hAnsi="Arial"/>
          <w:sz w:val="18"/>
          <w:szCs w:val="18"/>
          <w:b w:val="1"/>
          <w:bCs w:val="1"/>
          <w:color w:val="auto"/>
        </w:rPr>
        <w:t xml:space="preserve"> November 6, 2019 </w:t>
      </w:r>
      <w:r>
        <w:rPr>
          <w:rFonts w:ascii="Arial" w:cs="Arial" w:eastAsia="Arial" w:hAnsi="Arial"/>
          <w:sz w:val="18"/>
          <w:szCs w:val="18"/>
          <w:color w:val="auto"/>
        </w:rPr>
        <w:t>— Clearway Energy, Inc. (NYSE: CWEN, CWEN.A) today reported third quarter 2019 financial results,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Net Income of $35 million, Adjusted EBITDA of $300 million, Cash from Operating Activities of $224 million, and Cash Available for Distribution (CAFD) of $177 million, which includes adjustments to reflect CAFD generated by unconsolidated investments that are unable to distribute project dividends due to the PG&amp;E bankruptcy.</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third quarter, Clearway delivered strong operational results while also advancing the long-term growth prospects of the Company,” said Christopher Sotos, Clearway Energy, Inc.’s President and Chief Executive Officer. “Operationally, I’m pleased to report that strong performance across all of our operating segments resulted in quarterly financial performance above our expectations. For growth, due to the success in raising attractively priced, new investment grade rated non-recourse back-leverage financing at Carlsbad, Clearway’s total corporate capital requirement for this future acquisition has now been reduced by over $200 million allowing the Company to potentially acquire Carlsbad at a price that is more manageable given the current capital constraints resulting from the PG&amp;E bankruptcy. Because of this opportunity, and due to the existing capital constraints on the Company, we continue to work with Clearway Group on optimizing the ROFO pipeline for investment timing that is more aligned to when the capital constraints are no longer an issue. Consistent with this approach we are focusing on the existing ROFO opportunities with funding dates required in late 2020 and 2021. As a result, we have elected to no longer pursue the Mesquite Star acquisition from Clearway Group. That said, as we move into 2020, and await the final resolution of the PG&amp;E bankruptcy process, the execution of the Company’s existing commitments, the future addition of Carlsbad, and the ROFO pipeline will position Clearway for long term dividend growth.”</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Financial and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Net (Loss)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6"/>
                <w:szCs w:val="16"/>
                <w:i w:val="1"/>
                <w:iCs w:val="1"/>
                <w:color w:val="auto"/>
              </w:rPr>
              <w:t>(In millions)</w:t>
            </w: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6"/>
                <w:szCs w:val="16"/>
                <w:b w:val="1"/>
                <w:bCs w:val="1"/>
                <w:color w:val="auto"/>
              </w:rPr>
              <w:t>Nine months ended</w:t>
            </w:r>
          </w:p>
        </w:tc>
      </w:tr>
      <w:tr>
        <w:trPr>
          <w:trHeight w:val="207"/>
        </w:trPr>
        <w:tc>
          <w:tcPr>
            <w:tcW w:w="580" w:type="dxa"/>
            <w:vAlign w:val="bottom"/>
          </w:tcPr>
          <w:p>
            <w:pPr>
              <w:spacing w:after="0"/>
              <w:rPr>
                <w:sz w:val="17"/>
                <w:szCs w:val="17"/>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Segment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w w:val="95"/>
              </w:rPr>
              <w:t>9/30/2019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w w:val="98"/>
              </w:rPr>
              <w:t>9/30/2018</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w w:val="98"/>
              </w:rPr>
              <w:t>9/30/2019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95"/>
              </w:rPr>
              <w:t>9/30/2018</w:t>
            </w:r>
          </w:p>
        </w:tc>
      </w:tr>
      <w:tr>
        <w:trPr>
          <w:trHeight w:val="212"/>
        </w:trPr>
        <w:tc>
          <w:tcPr>
            <w:tcW w:w="58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Conventional</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r>
      <w:tr>
        <w:trPr>
          <w:trHeight w:val="216"/>
        </w:trPr>
        <w:tc>
          <w:tcPr>
            <w:tcW w:w="58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Renewables</w:t>
            </w:r>
          </w:p>
        </w:tc>
        <w:tc>
          <w:tcPr>
            <w:tcW w:w="140" w:type="dxa"/>
            <w:vAlign w:val="bottom"/>
          </w:tcPr>
          <w:p>
            <w:pPr>
              <w:spacing w:after="0"/>
              <w:rPr>
                <w:sz w:val="18"/>
                <w:szCs w:val="18"/>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131</w:t>
            </w:r>
          </w:p>
        </w:tc>
      </w:tr>
      <w:tr>
        <w:trPr>
          <w:trHeight w:val="216"/>
        </w:trPr>
        <w:tc>
          <w:tcPr>
            <w:tcW w:w="58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Thermal</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r>
      <w:tr>
        <w:trPr>
          <w:trHeight w:val="216"/>
        </w:trPr>
        <w:tc>
          <w:tcPr>
            <w:tcW w:w="580" w:type="dxa"/>
            <w:vAlign w:val="bottom"/>
          </w:tcPr>
          <w:p>
            <w:pPr>
              <w:spacing w:after="0"/>
              <w:rPr>
                <w:sz w:val="18"/>
                <w:szCs w:val="18"/>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580" w:type="dxa"/>
            <w:vAlign w:val="bottom"/>
          </w:tcPr>
          <w:p>
            <w:pPr>
              <w:spacing w:after="0"/>
              <w:rPr>
                <w:sz w:val="19"/>
                <w:szCs w:val="19"/>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r>
      <w:tr>
        <w:trPr>
          <w:trHeight w:val="20"/>
        </w:trPr>
        <w:tc>
          <w:tcPr>
            <w:tcW w:w="580" w:type="dxa"/>
            <w:vAlign w:val="bottom"/>
          </w:tcPr>
          <w:p>
            <w:pPr>
              <w:spacing w:after="0" w:line="20" w:lineRule="exact"/>
              <w:rPr>
                <w:sz w:val="1"/>
                <w:szCs w:val="1"/>
                <w:color w:val="auto"/>
              </w:rPr>
            </w:pPr>
          </w:p>
        </w:tc>
        <w:tc>
          <w:tcPr>
            <w:tcW w:w="5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r>
      <w:tr>
        <w:trPr>
          <w:trHeight w:val="413"/>
        </w:trPr>
        <w:tc>
          <w:tcPr>
            <w:tcW w:w="6440" w:type="dxa"/>
            <w:vAlign w:val="bottom"/>
            <w:gridSpan w:val="3"/>
          </w:tcPr>
          <w:p>
            <w:pPr>
              <w:spacing w:after="0"/>
              <w:rPr>
                <w:sz w:val="20"/>
                <w:szCs w:val="20"/>
                <w:color w:val="auto"/>
              </w:rPr>
            </w:pPr>
            <w:r>
              <w:rPr>
                <w:rFonts w:ascii="Arial" w:cs="Arial" w:eastAsia="Arial" w:hAnsi="Arial"/>
                <w:sz w:val="18"/>
                <w:szCs w:val="18"/>
                <w:b w:val="1"/>
                <w:bCs w:val="1"/>
                <w:color w:val="auto"/>
              </w:rPr>
              <w:t>Table 2: Adjusted EBITDA</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59"/>
        </w:trPr>
        <w:tc>
          <w:tcPr>
            <w:tcW w:w="58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Arial" w:cs="Arial" w:eastAsia="Arial" w:hAnsi="Arial"/>
                <w:sz w:val="16"/>
                <w:szCs w:val="16"/>
                <w:i w:val="1"/>
                <w:iCs w:val="1"/>
                <w:color w:val="auto"/>
              </w:rPr>
              <w:t>(In millions)</w:t>
            </w:r>
          </w:p>
        </w:tc>
        <w:tc>
          <w:tcPr>
            <w:tcW w:w="1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6"/>
                <w:szCs w:val="16"/>
                <w:b w:val="1"/>
                <w:bCs w:val="1"/>
                <w:color w:val="auto"/>
              </w:rPr>
              <w:t>Nine months ended</w:t>
            </w:r>
          </w:p>
        </w:tc>
      </w:tr>
      <w:tr>
        <w:trPr>
          <w:trHeight w:val="196"/>
        </w:trPr>
        <w:tc>
          <w:tcPr>
            <w:tcW w:w="580" w:type="dxa"/>
            <w:vAlign w:val="bottom"/>
          </w:tcPr>
          <w:p>
            <w:pPr>
              <w:spacing w:after="0"/>
              <w:rPr>
                <w:sz w:val="17"/>
                <w:szCs w:val="17"/>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Segment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w w:val="95"/>
              </w:rPr>
              <w:t>9/30/2019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w w:val="98"/>
              </w:rPr>
              <w:t>9/30/2018</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w w:val="98"/>
              </w:rPr>
              <w:t>9/30/2019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95"/>
              </w:rPr>
              <w:t>9/30/2018</w:t>
            </w:r>
          </w:p>
        </w:tc>
      </w:tr>
      <w:tr>
        <w:trPr>
          <w:trHeight w:val="210"/>
        </w:trPr>
        <w:tc>
          <w:tcPr>
            <w:tcW w:w="58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Conventional</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225</w:t>
            </w:r>
          </w:p>
        </w:tc>
      </w:tr>
      <w:tr>
        <w:trPr>
          <w:trHeight w:val="216"/>
        </w:trPr>
        <w:tc>
          <w:tcPr>
            <w:tcW w:w="58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Renewables</w:t>
            </w:r>
          </w:p>
        </w:tc>
        <w:tc>
          <w:tcPr>
            <w:tcW w:w="140" w:type="dxa"/>
            <w:vAlign w:val="bottom"/>
          </w:tcPr>
          <w:p>
            <w:pPr>
              <w:spacing w:after="0"/>
              <w:rPr>
                <w:sz w:val="18"/>
                <w:szCs w:val="18"/>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524</w:t>
            </w:r>
          </w:p>
        </w:tc>
      </w:tr>
      <w:tr>
        <w:trPr>
          <w:trHeight w:val="216"/>
        </w:trPr>
        <w:tc>
          <w:tcPr>
            <w:tcW w:w="58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Thermal</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r>
      <w:tr>
        <w:trPr>
          <w:trHeight w:val="216"/>
        </w:trPr>
        <w:tc>
          <w:tcPr>
            <w:tcW w:w="580" w:type="dxa"/>
            <w:vAlign w:val="bottom"/>
          </w:tcPr>
          <w:p>
            <w:pPr>
              <w:spacing w:after="0"/>
              <w:rPr>
                <w:sz w:val="18"/>
                <w:szCs w:val="18"/>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580" w:type="dxa"/>
            <w:vAlign w:val="bottom"/>
          </w:tcPr>
          <w:p>
            <w:pPr>
              <w:spacing w:after="0"/>
              <w:rPr>
                <w:sz w:val="19"/>
                <w:szCs w:val="19"/>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783</w:t>
            </w:r>
          </w:p>
        </w:tc>
      </w:tr>
      <w:tr>
        <w:trPr>
          <w:trHeight w:val="20"/>
        </w:trPr>
        <w:tc>
          <w:tcPr>
            <w:tcW w:w="580" w:type="dxa"/>
            <w:vAlign w:val="bottom"/>
          </w:tcPr>
          <w:p>
            <w:pPr>
              <w:spacing w:after="0" w:line="20" w:lineRule="exact"/>
              <w:rPr>
                <w:sz w:val="1"/>
                <w:szCs w:val="1"/>
                <w:color w:val="auto"/>
              </w:rPr>
            </w:pPr>
          </w:p>
        </w:tc>
        <w:tc>
          <w:tcPr>
            <w:tcW w:w="5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Table 3: Cash from Operating Activities and Cash Available for Distribution (CAFD)</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210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6"/>
                <w:szCs w:val="16"/>
                <w:b w:val="1"/>
                <w:bCs w:val="1"/>
                <w:color w:val="auto"/>
              </w:rPr>
              <w:t>Nine months ended</w:t>
            </w:r>
          </w:p>
        </w:tc>
      </w:tr>
      <w:tr>
        <w:trPr>
          <w:trHeight w:val="202"/>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millions)</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rPr>
              <w:t>9/30/2019</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6"/>
                <w:szCs w:val="16"/>
                <w:b w:val="1"/>
                <w:bCs w:val="1"/>
                <w:color w:val="auto"/>
              </w:rPr>
              <w:t>9/30/2018</w:t>
            </w: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6"/>
                <w:szCs w:val="16"/>
                <w:b w:val="1"/>
                <w:bCs w:val="1"/>
                <w:color w:val="auto"/>
              </w:rPr>
              <w:t>9/30/2019</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b w:val="1"/>
                <w:bCs w:val="1"/>
                <w:color w:val="auto"/>
              </w:rPr>
              <w:t>9/30/2018</w:t>
            </w:r>
          </w:p>
        </w:tc>
      </w:tr>
      <w:tr>
        <w:trPr>
          <w:trHeight w:val="210"/>
        </w:trPr>
        <w:tc>
          <w:tcPr>
            <w:tcW w:w="5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from Operating Activities</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396</w:t>
            </w:r>
          </w:p>
        </w:tc>
      </w:tr>
      <w:tr>
        <w:trPr>
          <w:trHeight w:val="250"/>
        </w:trPr>
        <w:tc>
          <w:tcPr>
            <w:tcW w:w="5860" w:type="dxa"/>
            <w:vAlign w:val="bottom"/>
            <w:gridSpan w:val="2"/>
          </w:tcPr>
          <w:p>
            <w:pPr>
              <w:spacing w:after="0" w:line="250" w:lineRule="exact"/>
              <w:rPr>
                <w:sz w:val="20"/>
                <w:szCs w:val="20"/>
                <w:color w:val="auto"/>
              </w:rPr>
            </w:pPr>
            <w:r>
              <w:rPr>
                <w:rFonts w:ascii="Arial" w:cs="Arial" w:eastAsia="Arial" w:hAnsi="Arial"/>
                <w:sz w:val="17"/>
                <w:szCs w:val="17"/>
                <w:b w:val="1"/>
                <w:bCs w:val="1"/>
                <w:color w:val="auto"/>
              </w:rPr>
              <w:t>Cash Available for Distribution (CAFD)</w:t>
            </w:r>
            <w:r>
              <w:rPr>
                <w:rFonts w:ascii="Arial" w:cs="Arial" w:eastAsia="Arial" w:hAnsi="Arial"/>
                <w:sz w:val="28"/>
                <w:szCs w:val="28"/>
                <w:b w:val="1"/>
                <w:bCs w:val="1"/>
                <w:color w:val="auto"/>
                <w:vertAlign w:val="superscript"/>
              </w:rPr>
              <w:t>1</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177</w:t>
            </w:r>
          </w:p>
        </w:tc>
        <w:tc>
          <w:tcPr>
            <w:tcW w:w="1140" w:type="dxa"/>
            <w:vAlign w:val="bottom"/>
            <w:gridSpan w:val="2"/>
          </w:tcPr>
          <w:p>
            <w:pPr>
              <w:jc w:val="right"/>
              <w:ind w:right="14"/>
              <w:spacing w:after="0"/>
              <w:rPr>
                <w:sz w:val="20"/>
                <w:szCs w:val="20"/>
                <w:color w:val="auto"/>
              </w:rPr>
            </w:pPr>
            <w:r>
              <w:rPr>
                <w:rFonts w:ascii="Arial" w:cs="Arial" w:eastAsia="Arial" w:hAnsi="Arial"/>
                <w:sz w:val="18"/>
                <w:szCs w:val="18"/>
                <w:color w:val="auto"/>
              </w:rPr>
              <w:t>156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1100" w:type="dxa"/>
            <w:vAlign w:val="bottom"/>
            <w:gridSpan w:val="2"/>
          </w:tcPr>
          <w:p>
            <w:pPr>
              <w:jc w:val="right"/>
              <w:ind w:right="14"/>
              <w:spacing w:after="0"/>
              <w:rPr>
                <w:sz w:val="20"/>
                <w:szCs w:val="20"/>
                <w:color w:val="auto"/>
              </w:rPr>
            </w:pPr>
            <w:r>
              <w:rPr>
                <w:rFonts w:ascii="Arial" w:cs="Arial" w:eastAsia="Arial" w:hAnsi="Arial"/>
                <w:sz w:val="18"/>
                <w:szCs w:val="18"/>
                <w:color w:val="auto"/>
              </w:rPr>
              <w:t>250</w:t>
            </w:r>
          </w:p>
        </w:tc>
      </w:tr>
      <w:tr>
        <w:trPr>
          <w:trHeight w:val="20"/>
        </w:trPr>
        <w:tc>
          <w:tcPr>
            <w:tcW w:w="5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third quarter of 2019, the Company reported Net Income of $35 million, Adjusted EBITDA of $300 million, Cash from Operating Activities of $224 million, and CAFD of $177 million, which includes adjustments to reflect CAFD generated by unconsolidated investments that are unable to distribute project dividends due to the PG&amp;E bankruptcy. Net Income was lower than the third quarter of 2018 primarily driven by non-cash changes in the fair value of interest rate swaps. This was partially offset by lower transaction and integration costs versus the same period in 2018. Adjusted EBITDA results in the third quarter of 2019 were higher than the same period in 2018 primarily due to the contribution of growth investments and higher availability at the Conventional segment. In the third quarter of 2019, CAFD results were higher than 2018 primarily due to higher Adjusted EBITDA and lower debt service resulting from the tendering and repayment of the 2019 Convertible Notes.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4: Selected Operating Results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700" w:type="dxa"/>
            <w:vAlign w:val="bottom"/>
            <w:gridSpan w:val="2"/>
          </w:tcPr>
          <w:p>
            <w:pPr>
              <w:spacing w:after="0"/>
              <w:rPr>
                <w:sz w:val="20"/>
                <w:szCs w:val="20"/>
                <w:color w:val="auto"/>
              </w:rPr>
            </w:pPr>
            <w:r>
              <w:rPr>
                <w:rFonts w:ascii="Arial" w:cs="Arial" w:eastAsia="Arial" w:hAnsi="Arial"/>
                <w:sz w:val="16"/>
                <w:szCs w:val="16"/>
                <w:i w:val="1"/>
                <w:iCs w:val="1"/>
                <w:color w:val="auto"/>
              </w:rPr>
              <w:t>(MWh and MWht in thousands)</w:t>
            </w:r>
          </w:p>
        </w:tc>
        <w:tc>
          <w:tcPr>
            <w:tcW w:w="2240" w:type="dxa"/>
            <w:vAlign w:val="bottom"/>
            <w:tcBorders>
              <w:bottom w:val="single" w:sz="8" w:color="auto"/>
            </w:tcBorders>
            <w:gridSpan w:val="3"/>
          </w:tcPr>
          <w:p>
            <w:pPr>
              <w:jc w:val="right"/>
              <w:ind w:right="314"/>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222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6"/>
                <w:szCs w:val="16"/>
                <w:b w:val="1"/>
                <w:bCs w:val="1"/>
                <w:color w:val="auto"/>
              </w:rPr>
              <w:t>Nine months ended</w:t>
            </w:r>
          </w:p>
        </w:tc>
      </w:tr>
      <w:tr>
        <w:trPr>
          <w:trHeight w:val="207"/>
        </w:trPr>
        <w:tc>
          <w:tcPr>
            <w:tcW w:w="56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rPr>
              <w:t>9/30/2019</w:t>
            </w:r>
          </w:p>
        </w:tc>
        <w:tc>
          <w:tcPr>
            <w:tcW w:w="80" w:type="dxa"/>
            <w:vAlign w:val="bottom"/>
          </w:tcPr>
          <w:p>
            <w:pPr>
              <w:spacing w:after="0"/>
              <w:rPr>
                <w:sz w:val="17"/>
                <w:szCs w:val="17"/>
                <w:color w:val="auto"/>
              </w:rPr>
            </w:pP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rPr>
              <w:t>9/30/2018</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rPr>
              <w:t>9/30/2019</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rPr>
              <w:t>9/30/2018</w:t>
            </w:r>
          </w:p>
        </w:tc>
      </w:tr>
      <w:tr>
        <w:trPr>
          <w:trHeight w:val="253"/>
        </w:trPr>
        <w:tc>
          <w:tcPr>
            <w:tcW w:w="570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 xml:space="preserve">Equivalent Availability Factor (Conventional) </w:t>
            </w:r>
            <w:r>
              <w:rPr>
                <w:rFonts w:ascii="Arial" w:cs="Arial" w:eastAsia="Arial" w:hAnsi="Arial"/>
                <w:sz w:val="29"/>
                <w:szCs w:val="29"/>
                <w:color w:val="auto"/>
                <w:vertAlign w:val="superscript"/>
              </w:rPr>
              <w:t>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93.2%</w:t>
            </w:r>
          </w:p>
        </w:tc>
      </w:tr>
      <w:tr>
        <w:trPr>
          <w:trHeight w:val="257"/>
        </w:trPr>
        <w:tc>
          <w:tcPr>
            <w:tcW w:w="5700" w:type="dxa"/>
            <w:vAlign w:val="bottom"/>
            <w:gridSpan w:val="2"/>
          </w:tcPr>
          <w:p>
            <w:pPr>
              <w:spacing w:after="0" w:line="256" w:lineRule="exact"/>
              <w:rPr>
                <w:sz w:val="20"/>
                <w:szCs w:val="20"/>
                <w:color w:val="auto"/>
              </w:rPr>
            </w:pPr>
            <w:r>
              <w:rPr>
                <w:rFonts w:ascii="Arial" w:cs="Arial" w:eastAsia="Arial" w:hAnsi="Arial"/>
                <w:sz w:val="18"/>
                <w:szCs w:val="18"/>
                <w:color w:val="auto"/>
              </w:rPr>
              <w:t>Renewables Generation Sold (MWh)</w:t>
            </w:r>
            <w:r>
              <w:rPr>
                <w:rFonts w:ascii="Arial" w:cs="Arial" w:eastAsia="Arial" w:hAnsi="Arial"/>
                <w:sz w:val="29"/>
                <w:szCs w:val="29"/>
                <w:color w:val="auto"/>
                <w:vertAlign w:val="superscript"/>
              </w:rPr>
              <w:t>3</w:t>
            </w: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1,786</w:t>
            </w:r>
          </w:p>
        </w:tc>
        <w:tc>
          <w:tcPr>
            <w:tcW w:w="1160" w:type="dxa"/>
            <w:vAlign w:val="bottom"/>
            <w:gridSpan w:val="2"/>
          </w:tcPr>
          <w:p>
            <w:pPr>
              <w:jc w:val="right"/>
              <w:ind w:right="74"/>
              <w:spacing w:after="0"/>
              <w:rPr>
                <w:sz w:val="20"/>
                <w:szCs w:val="20"/>
                <w:color w:val="auto"/>
              </w:rPr>
            </w:pPr>
            <w:r>
              <w:rPr>
                <w:rFonts w:ascii="Arial" w:cs="Arial" w:eastAsia="Arial" w:hAnsi="Arial"/>
                <w:sz w:val="18"/>
                <w:szCs w:val="18"/>
                <w:color w:val="auto"/>
              </w:rPr>
              <w:t>1,801</w:t>
            </w:r>
          </w:p>
        </w:tc>
        <w:tc>
          <w:tcPr>
            <w:tcW w:w="1160" w:type="dxa"/>
            <w:vAlign w:val="bottom"/>
            <w:gridSpan w:val="2"/>
          </w:tcPr>
          <w:p>
            <w:pPr>
              <w:jc w:val="right"/>
              <w:ind w:right="76"/>
              <w:spacing w:after="0"/>
              <w:rPr>
                <w:sz w:val="20"/>
                <w:szCs w:val="20"/>
                <w:color w:val="auto"/>
              </w:rPr>
            </w:pPr>
            <w:r>
              <w:rPr>
                <w:rFonts w:ascii="Arial" w:cs="Arial" w:eastAsia="Arial" w:hAnsi="Arial"/>
                <w:sz w:val="18"/>
                <w:szCs w:val="18"/>
                <w:color w:val="auto"/>
              </w:rPr>
              <w:t>5,183</w:t>
            </w:r>
          </w:p>
        </w:tc>
        <w:tc>
          <w:tcPr>
            <w:tcW w:w="1160" w:type="dxa"/>
            <w:vAlign w:val="bottom"/>
            <w:gridSpan w:val="2"/>
          </w:tcPr>
          <w:p>
            <w:pPr>
              <w:jc w:val="right"/>
              <w:ind w:right="74"/>
              <w:spacing w:after="0"/>
              <w:rPr>
                <w:sz w:val="20"/>
                <w:szCs w:val="20"/>
                <w:color w:val="auto"/>
              </w:rPr>
            </w:pPr>
            <w:r>
              <w:rPr>
                <w:rFonts w:ascii="Arial" w:cs="Arial" w:eastAsia="Arial" w:hAnsi="Arial"/>
                <w:sz w:val="18"/>
                <w:szCs w:val="18"/>
                <w:color w:val="auto"/>
              </w:rPr>
              <w:t>5,725</w:t>
            </w:r>
          </w:p>
        </w:tc>
      </w:tr>
      <w:tr>
        <w:trPr>
          <w:trHeight w:val="216"/>
        </w:trPr>
        <w:tc>
          <w:tcPr>
            <w:tcW w:w="5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Thermal Generation Sold (MWh/MWht)</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605</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1,611</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third quarter of 2019, availability at the Conventional segment was higher than the third quarter of 2018 primarily due to improved availability at El Segundo. Also, during the third quarter, generation in the Renewables segment was above median expectations but 1% lower than the third quarter of 2018 due to higher than normal wind resources in the same period in 2018. Further impacting production during the third quarter of 2019 was downtime related to construction activities at Elbow Creek and Wildorado under the Repowering 1.0 partnership.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5: Liquidity</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213"/>
        </w:trPr>
        <w:tc>
          <w:tcPr>
            <w:tcW w:w="72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September 30, 2019</w:t>
            </w:r>
          </w:p>
        </w:tc>
        <w:tc>
          <w:tcPr>
            <w:tcW w:w="100" w:type="dxa"/>
            <w:vAlign w:val="bottom"/>
          </w:tcPr>
          <w:p>
            <w:pPr>
              <w:spacing w:after="0"/>
              <w:rPr>
                <w:sz w:val="18"/>
                <w:szCs w:val="18"/>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December 31, 2018</w:t>
            </w:r>
          </w:p>
        </w:tc>
      </w:tr>
      <w:tr>
        <w:trPr>
          <w:trHeight w:val="213"/>
        </w:trPr>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7200" w:type="dxa"/>
            <w:vAlign w:val="bottom"/>
          </w:tcPr>
          <w:p>
            <w:pPr>
              <w:ind w:left="160"/>
              <w:spacing w:after="0"/>
              <w:rPr>
                <w:sz w:val="20"/>
                <w:szCs w:val="20"/>
                <w:color w:val="auto"/>
              </w:rPr>
            </w:pPr>
            <w:r>
              <w:rPr>
                <w:rFonts w:ascii="Arial" w:cs="Arial" w:eastAsia="Arial" w:hAnsi="Arial"/>
                <w:sz w:val="18"/>
                <w:szCs w:val="18"/>
                <w:color w:val="auto"/>
              </w:rPr>
              <w:t>Clearway Energy, Inc. and Clearway Energy LLC, excluding subsidiaries</w:t>
            </w:r>
          </w:p>
        </w:tc>
        <w:tc>
          <w:tcPr>
            <w:tcW w:w="700" w:type="dxa"/>
            <w:vAlign w:val="bottom"/>
            <w:gridSpan w:val="2"/>
          </w:tcPr>
          <w:p>
            <w:pPr>
              <w:jc w:val="right"/>
              <w:ind w:right="414"/>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600" w:type="dxa"/>
            <w:vAlign w:val="bottom"/>
            <w:gridSpan w:val="2"/>
          </w:tcPr>
          <w:p>
            <w:pPr>
              <w:jc w:val="right"/>
              <w:ind w:right="314"/>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298</w:t>
            </w:r>
          </w:p>
        </w:tc>
      </w:tr>
      <w:tr>
        <w:trPr>
          <w:trHeight w:val="216"/>
        </w:trPr>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Subsidiaries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r>
      <w:tr>
        <w:trPr>
          <w:trHeight w:val="216"/>
        </w:trPr>
        <w:tc>
          <w:tcPr>
            <w:tcW w:w="7200" w:type="dxa"/>
            <w:vAlign w:val="bottom"/>
          </w:tcPr>
          <w:p>
            <w:pPr>
              <w:spacing w:after="0"/>
              <w:rPr>
                <w:sz w:val="20"/>
                <w:szCs w:val="20"/>
                <w:color w:val="auto"/>
              </w:rPr>
            </w:pPr>
            <w:r>
              <w:rPr>
                <w:rFonts w:ascii="Arial" w:cs="Arial" w:eastAsia="Arial" w:hAnsi="Arial"/>
                <w:sz w:val="18"/>
                <w:szCs w:val="18"/>
                <w:b w:val="1"/>
                <w:bCs w:val="1"/>
                <w:color w:val="auto"/>
              </w:rPr>
              <w:t>Restricted cash:</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accounts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16"/>
        </w:trPr>
        <w:tc>
          <w:tcPr>
            <w:tcW w:w="7200" w:type="dxa"/>
            <w:vAlign w:val="bottom"/>
          </w:tcPr>
          <w:p>
            <w:pPr>
              <w:ind w:left="160"/>
              <w:spacing w:after="0"/>
              <w:rPr>
                <w:sz w:val="20"/>
                <w:szCs w:val="20"/>
                <w:color w:val="auto"/>
              </w:rPr>
            </w:pPr>
            <w:r>
              <w:rPr>
                <w:rFonts w:ascii="Arial" w:cs="Arial" w:eastAsia="Arial" w:hAnsi="Arial"/>
                <w:sz w:val="18"/>
                <w:szCs w:val="18"/>
                <w:color w:val="auto"/>
                <w:w w:val="97"/>
              </w:rPr>
              <w:t>Reserves, including debt service, distributions, performance obligations and other reserves</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w:t>
            </w:r>
          </w:p>
        </w:tc>
      </w:tr>
      <w:tr>
        <w:trPr>
          <w:trHeight w:val="250"/>
        </w:trPr>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700" w:type="dxa"/>
            <w:vAlign w:val="bottom"/>
            <w:gridSpan w:val="2"/>
            <w:shd w:val="clear" w:color="auto" w:fill="CCEEFF"/>
          </w:tcPr>
          <w:p>
            <w:pPr>
              <w:jc w:val="right"/>
              <w:ind w:right="414"/>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600" w:type="dxa"/>
            <w:vAlign w:val="bottom"/>
            <w:gridSpan w:val="2"/>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583</w:t>
            </w:r>
          </w:p>
        </w:tc>
      </w:tr>
      <w:tr>
        <w:trPr>
          <w:trHeight w:val="197"/>
        </w:trPr>
        <w:tc>
          <w:tcPr>
            <w:tcW w:w="7200" w:type="dxa"/>
            <w:vAlign w:val="bottom"/>
            <w:tcBorders>
              <w:top w:val="single" w:sz="8" w:color="CCEEFF"/>
            </w:tcBorders>
          </w:tcPr>
          <w:p>
            <w:pPr>
              <w:ind w:left="160"/>
              <w:spacing w:after="0" w:line="196" w:lineRule="exact"/>
              <w:rPr>
                <w:sz w:val="20"/>
                <w:szCs w:val="20"/>
                <w:color w:val="auto"/>
              </w:rPr>
            </w:pPr>
            <w:r>
              <w:rPr>
                <w:rFonts w:ascii="Arial" w:cs="Arial" w:eastAsia="Arial" w:hAnsi="Arial"/>
                <w:sz w:val="18"/>
                <w:szCs w:val="18"/>
                <w:color w:val="auto"/>
              </w:rPr>
              <w:t>Revolving credit facility availability</w:t>
            </w: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443</w:t>
            </w:r>
          </w:p>
        </w:tc>
        <w:tc>
          <w:tcPr>
            <w:tcW w:w="100" w:type="dxa"/>
            <w:vAlign w:val="bottom"/>
            <w:tcBorders>
              <w:top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454</w:t>
            </w:r>
          </w:p>
        </w:tc>
      </w:tr>
      <w:tr>
        <w:trPr>
          <w:trHeight w:val="250"/>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liquidity</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1,037</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liquidity as of September 30, 2019 was $840 million, $197 million lower than as of December 31, 2018. This reduction was primarily due to the repayment, with cash on hand, of $220 million in outstanding 2019 Convertible Notes and funding of committed growth investments.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2019, the Company's liquidity includes a restricted cash balance of $249 million, of which $147 million relates to subsidiaries affected by the PG&amp;E bankruptcy. Restricted cash consists primarily of funds to satisfy the requirements of certain debt arrangements and funds held within the Company's projects that are restricted in their use. As of September 30, 2019, these restricted funds were comprised of $78 million designated to fund operating expenses, approximately $70 million designated for current debt service payments, and $53 million of reserves for debt service, performance obligations and other items including capital expenditures. The remaining $48 million is held in distribution accounts, of which $36 million related to subsidiaries affected by the PG&amp;E bankruptcy.</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Potential future sources of liquidity include excess operating cash flow, the existing ATM program, of which $36 million remained available as of November 6, 2019, availability under the revolving credit facility, and, subject to market conditions, new corporate financings.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2" w:lineRule="exact"/>
        <w:rPr>
          <w:sz w:val="20"/>
          <w:szCs w:val="20"/>
          <w:color w:val="auto"/>
        </w:rPr>
      </w:pPr>
    </w:p>
    <w:p>
      <w:pPr>
        <w:ind w:left="180" w:hanging="172"/>
        <w:spacing w:after="0"/>
        <w:tabs>
          <w:tab w:leader="none" w:pos="180" w:val="left"/>
        </w:tabs>
        <w:numPr>
          <w:ilvl w:val="0"/>
          <w:numId w:val="3"/>
        </w:numPr>
        <w:rPr>
          <w:rFonts w:ascii="Arial" w:cs="Arial" w:eastAsia="Arial" w:hAnsi="Arial"/>
          <w:sz w:val="27"/>
          <w:szCs w:val="27"/>
          <w:color w:val="auto"/>
          <w:vertAlign w:val="superscript"/>
        </w:rPr>
      </w:pPr>
      <w:r>
        <w:rPr>
          <w:rFonts w:ascii="Arial" w:cs="Arial" w:eastAsia="Arial" w:hAnsi="Arial"/>
          <w:sz w:val="16"/>
          <w:szCs w:val="16"/>
          <w:color w:val="auto"/>
        </w:rPr>
        <w:t>Includes adjustments to reflect CAFD generated by unconsolidated investments that are unable to distribute project dividends due to the PG&amp;E bankruptcy</w:t>
      </w:r>
    </w:p>
    <w:p>
      <w:pPr>
        <w:spacing w:after="0" w:line="10" w:lineRule="exact"/>
        <w:rPr>
          <w:rFonts w:ascii="Arial" w:cs="Arial" w:eastAsia="Arial" w:hAnsi="Arial"/>
          <w:sz w:val="27"/>
          <w:szCs w:val="27"/>
          <w:color w:val="auto"/>
          <w:vertAlign w:val="superscript"/>
        </w:rPr>
      </w:pPr>
    </w:p>
    <w:p>
      <w:pPr>
        <w:spacing w:after="0" w:line="183" w:lineRule="auto"/>
        <w:rPr>
          <w:rFonts w:ascii="Arial" w:cs="Arial" w:eastAsia="Arial" w:hAnsi="Arial"/>
          <w:sz w:val="27"/>
          <w:szCs w:val="27"/>
          <w:color w:val="auto"/>
          <w:vertAlign w:val="superscript"/>
        </w:rPr>
      </w:pPr>
      <w:r>
        <w:rPr>
          <w:rFonts w:ascii="Arial" w:cs="Arial" w:eastAsia="Arial" w:hAnsi="Arial"/>
          <w:sz w:val="23"/>
          <w:szCs w:val="23"/>
          <w:color w:val="auto"/>
          <w:vertAlign w:val="superscript"/>
        </w:rPr>
        <w:t>2</w:t>
      </w:r>
      <w:r>
        <w:rPr>
          <w:rFonts w:ascii="Arial" w:cs="Arial" w:eastAsia="Arial" w:hAnsi="Arial"/>
          <w:sz w:val="14"/>
          <w:szCs w:val="14"/>
          <w:color w:val="auto"/>
        </w:rPr>
        <w:t xml:space="preserve">  Excludes unconsolidated projects</w:t>
      </w:r>
    </w:p>
    <w:p>
      <w:pPr>
        <w:spacing w:after="0"/>
        <w:rPr>
          <w:rFonts w:ascii="Arial" w:cs="Arial" w:eastAsia="Arial" w:hAnsi="Arial"/>
          <w:sz w:val="27"/>
          <w:szCs w:val="27"/>
          <w:color w:val="auto"/>
          <w:vertAlign w:val="superscript"/>
        </w:rPr>
      </w:pPr>
      <w:r>
        <w:rPr>
          <w:rFonts w:ascii="Arial" w:cs="Arial" w:eastAsia="Arial" w:hAnsi="Arial"/>
          <w:sz w:val="27"/>
          <w:szCs w:val="27"/>
          <w:color w:val="auto"/>
          <w:vertAlign w:val="superscript"/>
        </w:rPr>
        <w:t>3</w:t>
      </w:r>
      <w:r>
        <w:rPr>
          <w:rFonts w:ascii="Arial" w:cs="Arial" w:eastAsia="Arial" w:hAnsi="Arial"/>
          <w:sz w:val="16"/>
          <w:szCs w:val="16"/>
          <w:color w:val="auto"/>
        </w:rPr>
        <w:t xml:space="preserve">  Generation sold excludes MWh that are reimbursable for economic curtailment</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PG&amp;E Bankruptcy Update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November 6, 2019, the Company’s contracts with PG&amp;E have operated in the normal course and the Company currently expects these contracts to continue as such. However, unless such lenders for the related project-level debt otherwise agree, distributions to the Company from these projects may not be made during the pendency of the bankruptcy. These restrictions, therefore, have resulted in the Company accumulating less unrestricted cash and thus decreased the Company’s corporate liquidity and cash available for shareholder dividends and growth investments. The Company has entered into forbearance agreements for certain project-level financing arrangements and continues to seek similar agreements with the lenders for the remaining project-level financing arrangements affected by the PG&amp;E bankruptcy. The Company continues to assess the potential future impacts of the PG&amp;E bankruptcy filing as events occur.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to Growth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Carlsbad Energy Center Update</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November 4, 2019, Carlsbad Energy Holdings LLC, a subsidiary of Global Infrastructure Partners III (GIP) and owner of the 527 MW Carlsbad Energy Center (Carlsbad), issued $216 million of investment grade rated, senior secured, non-recourse notes. These notes bear an interest rate of 4.21% and are fully amortizing over 19 years. As previously disclosed, the Company executed an equity backstop agreement with GIP for the future acquisition of Carlsbad. Pursuant to the terms previously agreed by and between the Company and GIP, the Company maintains the option until August 2020 to acquire Carlsbad from GIP. Should the Company not exercise the call right to acquire the asset by August 2020, Carlsbad will become part of the Company’s ROFO pipeline thereafter. As a result of the non-recourse financing, the Company expects the cash consideration for the potential acquisition to be approximately $180 million plus the assumption of non-recourse debt subject to purchase price adjustments. After the new non-recourse financing, the project has a five-year average annual asset CAFD profile of approximately $27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Hawaii Solar Phase I ROFO Acquisition Update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September 19, 2019, the Oahu Partnership, which is part of the previously disclosed Hawaii Solar Phase I ROFO Acquisition, commenced commercial operations. In the aggregate, the Hawaii Solar Phase I ROFO Acquisition totals approximately 80 MW of utility-scale solar projects located in Kawailoa and Oahu, Hawaii and is being purchased from Clearway Group for a total cash consideration of approximately $29 million plus the assumption of non-recourse debt of $169 million. The purchase price for the Hawaii Solar Phase I projects will be funded with existing liquidity. The projects are expected to have a five-year average annual asset CAFD of approximately $2.7 million prior to corporate financing beginning January 1, 2020.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Signed Agreement with the Owner of Four Seasons Cayo Largo</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September 18, 2019, the Company entered into a 15-year tolling agreement with a hotel owner to supply chilled water, hot water and electricity through a dedicated combined heat and power facility to be constructed in Fajardo, Puerto Rico. The Company anticipates the project will require approximately $13 million in capital and is expected to commence commercial operations by the second half of 2020. Once operational, the project is expected to have a five-year average annual asset CAFD of approximately $1.4 million on an unlevered basis prior to corporate financing beginning January 1,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Repowering 1.0 Partnership Update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17, 2019, the Company, through an indirect subsidiary, entered into binding equity commitment agreements in the previously announced partnership with Clearway Group to enable the repowering of two of the Company's existing wind assets, Wildorado and Elbow Creek, which total a combined 283 MW. As part of the transaction, a subsidiary of the Company entered into a financing agreement for construction debt. The construction financing was in part used to reduce outstanding principal at the existing Viento project financing through the removal of Wildorado from the Viento collateral package. In connection with the completion of this financing, and after taking into account the reduction in debt service in 2019 resulting from the partial repayment of the Viento financing, the Company committed to invest an estimated $111 million in net corporate capital to fund the repowering of the wind facilities, subject to closing adjustments. The assets under the transaction are expected to reach COD by early 2020 and contribute incremental asset CAFD on a five-year average annual basis of approximately $12 million beginning January 1, 2020.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DG Investment Partnerships with Clearway Group</w:t>
      </w:r>
    </w:p>
    <w:p>
      <w:pPr>
        <w:spacing w:after="0" w:line="225" w:lineRule="exact"/>
        <w:rPr>
          <w:sz w:val="20"/>
          <w:szCs w:val="20"/>
          <w:color w:val="auto"/>
        </w:rPr>
      </w:pPr>
    </w:p>
    <w:p>
      <w:pPr>
        <w:ind w:right="340"/>
        <w:spacing w:after="0" w:line="276" w:lineRule="auto"/>
        <w:rPr>
          <w:sz w:val="20"/>
          <w:szCs w:val="20"/>
          <w:color w:val="auto"/>
        </w:rPr>
      </w:pPr>
      <w:r>
        <w:rPr>
          <w:rFonts w:ascii="Arial" w:cs="Arial" w:eastAsia="Arial" w:hAnsi="Arial"/>
          <w:sz w:val="16"/>
          <w:szCs w:val="16"/>
          <w:color w:val="auto"/>
        </w:rPr>
        <w:t>During the third quarter of 2019, the Company invested approximately $4 million in the DG investment partnerships with Clearway Group, bringing total capital invested to $256 million</w:t>
      </w:r>
      <w:r>
        <w:rPr>
          <w:rFonts w:ascii="Arial" w:cs="Arial" w:eastAsia="Arial" w:hAnsi="Arial"/>
          <w:sz w:val="26"/>
          <w:szCs w:val="26"/>
          <w:color w:val="auto"/>
          <w:vertAlign w:val="superscript"/>
        </w:rPr>
        <w:t>4</w:t>
      </w:r>
      <w:r>
        <w:rPr>
          <w:rFonts w:ascii="Arial" w:cs="Arial" w:eastAsia="Arial" w:hAnsi="Arial"/>
          <w:sz w:val="16"/>
          <w:szCs w:val="16"/>
          <w:color w:val="auto"/>
        </w:rPr>
        <w:t xml:space="preserve"> in these investment partnerships. As of September 30, 2019, through the existing partnership agreements, the Company owns approximately 253 MW</w:t>
      </w:r>
      <w:r>
        <w:rPr>
          <w:rFonts w:ascii="Arial" w:cs="Arial" w:eastAsia="Arial" w:hAnsi="Arial"/>
          <w:sz w:val="24"/>
          <w:szCs w:val="24"/>
          <w:color w:val="auto"/>
          <w:vertAlign w:val="superscript"/>
        </w:rPr>
        <w:t>5</w:t>
      </w:r>
      <w:r>
        <w:rPr>
          <w:rFonts w:ascii="Arial" w:cs="Arial" w:eastAsia="Arial" w:hAnsi="Arial"/>
          <w:sz w:val="16"/>
          <w:szCs w:val="16"/>
          <w:color w:val="auto"/>
        </w:rPr>
        <w:t xml:space="preserve"> of distributed and community solar capacity with a weighted average contract life of approximately 19 years.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Mesquite Star Drop Down Offer Update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18, 2019, Clearway Group offered the Company the opportunity to purchase 100% of CEG's interests in Mesquite Star Pledgor LLC, which owns the Mesquite Star wind project, a 419 MW utility scale wind facility expected to reach COD in 2020. Due in part to ongoing capital constraints related to the PG&amp;E situation and the prioritization of capital requirements targeted for the second half of 2020 and beyond, the Company has elected to forgo the opportunity to acquire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8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9"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7"/>
          <w:szCs w:val="27"/>
          <w:color w:val="auto"/>
          <w:vertAlign w:val="superscript"/>
        </w:rPr>
      </w:pPr>
      <w:r>
        <w:rPr>
          <w:rFonts w:ascii="Arial" w:cs="Arial" w:eastAsia="Arial" w:hAnsi="Arial"/>
          <w:sz w:val="16"/>
          <w:szCs w:val="16"/>
          <w:color w:val="auto"/>
        </w:rPr>
        <w:t>Excludes $26 million for 14 MW of residential solar leases acquired outside of partnerships</w:t>
      </w:r>
    </w:p>
    <w:p>
      <w:pPr>
        <w:ind w:left="180" w:hanging="172"/>
        <w:spacing w:after="0" w:line="183" w:lineRule="auto"/>
        <w:tabs>
          <w:tab w:leader="none" w:pos="180" w:val="left"/>
        </w:tabs>
        <w:numPr>
          <w:ilvl w:val="0"/>
          <w:numId w:val="5"/>
        </w:numPr>
        <w:rPr>
          <w:rFonts w:ascii="Arial" w:cs="Arial" w:eastAsia="Arial" w:hAnsi="Arial"/>
          <w:sz w:val="23"/>
          <w:szCs w:val="23"/>
          <w:color w:val="auto"/>
          <w:vertAlign w:val="superscript"/>
        </w:rPr>
      </w:pPr>
      <w:r>
        <w:rPr>
          <w:rFonts w:ascii="Arial" w:cs="Arial" w:eastAsia="Arial" w:hAnsi="Arial"/>
          <w:sz w:val="14"/>
          <w:szCs w:val="14"/>
          <w:color w:val="auto"/>
        </w:rPr>
        <w:t>Based on cash to be distributed; excludes 14 MW of residential solar leases acquired outside of partnership</w:t>
      </w:r>
    </w:p>
    <w:p>
      <w:pPr>
        <w:spacing w:after="0" w:line="209"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Asset 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Energy Center Dover and Interests in Energy Center Smyrna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5, 2019, the Company entered into an agreement with DB Energy Assets, LLC, which is jointly owned by DCO Energy, LLC and a subsidiary of Basalt Infrastructure Partners II GP Limited, to sell 100% of its interests in Energy Center Dover LLC and Energy Center Smyrna LLC. Energy Center Dover LLC owns a 103 MW natural gas facility located in Dover, Delaware. The transaction is subject to standard regulatory approvals and the completion of certain maintenance activities.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HSD Solar Holdings, LLC assets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8, 2019, the Company, through HSD Solar Holdings, LLC ("HSD") sold 100% of its interests in certain distributed generation solar facilities totaling 6 MW to the off-taker under the PPA, for a cash consideration of $20 million. The sale took place as a result of the off-taker exercising its right of purchase pursuant to the PPA. In conjunction with the sale, the Company repaid in full the non-recourse lease financing debt associated with the HSD projects, as well as the remaining 3 MW of projects residing in the Apple I LLC portfolio. Net of cash released at closing, the Company paid $23 million to terminate this financing.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Update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Agua Caliente Borrower 2 Repayment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21, 2019, the Company, through Agua Caliente Borrower 2 LLC, repaid $40 million of the outstanding note balance, including accrued interest and premiums, under the Agua Caliente Borrower 2 non-recourse project financing. The repayment was funded with existing liquidity and will result in approximately $3.5 million in annual debt service savings, the savings of which will be available to corporate liquidity upon the project level event of default resulting from the PG&amp;E bankruptcy being cured.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Dividend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29, 2019, Clearway Energy, Inc.’s Board of Directors declared a quarterly dividend on Class A and Class C common stock of $0.20 per share payable on December 16, 2019, to stockholders of record as of December 2, 2019. The Company will continue to assess the level of the dividend pending developments in the PG&amp;E Bankruptcy, including the Company's ability to receive unrestricted project distributions.</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Clearway Energy, Inc.’s quarterly operating results are impacted by seasonal factors, as well as variability in renewable energy resources. Most of the Company's revenues are generated from the months of May through September, as contracted pricing and renewable resources are at their highest levels in the Company’s portfolio. Factors driving the fluctuation in Net Income, Adjusted EBITDA, Cash from Operating Activities, and CAFD include the following:</w:t>
      </w:r>
    </w:p>
    <w:p>
      <w:pPr>
        <w:spacing w:after="0" w:line="14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Higher summer capacity prices from conventional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Higher solar insolation during the summer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Higher wind resources during the spring and summer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Debt service payments which are made either quarterly or semi-annually;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Timing of maintenance capital expenditures and the impact of both unforced and forced outages;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Receipt of distributions from or generated by unconsolidated affiliates impacted by the PG&amp;E bankruptcy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takes into consideration the timing of these factors to ensure sufficient funds are available for distributions and operating activities on a quarterly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and 2020 Financial Guidance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maintaining its 2019 full year CAFD guidance of $250 million.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also initiating 2020 CAFD guidance of $295 million. Financial guidance factors in the impact of the divestitures and financing updates described above and the contribution of committed growth investments based on the current expected closing timelines. This CAFD guidance does not factor in other potential growth, including the Carlsbad transaction. CAFD guidance also does not factor in other portfolio cash flow drivers beyond 2020 or the impact of future permanent capital formation.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guidance for 2019 and 2020 assumes that all CAFD related to the projects impacted by the PG&amp;E Bankruptcy is realized and continues to be based on median renewable energy production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Conference Call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6, 2019, Clearway Energy, Inc. will host a conference call at 8:00 a.m. Eastern to discuss these results. Investors, the news media and others may access the live webcast of the conference call and accompanying presentation materials by logging on to Clearway Energy, Inc.’s website at http://www.clearwayenergy.com and clicking on “Presentations &amp; Webcasts” under “Investor Relations.”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Clearway Energy, Inc.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Clearway Energy, Inc. is a leading publicly-traded energy infrastructure investor focused on modern, sustainable and long-term contracted assets across North America. Clearway Energy’s environmentally-sound asset portfolio includes over 7,000 megawatts of wind, solar and natural gas-fired power generation facilities, as well as district energy systems. Through this diversified and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III (GIP), an independent infrastructure fund manager that invests in infrastructure and businesses in both OECD and select emerging market countries, through GIP’s portfolio company, Clearway Energy Group.</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Safe Harbor Disclosure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“anticipate,” “forecast,” “plan,” “outlook,” “believe” and similar terms. Such forward-looking statements include, but are not limited to, statements regarding impacts resulting from the PG&amp;E bankruptcy, the benefits of the relationship with Global Infrastructure Partners III (GIP) and GIP’s expertise, the Company’s future relationship and arrangements with GIP and Clearway Energy Group, as well as the Company's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Although Clearway Energy, Inc. believes that the expectations are reasonable, it can give no assurance that these expectations will prove to be correct, and actual results may vary materially. Factors that could cause actual results to differ materially from those contemplated above include, among others, impacts relating to the PG&amp;E bankruptcy,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 markets, changes in government regulations, the condition of capital markets generally, the Company's ability to access capital markets, cyber terrorism and inadequate cybersecurity, the ability to engage in successful acquisitions activity, unanticipated outages at its generation facilities, adverse results in current and future litigation, failure to identify, execute or successfully implement acquisitions (including receipt of third party consents and regulatory approvals), the Company's ability to enter into new contracts as existing contracts expire, risk relating to the Company's relationships with GIP and Clearway Energy Group, the Company's ability to successfully transition services previously provided by NRG, the Company's ability to acquire assets from GIP, Clearway Energy Group or third parties, the Company's ability to close drop down transactions, and the Company's ability to maintain and grow its quarterly dividends. Furthermore, any dividends are subject to available capital, market conditions, and compliance with associated laws and regulations.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Clearway Energy, Inc. undertakes no obligation to update or revise any forward-looking statements, whether as a result of new information, future events or otherwise. The Adjusted EBITDA and Cash Available for Distribution are estimates as of today’s date, August 6, 2019, and are based on assumptions believed to be reasonable as of this date. Clearway Energy, Inc. expressly disclaims any current intention to update such guidance. The foregoing review of factors that could cause Clearway Energy, Inc.’s actual results to differ materially from those contemplated in the forward-looking statements included in this news release should be considered in connection with information regarding risks and uncertainties that may affect Clearway Energy, Inc.’s future results included in Clearway Energy, Inc.’s filings with the Securities and Exchange Commission at www.sec.gov. In addition, Clearway Energy, Inc. makes available free of charge at www.clearwayenergy.com, copies of materials it files with, or furnishes to, the SEC.</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vMerge w:val="restart"/>
          </w:tcPr>
          <w:p>
            <w:pPr>
              <w:spacing w:after="0"/>
              <w:rPr>
                <w:sz w:val="20"/>
                <w:szCs w:val="20"/>
                <w:color w:val="auto"/>
              </w:rPr>
            </w:pPr>
            <w:r>
              <w:rPr>
                <w:rFonts w:ascii="Arial" w:cs="Arial" w:eastAsia="Arial" w:hAnsi="Arial"/>
                <w:sz w:val="18"/>
                <w:szCs w:val="18"/>
                <w:b w:val="1"/>
                <w:bCs w:val="1"/>
                <w:color w:val="auto"/>
              </w:rPr>
              <w:t>Contacts:</w:t>
            </w:r>
          </w:p>
        </w:tc>
        <w:tc>
          <w:tcPr>
            <w:tcW w:w="2560" w:type="dxa"/>
            <w:vAlign w:val="bottom"/>
          </w:tcPr>
          <w:p>
            <w:pPr>
              <w:ind w:left="1880"/>
              <w:spacing w:after="0"/>
              <w:rPr>
                <w:sz w:val="20"/>
                <w:szCs w:val="20"/>
                <w:color w:val="auto"/>
              </w:rPr>
            </w:pPr>
            <w:r>
              <w:rPr>
                <w:rFonts w:ascii="Arial" w:cs="Arial" w:eastAsia="Arial" w:hAnsi="Arial"/>
                <w:sz w:val="18"/>
                <w:szCs w:val="18"/>
                <w:b w:val="1"/>
                <w:bCs w:val="1"/>
                <w:color w:val="auto"/>
              </w:rPr>
              <w:t># # #</w:t>
            </w:r>
          </w:p>
        </w:tc>
        <w:tc>
          <w:tcPr>
            <w:tcW w:w="0" w:type="dxa"/>
            <w:vAlign w:val="bottom"/>
          </w:tcPr>
          <w:p>
            <w:pPr>
              <w:spacing w:after="0"/>
              <w:rPr>
                <w:sz w:val="1"/>
                <w:szCs w:val="1"/>
                <w:color w:val="auto"/>
              </w:rPr>
            </w:pPr>
          </w:p>
        </w:tc>
      </w:tr>
      <w:tr>
        <w:trPr>
          <w:trHeight w:val="216"/>
        </w:trPr>
        <w:tc>
          <w:tcPr>
            <w:tcW w:w="3660" w:type="dxa"/>
            <w:vAlign w:val="bottom"/>
            <w:vMerge w:val="continue"/>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3660" w:type="dxa"/>
            <w:vAlign w:val="bottom"/>
          </w:tcPr>
          <w:p>
            <w:pPr>
              <w:ind w:left="340"/>
              <w:spacing w:after="0"/>
              <w:rPr>
                <w:sz w:val="20"/>
                <w:szCs w:val="20"/>
                <w:color w:val="auto"/>
              </w:rPr>
            </w:pPr>
            <w:r>
              <w:rPr>
                <w:rFonts w:ascii="Arial" w:cs="Arial" w:eastAsia="Arial" w:hAnsi="Arial"/>
                <w:sz w:val="18"/>
                <w:szCs w:val="18"/>
                <w:b w:val="1"/>
                <w:bCs w:val="1"/>
                <w:color w:val="auto"/>
              </w:rPr>
              <w:t>Investors:</w:t>
            </w:r>
          </w:p>
        </w:tc>
        <w:tc>
          <w:tcPr>
            <w:tcW w:w="2560" w:type="dxa"/>
            <w:vAlign w:val="bottom"/>
          </w:tcPr>
          <w:p>
            <w:pPr>
              <w:ind w:left="460"/>
              <w:spacing w:after="0"/>
              <w:rPr>
                <w:sz w:val="20"/>
                <w:szCs w:val="20"/>
                <w:color w:val="auto"/>
              </w:rPr>
            </w:pPr>
            <w:r>
              <w:rPr>
                <w:rFonts w:ascii="Arial" w:cs="Arial" w:eastAsia="Arial" w:hAnsi="Arial"/>
                <w:sz w:val="18"/>
                <w:szCs w:val="18"/>
                <w:b w:val="1"/>
                <w:bCs w:val="1"/>
                <w:color w:val="auto"/>
              </w:rPr>
              <w:t>Media:</w:t>
            </w:r>
          </w:p>
        </w:tc>
        <w:tc>
          <w:tcPr>
            <w:tcW w:w="0" w:type="dxa"/>
            <w:vAlign w:val="bottom"/>
          </w:tcPr>
          <w:p>
            <w:pPr>
              <w:spacing w:after="0"/>
              <w:rPr>
                <w:sz w:val="1"/>
                <w:szCs w:val="1"/>
                <w:color w:val="auto"/>
              </w:rPr>
            </w:pPr>
          </w:p>
        </w:tc>
      </w:tr>
      <w:tr>
        <w:trPr>
          <w:trHeight w:val="216"/>
        </w:trPr>
        <w:tc>
          <w:tcPr>
            <w:tcW w:w="3660" w:type="dxa"/>
            <w:vAlign w:val="bottom"/>
          </w:tcPr>
          <w:p>
            <w:pPr>
              <w:ind w:left="340"/>
              <w:spacing w:after="0"/>
              <w:rPr>
                <w:sz w:val="20"/>
                <w:szCs w:val="20"/>
                <w:color w:val="auto"/>
              </w:rPr>
            </w:pPr>
            <w:r>
              <w:rPr>
                <w:rFonts w:ascii="Arial" w:cs="Arial" w:eastAsia="Arial" w:hAnsi="Arial"/>
                <w:sz w:val="18"/>
                <w:szCs w:val="18"/>
                <w:color w:val="auto"/>
              </w:rPr>
              <w:t>Akil Marsh</w:t>
            </w:r>
          </w:p>
        </w:tc>
        <w:tc>
          <w:tcPr>
            <w:tcW w:w="2560" w:type="dxa"/>
            <w:vAlign w:val="bottom"/>
          </w:tcPr>
          <w:p>
            <w:pPr>
              <w:ind w:left="460"/>
              <w:spacing w:after="0"/>
              <w:rPr>
                <w:sz w:val="20"/>
                <w:szCs w:val="20"/>
                <w:color w:val="auto"/>
              </w:rPr>
            </w:pPr>
            <w:r>
              <w:rPr>
                <w:rFonts w:ascii="Arial" w:cs="Arial" w:eastAsia="Arial" w:hAnsi="Arial"/>
                <w:sz w:val="18"/>
                <w:szCs w:val="18"/>
                <w:color w:val="auto"/>
              </w:rPr>
              <w:t>Zadie Oleksiw</w:t>
            </w:r>
          </w:p>
        </w:tc>
        <w:tc>
          <w:tcPr>
            <w:tcW w:w="0" w:type="dxa"/>
            <w:vAlign w:val="bottom"/>
          </w:tcPr>
          <w:p>
            <w:pPr>
              <w:spacing w:after="0"/>
              <w:rPr>
                <w:sz w:val="1"/>
                <w:szCs w:val="1"/>
                <w:color w:val="auto"/>
              </w:rPr>
            </w:pPr>
          </w:p>
        </w:tc>
      </w:tr>
      <w:tr>
        <w:trPr>
          <w:trHeight w:val="216"/>
        </w:trPr>
        <w:tc>
          <w:tcPr>
            <w:tcW w:w="3660" w:type="dxa"/>
            <w:vAlign w:val="bottom"/>
          </w:tcPr>
          <w:p>
            <w:pPr>
              <w:ind w:left="340"/>
              <w:spacing w:after="0"/>
              <w:rPr>
                <w:sz w:val="20"/>
                <w:szCs w:val="20"/>
                <w:color w:val="auto"/>
              </w:rPr>
            </w:pPr>
            <w:r>
              <w:rPr>
                <w:rFonts w:ascii="Arial" w:cs="Arial" w:eastAsia="Arial" w:hAnsi="Arial"/>
                <w:sz w:val="18"/>
                <w:szCs w:val="18"/>
                <w:color w:val="auto"/>
              </w:rPr>
              <w:t>investor.relations@clearwayenergy.com</w:t>
            </w:r>
          </w:p>
        </w:tc>
        <w:tc>
          <w:tcPr>
            <w:tcW w:w="2560" w:type="dxa"/>
            <w:vAlign w:val="bottom"/>
          </w:tcPr>
          <w:p>
            <w:pPr>
              <w:ind w:left="460"/>
              <w:spacing w:after="0"/>
              <w:rPr>
                <w:sz w:val="20"/>
                <w:szCs w:val="20"/>
                <w:color w:val="auto"/>
              </w:rPr>
            </w:pPr>
            <w:r>
              <w:rPr>
                <w:rFonts w:ascii="Arial" w:cs="Arial" w:eastAsia="Arial" w:hAnsi="Arial"/>
                <w:sz w:val="18"/>
                <w:szCs w:val="18"/>
                <w:color w:val="auto"/>
                <w:w w:val="89"/>
              </w:rPr>
              <w:t>media@clearwayenergy.com</w:t>
            </w:r>
          </w:p>
        </w:tc>
        <w:tc>
          <w:tcPr>
            <w:tcW w:w="0" w:type="dxa"/>
            <w:vAlign w:val="bottom"/>
          </w:tcPr>
          <w:p>
            <w:pPr>
              <w:spacing w:after="0"/>
              <w:rPr>
                <w:sz w:val="1"/>
                <w:szCs w:val="1"/>
                <w:color w:val="auto"/>
              </w:rPr>
            </w:pPr>
          </w:p>
        </w:tc>
      </w:tr>
      <w:tr>
        <w:trPr>
          <w:trHeight w:val="230"/>
        </w:trPr>
        <w:tc>
          <w:tcPr>
            <w:tcW w:w="3660" w:type="dxa"/>
            <w:vAlign w:val="bottom"/>
          </w:tcPr>
          <w:p>
            <w:pPr>
              <w:ind w:left="340"/>
              <w:spacing w:after="0"/>
              <w:rPr>
                <w:sz w:val="20"/>
                <w:szCs w:val="20"/>
                <w:color w:val="auto"/>
              </w:rPr>
            </w:pPr>
            <w:r>
              <w:rPr>
                <w:rFonts w:ascii="Arial" w:cs="Arial" w:eastAsia="Arial" w:hAnsi="Arial"/>
                <w:sz w:val="18"/>
                <w:szCs w:val="18"/>
                <w:color w:val="auto"/>
              </w:rPr>
              <w:t>609-608-1500</w:t>
            </w:r>
          </w:p>
        </w:tc>
        <w:tc>
          <w:tcPr>
            <w:tcW w:w="2560" w:type="dxa"/>
            <w:vAlign w:val="bottom"/>
          </w:tcPr>
          <w:p>
            <w:pPr>
              <w:ind w:left="460"/>
              <w:spacing w:after="0"/>
              <w:rPr>
                <w:sz w:val="20"/>
                <w:szCs w:val="20"/>
                <w:color w:val="auto"/>
              </w:rPr>
            </w:pPr>
            <w:r>
              <w:rPr>
                <w:rFonts w:ascii="Arial" w:cs="Arial" w:eastAsia="Arial" w:hAnsi="Arial"/>
                <w:sz w:val="18"/>
                <w:szCs w:val="18"/>
                <w:color w:val="auto"/>
              </w:rPr>
              <w:t>202-836-5754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4"/>
          </w:tcPr>
          <w:p>
            <w:pPr>
              <w:jc w:val="right"/>
              <w:ind w:right="41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6"/>
                <w:szCs w:val="16"/>
                <w:b w:val="1"/>
                <w:bCs w:val="1"/>
                <w:color w:val="auto"/>
              </w:rPr>
              <w:t>September 30,</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6"/>
                <w:szCs w:val="16"/>
                <w:b w:val="1"/>
                <w:bCs w:val="1"/>
                <w:color w:val="auto"/>
              </w:rPr>
              <w:t>September 30,</w:t>
            </w:r>
          </w:p>
        </w:tc>
      </w:tr>
      <w:tr>
        <w:trPr>
          <w:trHeight w:val="202"/>
        </w:trPr>
        <w:tc>
          <w:tcPr>
            <w:tcW w:w="6540" w:type="dxa"/>
            <w:vAlign w:val="bottom"/>
            <w:gridSpan w:val="2"/>
          </w:tcPr>
          <w:p>
            <w:pPr>
              <w:spacing w:after="0"/>
              <w:rPr>
                <w:sz w:val="20"/>
                <w:szCs w:val="20"/>
                <w:color w:val="auto"/>
              </w:rPr>
            </w:pPr>
            <w:r>
              <w:rPr>
                <w:rFonts w:ascii="Arial" w:cs="Arial" w:eastAsia="Arial" w:hAnsi="Arial"/>
                <w:sz w:val="16"/>
                <w:szCs w:val="16"/>
                <w:b w:val="1"/>
                <w:bCs w:val="1"/>
                <w:color w:val="auto"/>
              </w:rPr>
              <w:t>(In millions, except per share amounts)</w:t>
            </w:r>
          </w:p>
        </w:tc>
        <w:tc>
          <w:tcPr>
            <w:tcW w:w="240" w:type="dxa"/>
            <w:vAlign w:val="bottom"/>
          </w:tcPr>
          <w:p>
            <w:pPr>
              <w:spacing w:after="0"/>
              <w:rPr>
                <w:sz w:val="17"/>
                <w:szCs w:val="17"/>
                <w:color w:val="auto"/>
              </w:rPr>
            </w:pPr>
          </w:p>
        </w:tc>
        <w:tc>
          <w:tcPr>
            <w:tcW w:w="920" w:type="dxa"/>
            <w:vAlign w:val="bottom"/>
          </w:tcPr>
          <w:p>
            <w:pPr>
              <w:jc w:val="right"/>
              <w:ind w:right="331"/>
              <w:spacing w:after="0"/>
              <w:rPr>
                <w:sz w:val="20"/>
                <w:szCs w:val="20"/>
                <w:color w:val="auto"/>
              </w:rPr>
            </w:pPr>
            <w:r>
              <w:rPr>
                <w:rFonts w:ascii="Arial" w:cs="Arial" w:eastAsia="Arial" w:hAnsi="Arial"/>
                <w:sz w:val="16"/>
                <w:szCs w:val="16"/>
                <w:b w:val="1"/>
                <w:bCs w:val="1"/>
                <w:color w:val="auto"/>
              </w:rPr>
              <w:t>2019</w:t>
            </w: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10"/>
              <w:spacing w:after="0"/>
              <w:rPr>
                <w:sz w:val="20"/>
                <w:szCs w:val="20"/>
                <w:color w:val="auto"/>
              </w:rPr>
            </w:pPr>
            <w:r>
              <w:rPr>
                <w:rFonts w:ascii="Arial" w:cs="Arial" w:eastAsia="Arial" w:hAnsi="Arial"/>
                <w:sz w:val="16"/>
                <w:szCs w:val="16"/>
                <w:b w:val="1"/>
                <w:bCs w:val="1"/>
                <w:color w:val="auto"/>
              </w:rPr>
              <w:t>2018</w:t>
            </w: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20"/>
              <w:spacing w:after="0"/>
              <w:rPr>
                <w:sz w:val="20"/>
                <w:szCs w:val="20"/>
                <w:color w:val="auto"/>
              </w:rPr>
            </w:pPr>
            <w:r>
              <w:rPr>
                <w:rFonts w:ascii="Arial" w:cs="Arial" w:eastAsia="Arial" w:hAnsi="Arial"/>
                <w:sz w:val="18"/>
                <w:szCs w:val="18"/>
                <w:color w:val="auto"/>
              </w:rPr>
              <w:t>Total operating revenues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296</w:t>
            </w:r>
          </w:p>
        </w:tc>
        <w:tc>
          <w:tcPr>
            <w:tcW w:w="8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292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797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824</w:t>
            </w: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Cost of operations</w:t>
            </w:r>
          </w:p>
        </w:tc>
        <w:tc>
          <w:tcPr>
            <w:tcW w:w="24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Impairment losses</w:t>
            </w:r>
          </w:p>
        </w:tc>
        <w:tc>
          <w:tcPr>
            <w:tcW w:w="24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Transaction and integration costs</w:t>
            </w:r>
          </w:p>
        </w:tc>
        <w:tc>
          <w:tcPr>
            <w:tcW w:w="24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6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Development costs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10"/>
        </w:trPr>
        <w:tc>
          <w:tcPr>
            <w:tcW w:w="20" w:type="dxa"/>
            <w:vAlign w:val="bottom"/>
          </w:tcPr>
          <w:p>
            <w:pPr>
              <w:spacing w:after="0"/>
              <w:rPr>
                <w:sz w:val="18"/>
                <w:szCs w:val="18"/>
                <w:color w:val="auto"/>
              </w:rPr>
            </w:pPr>
          </w:p>
        </w:tc>
        <w:tc>
          <w:tcPr>
            <w:tcW w:w="6520" w:type="dxa"/>
            <w:vAlign w:val="bottom"/>
          </w:tcPr>
          <w:p>
            <w:pPr>
              <w:ind w:left="320"/>
              <w:spacing w:after="0"/>
              <w:rPr>
                <w:sz w:val="20"/>
                <w:szCs w:val="20"/>
                <w:color w:val="auto"/>
              </w:rPr>
            </w:pPr>
            <w:r>
              <w:rPr>
                <w:rFonts w:ascii="Arial" w:cs="Arial" w:eastAsia="Arial" w:hAnsi="Arial"/>
                <w:sz w:val="18"/>
                <w:szCs w:val="18"/>
                <w:color w:val="auto"/>
              </w:rPr>
              <w:t>Total operating costs and expenses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192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531</w:t>
            </w: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100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r>
      <w:tr>
        <w:trPr>
          <w:trHeight w:val="210"/>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earnings of unconsolidated affiliates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debt extinguishment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10"/>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4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162</w:t>
            </w:r>
          </w:p>
        </w:tc>
      </w:tr>
      <w:tr>
        <w:trPr>
          <w:trHeight w:val="216"/>
        </w:trPr>
        <w:tc>
          <w:tcPr>
            <w:tcW w:w="20" w:type="dxa"/>
            <w:vAlign w:val="bottom"/>
          </w:tcPr>
          <w:p>
            <w:pPr>
              <w:spacing w:after="0"/>
              <w:rPr>
                <w:sz w:val="18"/>
                <w:szCs w:val="18"/>
                <w:color w:val="auto"/>
              </w:rPr>
            </w:pPr>
          </w:p>
        </w:tc>
        <w:tc>
          <w:tcPr>
            <w:tcW w:w="6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(benefit) expense</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10"/>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145</w:t>
            </w:r>
          </w:p>
        </w:tc>
      </w:tr>
      <w:tr>
        <w:trPr>
          <w:trHeight w:val="216"/>
        </w:trPr>
        <w:tc>
          <w:tcPr>
            <w:tcW w:w="20" w:type="dxa"/>
            <w:vAlign w:val="bottom"/>
          </w:tcPr>
          <w:p>
            <w:pPr>
              <w:spacing w:after="0"/>
              <w:rPr>
                <w:sz w:val="18"/>
                <w:szCs w:val="18"/>
                <w:color w:val="auto"/>
              </w:rPr>
            </w:pPr>
          </w:p>
        </w:tc>
        <w:tc>
          <w:tcPr>
            <w:tcW w:w="6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Pre-acquisition net income of Drop Down Assets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10"/>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w w:val="96"/>
              </w:rPr>
              <w:t>Net Income (Loss) Excluding Pre-acquisition Net Income of Drop Down Assets</w:t>
            </w:r>
          </w:p>
        </w:tc>
        <w:tc>
          <w:tcPr>
            <w:tcW w:w="24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16"/>
        </w:trPr>
        <w:tc>
          <w:tcPr>
            <w:tcW w:w="20" w:type="dxa"/>
            <w:vAlign w:val="bottom"/>
          </w:tcPr>
          <w:p>
            <w:pPr>
              <w:spacing w:after="0"/>
              <w:rPr>
                <w:sz w:val="18"/>
                <w:szCs w:val="18"/>
                <w:color w:val="auto"/>
              </w:rPr>
            </w:pPr>
          </w:p>
        </w:tc>
        <w:tc>
          <w:tcPr>
            <w:tcW w:w="6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Income (Loss) attributable to 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10"/>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Net Income (Loss) Attributable to Clearway Energy, Inc.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8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ind w:left="180" w:right="200" w:hanging="161"/>
        <w:spacing w:after="0" w:line="250" w:lineRule="auto"/>
        <w:rPr>
          <w:sz w:val="20"/>
          <w:szCs w:val="20"/>
          <w:color w:val="auto"/>
        </w:rPr>
      </w:pPr>
      <w:r>
        <w:rPr>
          <w:rFonts w:ascii="Arial" w:cs="Arial" w:eastAsia="Arial" w:hAnsi="Arial"/>
          <w:sz w:val="18"/>
          <w:szCs w:val="18"/>
          <w:b w:val="1"/>
          <w:bCs w:val="1"/>
          <w:color w:val="auto"/>
        </w:rPr>
        <w:t>Earnings Per Share Attributable to Clearway Energy, Inc. Class A and Class C Common Stockholders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Weighted average number of Class A common shares outstanding - basic and diluted</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Weighted average number of Class C common shares outstanding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Weighted average number of Class C common shares outstanding - diluted</w:t>
      </w:r>
    </w:p>
    <w:p>
      <w:pPr>
        <w:spacing w:after="0" w:line="9" w:lineRule="exact"/>
        <w:rPr>
          <w:sz w:val="20"/>
          <w:szCs w:val="20"/>
          <w:color w:val="auto"/>
        </w:rPr>
      </w:pPr>
    </w:p>
    <w:p>
      <w:pPr>
        <w:ind w:left="180" w:right="200" w:hanging="161"/>
        <w:spacing w:after="0" w:line="261" w:lineRule="auto"/>
        <w:rPr>
          <w:sz w:val="20"/>
          <w:szCs w:val="20"/>
          <w:color w:val="auto"/>
        </w:rPr>
      </w:pPr>
      <w:r>
        <w:rPr>
          <w:rFonts w:ascii="Arial" w:cs="Arial" w:eastAsia="Arial" w:hAnsi="Arial"/>
          <w:sz w:val="18"/>
          <w:szCs w:val="18"/>
          <w:b w:val="1"/>
          <w:bCs w:val="1"/>
          <w:color w:val="auto"/>
        </w:rPr>
        <w:t>Earnings (Losses) per Weighted Average Class A and Class C Common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right="560"/>
        <w:spacing w:after="0" w:line="308" w:lineRule="auto"/>
        <w:rPr>
          <w:sz w:val="20"/>
          <w:szCs w:val="20"/>
          <w:color w:val="auto"/>
        </w:rPr>
      </w:pPr>
      <w:r>
        <w:rPr>
          <w:rFonts w:ascii="Arial" w:cs="Arial" w:eastAsia="Arial" w:hAnsi="Arial"/>
          <w:sz w:val="18"/>
          <w:szCs w:val="18"/>
          <w:b w:val="1"/>
          <w:bCs w:val="1"/>
          <w:color w:val="auto"/>
        </w:rPr>
        <w:t>Earnings (Losses) per Weighted Average Class A Common Share - Diluted Earnings (Losses) per Weighted Average Class C Common Share - Diluted Dividends Per Class A Common Share Dividends Per Class C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-525145</wp:posOffset>
            </wp:positionV>
            <wp:extent cx="72466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92"/>
        </w:trPr>
        <w:tc>
          <w:tcPr>
            <w:tcW w:w="400" w:type="dxa"/>
            <w:vAlign w:val="bottom"/>
            <w:gridSpan w:val="2"/>
          </w:tcPr>
          <w:p>
            <w:pPr>
              <w:jc w:val="right"/>
              <w:ind w:right="27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0.36</w:t>
            </w:r>
          </w:p>
        </w:tc>
        <w:tc>
          <w:tcPr>
            <w:tcW w:w="5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(0.04)</w:t>
            </w:r>
          </w:p>
        </w:tc>
        <w:tc>
          <w:tcPr>
            <w:tcW w:w="4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0.36</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0.20</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0.36</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0.20</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0.20</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0.32</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0.60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0.927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0.20</w:t>
            </w:r>
          </w:p>
        </w:tc>
        <w:tc>
          <w:tcPr>
            <w:tcW w:w="120" w:type="dxa"/>
            <w:vAlign w:val="bottom"/>
            <w:vMerge w:val="continue"/>
          </w:tcPr>
          <w:p>
            <w:pPr>
              <w:spacing w:after="0"/>
              <w:rPr>
                <w:sz w:val="17"/>
                <w:szCs w:val="17"/>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0.32</w:t>
            </w:r>
          </w:p>
        </w:tc>
        <w:tc>
          <w:tcPr>
            <w:tcW w:w="12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0.60</w:t>
            </w:r>
          </w:p>
        </w:tc>
        <w:tc>
          <w:tcPr>
            <w:tcW w:w="10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6280" w:space="260"/>
            <w:col w:w="4880"/>
          </w:cols>
          <w:pgMar w:left="240" w:top="580"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Nine months ended</w:t>
            </w:r>
          </w:p>
        </w:tc>
        <w:tc>
          <w:tcPr>
            <w:tcW w:w="380" w:type="dxa"/>
            <w:vAlign w:val="bottom"/>
          </w:tcPr>
          <w:p>
            <w:pPr>
              <w:spacing w:after="0"/>
              <w:rPr>
                <w:sz w:val="17"/>
                <w:szCs w:val="17"/>
                <w:color w:val="auto"/>
              </w:rPr>
            </w:pPr>
          </w:p>
        </w:tc>
      </w:tr>
      <w:tr>
        <w:trPr>
          <w:trHeight w:val="234"/>
        </w:trPr>
        <w:tc>
          <w:tcPr>
            <w:tcW w:w="6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6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September 30,</w:t>
            </w:r>
          </w:p>
        </w:tc>
        <w:tc>
          <w:tcPr>
            <w:tcW w:w="380" w:type="dxa"/>
            <w:vAlign w:val="bottom"/>
            <w:tcBorders>
              <w:bottom w:val="single" w:sz="8" w:color="auto"/>
            </w:tcBorders>
          </w:tcPr>
          <w:p>
            <w:pPr>
              <w:spacing w:after="0"/>
              <w:rPr>
                <w:sz w:val="20"/>
                <w:szCs w:val="20"/>
                <w:color w:val="auto"/>
              </w:rPr>
            </w:pPr>
          </w:p>
        </w:tc>
      </w:tr>
      <w:tr>
        <w:trPr>
          <w:trHeight w:val="196"/>
        </w:trPr>
        <w:tc>
          <w:tcPr>
            <w:tcW w:w="654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2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380" w:type="dxa"/>
            <w:vAlign w:val="bottom"/>
            <w:tcBorders>
              <w:bottom w:val="single" w:sz="8" w:color="auto"/>
            </w:tcBorders>
          </w:tcPr>
          <w:p>
            <w:pPr>
              <w:spacing w:after="0"/>
              <w:rPr>
                <w:sz w:val="17"/>
                <w:szCs w:val="17"/>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800" w:type="dxa"/>
            <w:vAlign w:val="bottom"/>
            <w:gridSpan w:val="2"/>
            <w:shd w:val="clear" w:color="auto" w:fill="CCEEFF"/>
          </w:tcPr>
          <w:p>
            <w:pPr>
              <w:jc w:val="right"/>
              <w:ind w:right="63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92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860" w:type="dxa"/>
            <w:vAlign w:val="bottom"/>
            <w:gridSpan w:val="2"/>
            <w:shd w:val="clear" w:color="auto" w:fill="CCEEFF"/>
          </w:tcPr>
          <w:p>
            <w:pPr>
              <w:jc w:val="right"/>
              <w:ind w:right="579"/>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(48)</w:t>
            </w:r>
          </w:p>
        </w:tc>
        <w:tc>
          <w:tcPr>
            <w:tcW w:w="840" w:type="dxa"/>
            <w:vAlign w:val="bottom"/>
            <w:gridSpan w:val="2"/>
            <w:shd w:val="clear" w:color="auto" w:fill="CCEEFF"/>
          </w:tcPr>
          <w:p>
            <w:pPr>
              <w:jc w:val="right"/>
              <w:ind w:right="579"/>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145</w:t>
            </w:r>
          </w:p>
        </w:tc>
      </w:tr>
      <w:tr>
        <w:trPr>
          <w:trHeight w:val="216"/>
        </w:trPr>
        <w:tc>
          <w:tcPr>
            <w:tcW w:w="6540" w:type="dxa"/>
            <w:vAlign w:val="bottom"/>
          </w:tcPr>
          <w:p>
            <w:pPr>
              <w:spacing w:after="0"/>
              <w:rPr>
                <w:sz w:val="20"/>
                <w:szCs w:val="20"/>
                <w:color w:val="auto"/>
              </w:rPr>
            </w:pPr>
            <w:r>
              <w:rPr>
                <w:rFonts w:ascii="Arial" w:cs="Arial" w:eastAsia="Arial" w:hAnsi="Arial"/>
                <w:sz w:val="18"/>
                <w:szCs w:val="18"/>
                <w:b w:val="1"/>
                <w:bCs w:val="1"/>
                <w:color w:val="auto"/>
              </w:rPr>
              <w:t>Other Comprehensive (Loss) Gain</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6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3"/>
              </w:rPr>
              <w:t>Unrealized (loss) gain on derivatives, net of income tax benefit of $0, $1, $0 and $4</w:t>
            </w:r>
          </w:p>
        </w:tc>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10"/>
        </w:trPr>
        <w:tc>
          <w:tcPr>
            <w:tcW w:w="6540" w:type="dxa"/>
            <w:vAlign w:val="bottom"/>
          </w:tcPr>
          <w:p>
            <w:pPr>
              <w:ind w:left="500"/>
              <w:spacing w:after="0"/>
              <w:rPr>
                <w:sz w:val="20"/>
                <w:szCs w:val="20"/>
                <w:color w:val="auto"/>
              </w:rPr>
            </w:pPr>
            <w:r>
              <w:rPr>
                <w:rFonts w:ascii="Arial" w:cs="Arial" w:eastAsia="Arial" w:hAnsi="Arial"/>
                <w:sz w:val="18"/>
                <w:szCs w:val="18"/>
                <w:color w:val="auto"/>
              </w:rPr>
              <w:t>Other comprehensive (loss) gain</w:t>
            </w:r>
          </w:p>
        </w:tc>
        <w:tc>
          <w:tcPr>
            <w:tcW w:w="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175</w:t>
            </w: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Less: Pre-acquisition net income of Drop Down Assets</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Comprehensive (loss) income attributable to noncontrolling interests</w:t>
            </w:r>
          </w:p>
        </w:tc>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(42)</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10"/>
        </w:trPr>
        <w:tc>
          <w:tcPr>
            <w:tcW w:w="6540" w:type="dxa"/>
            <w:vAlign w:val="bottom"/>
          </w:tcPr>
          <w:p>
            <w:pPr>
              <w:spacing w:after="0"/>
              <w:rPr>
                <w:sz w:val="20"/>
                <w:szCs w:val="20"/>
                <w:color w:val="auto"/>
              </w:rPr>
            </w:pPr>
            <w:r>
              <w:rPr>
                <w:rFonts w:ascii="Arial" w:cs="Arial" w:eastAsia="Arial" w:hAnsi="Arial"/>
                <w:sz w:val="18"/>
                <w:szCs w:val="18"/>
                <w:b w:val="1"/>
                <w:bCs w:val="1"/>
                <w:color w:val="auto"/>
              </w:rPr>
              <w:t>Comprehensive Income (Loss) Attributable to Clearway Energy, Inc.</w:t>
            </w:r>
          </w:p>
        </w:tc>
        <w:tc>
          <w:tcPr>
            <w:tcW w:w="800" w:type="dxa"/>
            <w:vAlign w:val="bottom"/>
            <w:gridSpan w:val="2"/>
          </w:tcPr>
          <w:p>
            <w:pPr>
              <w:jc w:val="right"/>
              <w:ind w:right="636"/>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92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860" w:type="dxa"/>
            <w:vAlign w:val="bottom"/>
            <w:gridSpan w:val="2"/>
          </w:tcPr>
          <w:p>
            <w:pPr>
              <w:jc w:val="right"/>
              <w:ind w:right="579"/>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840" w:type="dxa"/>
            <w:vAlign w:val="bottom"/>
            <w:gridSpan w:val="2"/>
          </w:tcPr>
          <w:p>
            <w:pPr>
              <w:jc w:val="right"/>
              <w:ind w:right="579"/>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130</w:t>
            </w:r>
          </w:p>
        </w:tc>
      </w:tr>
      <w:tr>
        <w:trPr>
          <w:trHeight w:val="20"/>
        </w:trPr>
        <w:tc>
          <w:tcPr>
            <w:tcW w:w="6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gridSpan w:val="2"/>
          </w:tcPr>
          <w:p>
            <w:pPr>
              <w:spacing w:after="0"/>
              <w:rPr>
                <w:sz w:val="20"/>
                <w:szCs w:val="20"/>
                <w:color w:val="auto"/>
              </w:rPr>
            </w:pPr>
            <w:r>
              <w:rPr>
                <w:rFonts w:ascii="Arial" w:cs="Arial" w:eastAsia="Arial" w:hAnsi="Arial"/>
                <w:sz w:val="16"/>
                <w:szCs w:val="16"/>
                <w:b w:val="1"/>
                <w:bCs w:val="1"/>
                <w:color w:val="auto"/>
              </w:rPr>
              <w:t>(In millions, except shares)</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6"/>
                <w:szCs w:val="16"/>
                <w:b w:val="1"/>
                <w:bCs w:val="1"/>
                <w:color w:val="auto"/>
                <w:w w:val="89"/>
              </w:rPr>
              <w:t>September 30, 2019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6"/>
                <w:szCs w:val="16"/>
                <w:b w:val="1"/>
                <w:bCs w:val="1"/>
                <w:color w:val="auto"/>
                <w:w w:val="90"/>
              </w:rPr>
              <w:t>December 31, 2018</w:t>
            </w:r>
          </w:p>
        </w:tc>
      </w:tr>
      <w:tr>
        <w:trPr>
          <w:trHeight w:val="207"/>
        </w:trPr>
        <w:tc>
          <w:tcPr>
            <w:tcW w:w="20" w:type="dxa"/>
            <w:vAlign w:val="bottom"/>
          </w:tcPr>
          <w:p>
            <w:pPr>
              <w:spacing w:after="0"/>
              <w:rPr>
                <w:sz w:val="17"/>
                <w:szCs w:val="17"/>
                <w:color w:val="auto"/>
              </w:rPr>
            </w:pPr>
          </w:p>
        </w:tc>
        <w:tc>
          <w:tcPr>
            <w:tcW w:w="7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 trade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Accounts receivable — affiliate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Derivative instruments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Prepayments and other current assets</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10"/>
        </w:trPr>
        <w:tc>
          <w:tcPr>
            <w:tcW w:w="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756</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5,245</w:t>
            </w: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investments in affiliates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1,172</w:t>
            </w: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1,156</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 instruments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Right of use assets, net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w:t>
            </w:r>
          </w:p>
        </w:tc>
      </w:tr>
      <w:tr>
        <w:trPr>
          <w:trHeight w:val="210"/>
        </w:trPr>
        <w:tc>
          <w:tcPr>
            <w:tcW w:w="20" w:type="dxa"/>
            <w:vAlign w:val="bottom"/>
          </w:tcPr>
          <w:p>
            <w:pPr>
              <w:spacing w:after="0"/>
              <w:rPr>
                <w:sz w:val="18"/>
                <w:szCs w:val="18"/>
                <w:color w:val="auto"/>
              </w:rPr>
            </w:pPr>
          </w:p>
        </w:tc>
        <w:tc>
          <w:tcPr>
            <w:tcW w:w="7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other assets</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2,657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2,499</w:t>
            </w:r>
          </w:p>
        </w:tc>
      </w:tr>
      <w:tr>
        <w:trPr>
          <w:trHeight w:val="210"/>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8,838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8,500</w:t>
            </w: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1,965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Accounts payable — trade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 affiliate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Derivative instruments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interest expense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r>
      <w:tr>
        <w:trPr>
          <w:trHeight w:val="210"/>
        </w:trPr>
        <w:tc>
          <w:tcPr>
            <w:tcW w:w="20" w:type="dxa"/>
            <w:vAlign w:val="bottom"/>
          </w:tcPr>
          <w:p>
            <w:pPr>
              <w:spacing w:after="0"/>
              <w:rPr>
                <w:sz w:val="18"/>
                <w:szCs w:val="18"/>
                <w:color w:val="auto"/>
              </w:rPr>
            </w:pPr>
          </w:p>
        </w:tc>
        <w:tc>
          <w:tcPr>
            <w:tcW w:w="7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2,246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704</w:t>
            </w: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5,447</w:t>
            </w: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Derivative instruments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lease liabilities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w:t>
            </w:r>
          </w:p>
        </w:tc>
      </w:tr>
      <w:tr>
        <w:trPr>
          <w:trHeight w:val="210"/>
        </w:trPr>
        <w:tc>
          <w:tcPr>
            <w:tcW w:w="20" w:type="dxa"/>
            <w:vAlign w:val="bottom"/>
          </w:tcPr>
          <w:p>
            <w:pPr>
              <w:spacing w:after="0"/>
              <w:rPr>
                <w:sz w:val="18"/>
                <w:szCs w:val="18"/>
                <w:color w:val="auto"/>
              </w:rPr>
            </w:pPr>
          </w:p>
        </w:tc>
        <w:tc>
          <w:tcPr>
            <w:tcW w:w="7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non-current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4,546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5,572</w:t>
            </w: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6,792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6,276</w:t>
            </w: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$0.01 par value; 10,000,000 shares authorized; none issued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7960" w:type="dxa"/>
            <w:vAlign w:val="bottom"/>
          </w:tcPr>
          <w:p>
            <w:pPr>
              <w:ind w:left="160"/>
              <w:spacing w:after="0" w:line="201" w:lineRule="exact"/>
              <w:rPr>
                <w:sz w:val="20"/>
                <w:szCs w:val="20"/>
                <w:color w:val="auto"/>
              </w:rPr>
            </w:pPr>
            <w:r>
              <w:rPr>
                <w:rFonts w:ascii="Arial" w:cs="Arial" w:eastAsia="Arial" w:hAnsi="Arial"/>
                <w:sz w:val="18"/>
                <w:szCs w:val="18"/>
                <w:color w:val="auto"/>
                <w:w w:val="92"/>
              </w:rPr>
              <w:t>Class A, Class B, Class C and Class D common stock, $0.01 par value; 3,000,000,000 shares authorized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w w:val="91"/>
              </w:rPr>
              <w:t>(Class A 500,000,000, Class B 500,000,000, Class C 1,000,000,000, Class D 1,000,000,000); 193,413,843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w w:val="94"/>
              </w:rPr>
              <w:t>shares issued and outstanding (Class A 34,599,645, Class B 42,738,750, Class C 73,336,698, Class 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w w:val="91"/>
              </w:rPr>
              <w:t>42,738,750) at September 30, 2019 and 193,251,396 shares issued and outstanding (Class A 34,586,250,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Class B 42,738,750, Class C 73,187,646, Class D 42,738,750) at December 31, 2018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1,897</w:t>
            </w: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402</w:t>
            </w:r>
          </w:p>
        </w:tc>
      </w:tr>
      <w:tr>
        <w:trPr>
          <w:trHeight w:val="210"/>
        </w:trPr>
        <w:tc>
          <w:tcPr>
            <w:tcW w:w="20" w:type="dxa"/>
            <w:vAlign w:val="bottom"/>
          </w:tcPr>
          <w:p>
            <w:pPr>
              <w:spacing w:after="0"/>
              <w:rPr>
                <w:sz w:val="18"/>
                <w:szCs w:val="18"/>
                <w:color w:val="auto"/>
              </w:rPr>
            </w:pPr>
          </w:p>
        </w:tc>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2,046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2,224</w:t>
            </w:r>
          </w:p>
        </w:tc>
      </w:tr>
      <w:tr>
        <w:trPr>
          <w:trHeight w:val="210"/>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8,838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8,500</w:t>
            </w: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115"/>
        </w:trPr>
        <w:tc>
          <w:tcPr>
            <w:tcW w:w="20" w:type="dxa"/>
            <w:vAlign w:val="bottom"/>
          </w:tcPr>
          <w:p>
            <w:pPr>
              <w:spacing w:after="0"/>
              <w:rPr>
                <w:sz w:val="10"/>
                <w:szCs w:val="10"/>
                <w:color w:val="auto"/>
              </w:rPr>
            </w:pPr>
          </w:p>
        </w:tc>
        <w:tc>
          <w:tcPr>
            <w:tcW w:w="79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460" w:type="dxa"/>
            <w:vAlign w:val="bottom"/>
            <w:tcBorders>
              <w:bottom w:val="single" w:sz="8" w:color="auto"/>
            </w:tcBorders>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460" w:type="dxa"/>
            <w:vAlign w:val="bottom"/>
            <w:tcBorders>
              <w:bottom w:val="single" w:sz="8" w:color="auto"/>
            </w:tcBorders>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ind w:right="90"/>
              <w:spacing w:after="0"/>
              <w:rPr>
                <w:sz w:val="20"/>
                <w:szCs w:val="20"/>
                <w:color w:val="auto"/>
              </w:rPr>
            </w:pPr>
            <w:r>
              <w:rPr>
                <w:rFonts w:ascii="Arial" w:cs="Arial" w:eastAsia="Arial" w:hAnsi="Arial"/>
                <w:sz w:val="16"/>
                <w:szCs w:val="16"/>
                <w:i w:val="1"/>
                <w:iCs w:val="1"/>
                <w:color w:val="auto"/>
              </w:rPr>
              <w:t>(In</w:t>
            </w:r>
          </w:p>
        </w:tc>
        <w:tc>
          <w:tcPr>
            <w:tcW w:w="1220" w:type="dxa"/>
            <w:vAlign w:val="bottom"/>
            <w:gridSpan w:val="2"/>
          </w:tcPr>
          <w:p>
            <w:pPr>
              <w:jc w:val="right"/>
              <w:ind w:right="699"/>
              <w:spacing w:after="0"/>
              <w:rPr>
                <w:sz w:val="20"/>
                <w:szCs w:val="20"/>
                <w:color w:val="auto"/>
              </w:rPr>
            </w:pPr>
            <w:r>
              <w:rPr>
                <w:rFonts w:ascii="Arial" w:cs="Arial" w:eastAsia="Arial" w:hAnsi="Arial"/>
                <w:sz w:val="16"/>
                <w:szCs w:val="16"/>
                <w:i w:val="1"/>
                <w:iCs w:val="1"/>
                <w:color w:val="auto"/>
                <w:w w:val="71"/>
              </w:rPr>
              <w:t>millions)</w:t>
            </w:r>
          </w:p>
        </w:tc>
        <w:tc>
          <w:tcPr>
            <w:tcW w:w="460" w:type="dxa"/>
            <w:vAlign w:val="bottom"/>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Net (loss) income</w:t>
            </w:r>
          </w:p>
        </w:tc>
        <w:tc>
          <w:tcPr>
            <w:tcW w:w="2140" w:type="dxa"/>
            <w:vAlign w:val="bottom"/>
            <w:gridSpan w:val="2"/>
          </w:tcPr>
          <w:p>
            <w:pPr>
              <w:jc w:val="right"/>
              <w:ind w:right="899"/>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122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145</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20"/>
              <w:spacing w:after="0"/>
              <w:rPr>
                <w:sz w:val="20"/>
                <w:szCs w:val="20"/>
                <w:color w:val="auto"/>
              </w:rPr>
            </w:pPr>
            <w:r>
              <w:rPr>
                <w:rFonts w:ascii="Arial" w:cs="Arial" w:eastAsia="Arial" w:hAnsi="Arial"/>
                <w:sz w:val="18"/>
                <w:szCs w:val="18"/>
                <w:color w:val="auto"/>
              </w:rPr>
              <w:t>Equity in earnings of unconsolidated affiliates</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Distributions from unconsolidated affiliates</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16"/>
        </w:trPr>
        <w:tc>
          <w:tcPr>
            <w:tcW w:w="20" w:type="dxa"/>
            <w:vAlign w:val="bottom"/>
          </w:tcPr>
          <w:p>
            <w:pPr>
              <w:spacing w:after="0"/>
              <w:rPr>
                <w:sz w:val="18"/>
                <w:szCs w:val="18"/>
                <w:color w:val="auto"/>
              </w:rPr>
            </w:pPr>
          </w:p>
        </w:tc>
        <w:tc>
          <w:tcPr>
            <w:tcW w:w="704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Right of use asset amortization</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40" w:type="dxa"/>
            <w:vAlign w:val="bottom"/>
          </w:tcPr>
          <w:p>
            <w:pPr>
              <w:ind w:left="320"/>
              <w:spacing w:after="0"/>
              <w:rPr>
                <w:sz w:val="20"/>
                <w:szCs w:val="20"/>
                <w:color w:val="auto"/>
              </w:rPr>
            </w:pPr>
            <w:r>
              <w:rPr>
                <w:rFonts w:ascii="Arial" w:cs="Arial" w:eastAsia="Arial" w:hAnsi="Arial"/>
                <w:sz w:val="18"/>
                <w:szCs w:val="18"/>
                <w:color w:val="auto"/>
              </w:rPr>
              <w:t>Amortization of financing costs and debt discounts</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intangibles and out-of-market contracts</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16"/>
        </w:trPr>
        <w:tc>
          <w:tcPr>
            <w:tcW w:w="20" w:type="dxa"/>
            <w:vAlign w:val="bottom"/>
          </w:tcPr>
          <w:p>
            <w:pPr>
              <w:spacing w:after="0"/>
              <w:rPr>
                <w:sz w:val="18"/>
                <w:szCs w:val="18"/>
                <w:color w:val="auto"/>
              </w:rPr>
            </w:pPr>
          </w:p>
        </w:tc>
        <w:tc>
          <w:tcPr>
            <w:tcW w:w="7040" w:type="dxa"/>
            <w:vAlign w:val="bottom"/>
          </w:tcPr>
          <w:p>
            <w:pPr>
              <w:ind w:left="320"/>
              <w:spacing w:after="0"/>
              <w:rPr>
                <w:sz w:val="20"/>
                <w:szCs w:val="20"/>
                <w:color w:val="auto"/>
              </w:rPr>
            </w:pPr>
            <w:r>
              <w:rPr>
                <w:rFonts w:ascii="Arial" w:cs="Arial" w:eastAsia="Arial" w:hAnsi="Arial"/>
                <w:sz w:val="18"/>
                <w:szCs w:val="18"/>
                <w:color w:val="auto"/>
              </w:rPr>
              <w:t>Adjustment for debt extinguishment</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Impairment losses</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40" w:type="dxa"/>
            <w:vAlign w:val="bottom"/>
          </w:tcPr>
          <w:p>
            <w:pPr>
              <w:ind w:left="320"/>
              <w:spacing w:after="0"/>
              <w:rPr>
                <w:sz w:val="20"/>
                <w:szCs w:val="20"/>
                <w:color w:val="auto"/>
              </w:rPr>
            </w:pPr>
            <w:r>
              <w:rPr>
                <w:rFonts w:ascii="Arial" w:cs="Arial" w:eastAsia="Arial" w:hAnsi="Arial"/>
                <w:sz w:val="18"/>
                <w:szCs w:val="18"/>
                <w:color w:val="auto"/>
              </w:rPr>
              <w:t>Changes in deferred income taxes</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derivative instruments</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7040" w:type="dxa"/>
            <w:vAlign w:val="bottom"/>
          </w:tcPr>
          <w:p>
            <w:pPr>
              <w:ind w:left="320"/>
              <w:spacing w:after="0"/>
              <w:rPr>
                <w:sz w:val="20"/>
                <w:szCs w:val="20"/>
                <w:color w:val="auto"/>
              </w:rPr>
            </w:pPr>
            <w:r>
              <w:rPr>
                <w:rFonts w:ascii="Arial" w:cs="Arial" w:eastAsia="Arial" w:hAnsi="Arial"/>
                <w:sz w:val="18"/>
                <w:szCs w:val="18"/>
                <w:color w:val="auto"/>
              </w:rPr>
              <w:t>Loss (gain) on disposal of asset components</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7040" w:type="dxa"/>
            <w:vAlign w:val="bottom"/>
          </w:tcPr>
          <w:p>
            <w:pPr>
              <w:ind w:left="320"/>
              <w:spacing w:after="0"/>
              <w:rPr>
                <w:sz w:val="20"/>
                <w:szCs w:val="20"/>
                <w:color w:val="auto"/>
              </w:rPr>
            </w:pPr>
            <w:r>
              <w:rPr>
                <w:rFonts w:ascii="Arial" w:cs="Arial" w:eastAsia="Arial" w:hAnsi="Arial"/>
                <w:sz w:val="18"/>
                <w:szCs w:val="18"/>
                <w:color w:val="auto"/>
              </w:rPr>
              <w:t>Changes in other working capital</w:t>
            </w:r>
          </w:p>
        </w:tc>
        <w:tc>
          <w:tcPr>
            <w:tcW w:w="10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10"/>
        </w:trPr>
        <w:tc>
          <w:tcPr>
            <w:tcW w:w="20" w:type="dxa"/>
            <w:vAlign w:val="bottom"/>
          </w:tcPr>
          <w:p>
            <w:pPr>
              <w:spacing w:after="0"/>
              <w:rPr>
                <w:sz w:val="18"/>
                <w:szCs w:val="18"/>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r>
      <w:tr>
        <w:trPr>
          <w:trHeight w:val="210"/>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Acquisitions</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7040" w:type="dxa"/>
            <w:vAlign w:val="bottom"/>
          </w:tcPr>
          <w:p>
            <w:pPr>
              <w:ind w:left="320"/>
              <w:spacing w:after="0"/>
              <w:rPr>
                <w:sz w:val="20"/>
                <w:szCs w:val="20"/>
                <w:color w:val="auto"/>
              </w:rPr>
            </w:pPr>
            <w:r>
              <w:rPr>
                <w:rFonts w:ascii="Arial" w:cs="Arial" w:eastAsia="Arial" w:hAnsi="Arial"/>
                <w:sz w:val="18"/>
                <w:szCs w:val="18"/>
                <w:color w:val="auto"/>
              </w:rPr>
              <w:t>Partnership interests acquisition</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Acquisition of the Drop Down Assets</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w:t>
            </w:r>
          </w:p>
        </w:tc>
      </w:tr>
      <w:tr>
        <w:trPr>
          <w:trHeight w:val="216"/>
        </w:trPr>
        <w:tc>
          <w:tcPr>
            <w:tcW w:w="20" w:type="dxa"/>
            <w:vAlign w:val="bottom"/>
          </w:tcPr>
          <w:p>
            <w:pPr>
              <w:spacing w:after="0"/>
              <w:rPr>
                <w:sz w:val="18"/>
                <w:szCs w:val="18"/>
                <w:color w:val="auto"/>
              </w:rPr>
            </w:pPr>
          </w:p>
        </w:tc>
        <w:tc>
          <w:tcPr>
            <w:tcW w:w="7040" w:type="dxa"/>
            <w:vAlign w:val="bottom"/>
          </w:tcPr>
          <w:p>
            <w:pPr>
              <w:ind w:left="320"/>
              <w:spacing w:after="0"/>
              <w:rPr>
                <w:sz w:val="20"/>
                <w:szCs w:val="20"/>
                <w:color w:val="auto"/>
              </w:rPr>
            </w:pPr>
            <w:r>
              <w:rPr>
                <w:rFonts w:ascii="Arial" w:cs="Arial" w:eastAsia="Arial" w:hAnsi="Arial"/>
                <w:sz w:val="18"/>
                <w:szCs w:val="18"/>
                <w:color w:val="auto"/>
              </w:rPr>
              <w:t>Buyout of Wind TE Holdco non-controlling interest</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expenditures</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0" w:type="dxa"/>
            <w:vAlign w:val="bottom"/>
          </w:tcPr>
          <w:p>
            <w:pPr>
              <w:spacing w:after="0"/>
              <w:rPr>
                <w:sz w:val="18"/>
                <w:szCs w:val="18"/>
                <w:color w:val="auto"/>
              </w:rPr>
            </w:pPr>
          </w:p>
        </w:tc>
        <w:tc>
          <w:tcPr>
            <w:tcW w:w="7040" w:type="dxa"/>
            <w:vAlign w:val="bottom"/>
          </w:tcPr>
          <w:p>
            <w:pPr>
              <w:ind w:left="320"/>
              <w:spacing w:after="0"/>
              <w:rPr>
                <w:sz w:val="20"/>
                <w:szCs w:val="20"/>
                <w:color w:val="auto"/>
              </w:rPr>
            </w:pPr>
            <w:r>
              <w:rPr>
                <w:rFonts w:ascii="Arial" w:cs="Arial" w:eastAsia="Arial" w:hAnsi="Arial"/>
                <w:sz w:val="18"/>
                <w:szCs w:val="18"/>
                <w:color w:val="auto"/>
              </w:rPr>
              <w:t>Cash receipts from notes receivable</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Return of investment from unconsolidated affiliates</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7040" w:type="dxa"/>
            <w:vAlign w:val="bottom"/>
          </w:tcPr>
          <w:p>
            <w:pPr>
              <w:ind w:left="320"/>
              <w:spacing w:after="0"/>
              <w:rPr>
                <w:sz w:val="20"/>
                <w:szCs w:val="20"/>
                <w:color w:val="auto"/>
              </w:rPr>
            </w:pPr>
            <w:r>
              <w:rPr>
                <w:rFonts w:ascii="Arial" w:cs="Arial" w:eastAsia="Arial" w:hAnsi="Arial"/>
                <w:sz w:val="18"/>
                <w:szCs w:val="18"/>
                <w:color w:val="auto"/>
              </w:rPr>
              <w:t>Investments in unconsolidated affiliates</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7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10"/>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(175)</w:t>
            </w: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20"/>
              <w:spacing w:after="0"/>
              <w:rPr>
                <w:sz w:val="20"/>
                <w:szCs w:val="20"/>
                <w:color w:val="auto"/>
              </w:rPr>
            </w:pPr>
            <w:r>
              <w:rPr>
                <w:rFonts w:ascii="Arial" w:cs="Arial" w:eastAsia="Arial" w:hAnsi="Arial"/>
                <w:sz w:val="18"/>
                <w:szCs w:val="18"/>
                <w:color w:val="auto"/>
              </w:rPr>
              <w:t>Net (distributions) contributions from noncontrolling interests</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proceeds from the issuance of common stock under the ATM</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7040" w:type="dxa"/>
            <w:vAlign w:val="bottom"/>
          </w:tcPr>
          <w:p>
            <w:pPr>
              <w:ind w:left="320"/>
              <w:spacing w:after="0"/>
              <w:rPr>
                <w:sz w:val="20"/>
                <w:szCs w:val="20"/>
                <w:color w:val="auto"/>
              </w:rPr>
            </w:pPr>
            <w:r>
              <w:rPr>
                <w:rFonts w:ascii="Arial" w:cs="Arial" w:eastAsia="Arial" w:hAnsi="Arial"/>
                <w:sz w:val="18"/>
                <w:szCs w:val="18"/>
                <w:color w:val="auto"/>
              </w:rPr>
              <w:t>Payments of dividends and distributions</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(174)</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of debt issuance costs</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7040" w:type="dxa"/>
            <w:vAlign w:val="bottom"/>
          </w:tcPr>
          <w:p>
            <w:pPr>
              <w:ind w:left="320"/>
              <w:spacing w:after="0"/>
              <w:rPr>
                <w:sz w:val="20"/>
                <w:szCs w:val="20"/>
                <w:color w:val="auto"/>
              </w:rPr>
            </w:pPr>
            <w:r>
              <w:rPr>
                <w:rFonts w:ascii="Arial" w:cs="Arial" w:eastAsia="Arial" w:hAnsi="Arial"/>
                <w:sz w:val="18"/>
                <w:szCs w:val="18"/>
                <w:color w:val="auto"/>
              </w:rPr>
              <w:t>Proceeds from the revolving credit facility</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for the revolving credit facility</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7040" w:type="dxa"/>
            <w:vAlign w:val="bottom"/>
          </w:tcPr>
          <w:p>
            <w:pPr>
              <w:ind w:left="320"/>
              <w:spacing w:after="0"/>
              <w:rPr>
                <w:sz w:val="20"/>
                <w:szCs w:val="20"/>
                <w:color w:val="auto"/>
              </w:rPr>
            </w:pPr>
            <w:r>
              <w:rPr>
                <w:rFonts w:ascii="Arial" w:cs="Arial" w:eastAsia="Arial" w:hAnsi="Arial"/>
                <w:sz w:val="18"/>
                <w:szCs w:val="18"/>
                <w:color w:val="auto"/>
              </w:rPr>
              <w:t>Proceeds from the issuance of long-term debt</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227</w:t>
            </w:r>
          </w:p>
        </w:tc>
      </w:tr>
      <w:tr>
        <w:trPr>
          <w:trHeight w:val="216"/>
        </w:trPr>
        <w:tc>
          <w:tcPr>
            <w:tcW w:w="20" w:type="dxa"/>
            <w:vAlign w:val="bottom"/>
          </w:tcPr>
          <w:p>
            <w:pPr>
              <w:spacing w:after="0"/>
              <w:rPr>
                <w:sz w:val="18"/>
                <w:szCs w:val="18"/>
                <w:color w:val="auto"/>
              </w:rPr>
            </w:pPr>
          </w:p>
        </w:tc>
        <w:tc>
          <w:tcPr>
            <w:tcW w:w="7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Payments for long-term debt</w:t>
            </w:r>
          </w:p>
        </w:tc>
        <w:tc>
          <w:tcPr>
            <w:tcW w:w="10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(385)</w:t>
            </w:r>
          </w:p>
        </w:tc>
      </w:tr>
      <w:tr>
        <w:trPr>
          <w:trHeight w:val="210"/>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0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(148)</w:t>
            </w: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10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316</w:t>
            </w:r>
          </w:p>
        </w:tc>
      </w:tr>
      <w:tr>
        <w:trPr>
          <w:trHeight w:val="250"/>
        </w:trPr>
        <w:tc>
          <w:tcPr>
            <w:tcW w:w="20" w:type="dxa"/>
            <w:vAlign w:val="bottom"/>
          </w:tcPr>
          <w:p>
            <w:pPr>
              <w:spacing w:after="0"/>
              <w:rPr>
                <w:sz w:val="21"/>
                <w:szCs w:val="21"/>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140" w:type="dxa"/>
            <w:vAlign w:val="bottom"/>
            <w:gridSpan w:val="2"/>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397</w:t>
            </w:r>
          </w:p>
        </w:tc>
        <w:tc>
          <w:tcPr>
            <w:tcW w:w="1220" w:type="dxa"/>
            <w:vAlign w:val="bottom"/>
            <w:gridSpan w:val="2"/>
            <w:shd w:val="clear" w:color="auto" w:fill="CCEEFF"/>
          </w:tcPr>
          <w:p>
            <w:pPr>
              <w:jc w:val="right"/>
              <w:ind w:right="95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r>
      <w:tr>
        <w:trPr>
          <w:trHeight w:val="413"/>
        </w:trPr>
        <w:tc>
          <w:tcPr>
            <w:tcW w:w="20" w:type="dxa"/>
            <w:vAlign w:val="bottom"/>
          </w:tcPr>
          <w:p>
            <w:pPr>
              <w:spacing w:after="0"/>
              <w:rPr>
                <w:sz w:val="24"/>
                <w:szCs w:val="24"/>
                <w:color w:val="auto"/>
              </w:rPr>
            </w:pPr>
          </w:p>
        </w:tc>
        <w:tc>
          <w:tcPr>
            <w:tcW w:w="704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115"/>
        </w:trPr>
        <w:tc>
          <w:tcPr>
            <w:tcW w:w="20" w:type="dxa"/>
            <w:vAlign w:val="bottom"/>
          </w:tcPr>
          <w:p>
            <w:pPr>
              <w:spacing w:after="0"/>
              <w:rPr>
                <w:sz w:val="10"/>
                <w:szCs w:val="10"/>
                <w:color w:val="auto"/>
              </w:rPr>
            </w:pPr>
          </w:p>
        </w:tc>
        <w:tc>
          <w:tcPr>
            <w:tcW w:w="70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Nine months ended September 30, 2019</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r>
      <w:tr>
        <w:trPr>
          <w:trHeight w:val="203"/>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w w:val="92"/>
              </w:rPr>
              <w:t>Preferred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w w:val="92"/>
              </w:rPr>
              <w:t>Common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w w:val="99"/>
              </w:rPr>
              <w:t>Additional</w:t>
            </w:r>
          </w:p>
        </w:tc>
        <w:tc>
          <w:tcPr>
            <w:tcW w:w="120" w:type="dxa"/>
            <w:vAlign w:val="bottom"/>
          </w:tcPr>
          <w:p>
            <w:pPr>
              <w:spacing w:after="0"/>
              <w:rPr>
                <w:sz w:val="17"/>
                <w:szCs w:val="17"/>
                <w:color w:val="auto"/>
              </w:rPr>
            </w:pPr>
          </w:p>
        </w:tc>
        <w:tc>
          <w:tcPr>
            <w:tcW w:w="1000" w:type="dxa"/>
            <w:vAlign w:val="bottom"/>
            <w:gridSpan w:val="3"/>
          </w:tcPr>
          <w:p>
            <w:pPr>
              <w:spacing w:after="0"/>
              <w:rPr>
                <w:sz w:val="20"/>
                <w:szCs w:val="20"/>
                <w:color w:val="auto"/>
              </w:rPr>
            </w:pPr>
            <w:r>
              <w:rPr>
                <w:rFonts w:ascii="Arial" w:cs="Arial" w:eastAsia="Arial" w:hAnsi="Arial"/>
                <w:sz w:val="16"/>
                <w:szCs w:val="16"/>
                <w:b w:val="1"/>
                <w:bCs w:val="1"/>
                <w:color w:val="auto"/>
                <w:w w:val="97"/>
              </w:rPr>
              <w:t>Accumulated</w:t>
            </w:r>
          </w:p>
        </w:tc>
        <w:tc>
          <w:tcPr>
            <w:tcW w:w="1080" w:type="dxa"/>
            <w:vAlign w:val="bottom"/>
            <w:gridSpan w:val="2"/>
          </w:tcPr>
          <w:p>
            <w:pPr>
              <w:spacing w:after="0"/>
              <w:rPr>
                <w:sz w:val="20"/>
                <w:szCs w:val="20"/>
                <w:color w:val="auto"/>
              </w:rPr>
            </w:pPr>
            <w:r>
              <w:rPr>
                <w:rFonts w:ascii="Arial" w:cs="Arial" w:eastAsia="Arial" w:hAnsi="Arial"/>
                <w:sz w:val="16"/>
                <w:szCs w:val="16"/>
                <w:b w:val="1"/>
                <w:bCs w:val="1"/>
                <w:color w:val="auto"/>
                <w:w w:val="88"/>
              </w:rPr>
              <w:t>Comprehensive</w:t>
            </w:r>
          </w:p>
        </w:tc>
        <w:tc>
          <w:tcPr>
            <w:tcW w:w="1200" w:type="dxa"/>
            <w:vAlign w:val="bottom"/>
            <w:gridSpan w:val="4"/>
          </w:tcPr>
          <w:p>
            <w:pPr>
              <w:ind w:left="120"/>
              <w:spacing w:after="0"/>
              <w:rPr>
                <w:sz w:val="20"/>
                <w:szCs w:val="20"/>
                <w:color w:val="auto"/>
              </w:rPr>
            </w:pPr>
            <w:r>
              <w:rPr>
                <w:rFonts w:ascii="Arial" w:cs="Arial" w:eastAsia="Arial" w:hAnsi="Arial"/>
                <w:sz w:val="16"/>
                <w:szCs w:val="16"/>
                <w:b w:val="1"/>
                <w:bCs w:val="1"/>
                <w:color w:val="auto"/>
                <w:w w:val="93"/>
              </w:rPr>
              <w:t>Noncontrolling</w:t>
            </w:r>
          </w:p>
        </w:tc>
        <w:tc>
          <w:tcPr>
            <w:tcW w:w="1000" w:type="dxa"/>
            <w:vAlign w:val="bottom"/>
            <w:gridSpan w:val="4"/>
          </w:tcPr>
          <w:p>
            <w:pPr>
              <w:ind w:left="40"/>
              <w:spacing w:after="0"/>
              <w:rPr>
                <w:sz w:val="20"/>
                <w:szCs w:val="20"/>
                <w:color w:val="auto"/>
              </w:rPr>
            </w:pPr>
            <w:r>
              <w:rPr>
                <w:rFonts w:ascii="Arial" w:cs="Arial" w:eastAsia="Arial" w:hAnsi="Arial"/>
                <w:sz w:val="16"/>
                <w:szCs w:val="16"/>
                <w:b w:val="1"/>
                <w:bCs w:val="1"/>
                <w:color w:val="auto"/>
                <w:w w:val="89"/>
              </w:rPr>
              <w:t>Stockholders'</w:t>
            </w:r>
          </w:p>
        </w:tc>
      </w:tr>
      <w:tr>
        <w:trPr>
          <w:trHeight w:val="216"/>
        </w:trPr>
        <w:tc>
          <w:tcPr>
            <w:tcW w:w="38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Stock</w:t>
            </w:r>
          </w:p>
        </w:tc>
        <w:tc>
          <w:tcPr>
            <w:tcW w:w="100" w:type="dxa"/>
            <w:vAlign w:val="bottom"/>
          </w:tcPr>
          <w:p>
            <w:pPr>
              <w:spacing w:after="0"/>
              <w:rPr>
                <w:sz w:val="18"/>
                <w:szCs w:val="18"/>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5"/>
              </w:rPr>
              <w:t>Paid-In Capital</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Deficit</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Loss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Interest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Equity</w:t>
            </w:r>
          </w:p>
        </w:tc>
        <w:tc>
          <w:tcPr>
            <w:tcW w:w="2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December 31, 2018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1,897</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402</w:t>
            </w: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2,224</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Unrealized loss on derivatives, net of tax</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Buyout of Wind TE Holdco non-controlling interest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Capital contributions from tax equity investors, net of</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distributions, cash</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6"/>
                <w:szCs w:val="16"/>
                <w:color w:val="auto"/>
                <w:w w:val="96"/>
              </w:rPr>
              <w:t>Contributions from CEG for Oahu Partnership, non-cash</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Cumulative effect from change in accounting principle</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r>
      <w:tr>
        <w:trPr>
          <w:trHeight w:val="203"/>
        </w:trPr>
        <w:tc>
          <w:tcPr>
            <w:tcW w:w="3880" w:type="dxa"/>
            <w:vAlign w:val="bottom"/>
            <w:gridSpan w:val="2"/>
          </w:tcPr>
          <w:p>
            <w:pPr>
              <w:spacing w:after="0"/>
              <w:rPr>
                <w:sz w:val="20"/>
                <w:szCs w:val="20"/>
                <w:color w:val="auto"/>
              </w:rPr>
            </w:pPr>
            <w:r>
              <w:rPr>
                <w:rFonts w:ascii="Arial" w:cs="Arial" w:eastAsia="Arial" w:hAnsi="Arial"/>
                <w:sz w:val="16"/>
                <w:szCs w:val="16"/>
                <w:color w:val="auto"/>
              </w:rPr>
              <w:t>Common stock dividends and distributions</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2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March 31, 2019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1,870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373</w:t>
            </w:r>
          </w:p>
        </w:tc>
        <w:tc>
          <w:tcPr>
            <w:tcW w:w="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2,145</w:t>
            </w:r>
          </w:p>
        </w:tc>
        <w:tc>
          <w:tcPr>
            <w:tcW w:w="2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386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Net loss</w:t>
            </w: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 on derivatives, net of tax</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3860" w:type="dxa"/>
            <w:vAlign w:val="bottom"/>
          </w:tcPr>
          <w:p>
            <w:pPr>
              <w:spacing w:after="0"/>
              <w:rPr>
                <w:sz w:val="20"/>
                <w:szCs w:val="20"/>
                <w:color w:val="auto"/>
              </w:rPr>
            </w:pPr>
            <w:r>
              <w:rPr>
                <w:rFonts w:ascii="Arial" w:cs="Arial" w:eastAsia="Arial" w:hAnsi="Arial"/>
                <w:sz w:val="16"/>
                <w:szCs w:val="16"/>
                <w:color w:val="auto"/>
                <w:w w:val="96"/>
              </w:rPr>
              <w:t>Distributions from non-controlling interests, net of capital</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3860" w:type="dxa"/>
            <w:vAlign w:val="bottom"/>
          </w:tcPr>
          <w:p>
            <w:pPr>
              <w:ind w:left="160"/>
              <w:spacing w:after="0"/>
              <w:rPr>
                <w:sz w:val="20"/>
                <w:szCs w:val="20"/>
                <w:color w:val="auto"/>
              </w:rPr>
            </w:pPr>
            <w:r>
              <w:rPr>
                <w:rFonts w:ascii="Arial" w:cs="Arial" w:eastAsia="Arial" w:hAnsi="Arial"/>
                <w:sz w:val="16"/>
                <w:szCs w:val="16"/>
                <w:color w:val="auto"/>
              </w:rPr>
              <w:t>contributions, cash</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Contributions from CEG for Kawailoa, Repowering</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Partnerships, non-cash</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w w:val="99"/>
              </w:rPr>
              <w:t>Non-cash adjustment for change in tax basis of assets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r>
      <w:tr>
        <w:trPr>
          <w:trHeight w:val="203"/>
        </w:trPr>
        <w:tc>
          <w:tcPr>
            <w:tcW w:w="3880" w:type="dxa"/>
            <w:vAlign w:val="bottom"/>
            <w:gridSpan w:val="2"/>
          </w:tcPr>
          <w:p>
            <w:pPr>
              <w:spacing w:after="0"/>
              <w:rPr>
                <w:sz w:val="20"/>
                <w:szCs w:val="20"/>
                <w:color w:val="auto"/>
              </w:rPr>
            </w:pPr>
            <w:r>
              <w:rPr>
                <w:rFonts w:ascii="Arial" w:cs="Arial" w:eastAsia="Arial" w:hAnsi="Arial"/>
                <w:sz w:val="16"/>
                <w:szCs w:val="16"/>
                <w:color w:val="auto"/>
              </w:rPr>
              <w:t>Common stock dividends and distributions</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June 30, 2019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1,852</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322</w:t>
            </w:r>
          </w:p>
        </w:tc>
        <w:tc>
          <w:tcPr>
            <w:tcW w:w="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2,054</w:t>
            </w:r>
          </w:p>
        </w:tc>
        <w:tc>
          <w:tcPr>
            <w:tcW w:w="2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386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Net income (loss)</w:t>
            </w: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Unrealized loss on derivatives, net of tax</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3860" w:type="dxa"/>
            <w:vAlign w:val="bottom"/>
          </w:tcPr>
          <w:p>
            <w:pPr>
              <w:spacing w:after="0"/>
              <w:rPr>
                <w:sz w:val="20"/>
                <w:szCs w:val="20"/>
                <w:color w:val="auto"/>
              </w:rPr>
            </w:pPr>
            <w:r>
              <w:rPr>
                <w:rFonts w:ascii="Arial" w:cs="Arial" w:eastAsia="Arial" w:hAnsi="Arial"/>
                <w:sz w:val="16"/>
                <w:szCs w:val="16"/>
                <w:color w:val="auto"/>
                <w:w w:val="96"/>
              </w:rPr>
              <w:t>Distributions from non-controlling interests, net of capital</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3860" w:type="dxa"/>
            <w:vAlign w:val="bottom"/>
          </w:tcPr>
          <w:p>
            <w:pPr>
              <w:ind w:left="160"/>
              <w:spacing w:after="0"/>
              <w:rPr>
                <w:sz w:val="20"/>
                <w:szCs w:val="20"/>
                <w:color w:val="auto"/>
              </w:rPr>
            </w:pPr>
            <w:r>
              <w:rPr>
                <w:rFonts w:ascii="Arial" w:cs="Arial" w:eastAsia="Arial" w:hAnsi="Arial"/>
                <w:sz w:val="16"/>
                <w:szCs w:val="16"/>
                <w:color w:val="auto"/>
              </w:rPr>
              <w:t>contributions, cash</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Contributions from CEG for Kawailoa, Repowering</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Partnerships, non-cash</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w w:val="99"/>
              </w:rPr>
              <w:t>Non-cash adjustment for change in tax basis of assets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r>
      <w:tr>
        <w:trPr>
          <w:trHeight w:val="203"/>
        </w:trPr>
        <w:tc>
          <w:tcPr>
            <w:tcW w:w="3880" w:type="dxa"/>
            <w:vAlign w:val="bottom"/>
            <w:gridSpan w:val="2"/>
          </w:tcPr>
          <w:p>
            <w:pPr>
              <w:spacing w:after="0"/>
              <w:rPr>
                <w:sz w:val="20"/>
                <w:szCs w:val="20"/>
                <w:color w:val="auto"/>
              </w:rPr>
            </w:pPr>
            <w:r>
              <w:rPr>
                <w:rFonts w:ascii="Arial" w:cs="Arial" w:eastAsia="Arial" w:hAnsi="Arial"/>
                <w:sz w:val="16"/>
                <w:szCs w:val="16"/>
                <w:color w:val="auto"/>
              </w:rPr>
              <w:t>Common stock dividends and distributions</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2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September 30, 2019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1,830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298</w:t>
            </w:r>
          </w:p>
        </w:tc>
        <w:tc>
          <w:tcPr>
            <w:tcW w:w="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2,046</w:t>
            </w:r>
          </w:p>
        </w:tc>
        <w:tc>
          <w:tcPr>
            <w:tcW w:w="20" w:type="dxa"/>
            <w:vAlign w:val="bottom"/>
          </w:tcPr>
          <w:p>
            <w:pPr>
              <w:spacing w:after="0"/>
              <w:rPr>
                <w:sz w:val="20"/>
                <w:szCs w:val="20"/>
                <w:color w:val="auto"/>
              </w:rPr>
            </w:pPr>
          </w:p>
        </w:tc>
      </w:tr>
      <w:tr>
        <w:trPr>
          <w:trHeight w:val="413"/>
        </w:trPr>
        <w:tc>
          <w:tcPr>
            <w:tcW w:w="20" w:type="dxa"/>
            <w:vAlign w:val="bottom"/>
          </w:tcPr>
          <w:p>
            <w:pPr>
              <w:spacing w:after="0"/>
              <w:rPr>
                <w:sz w:val="24"/>
                <w:szCs w:val="24"/>
                <w:color w:val="auto"/>
              </w:rPr>
            </w:pPr>
          </w:p>
        </w:tc>
        <w:tc>
          <w:tcPr>
            <w:tcW w:w="38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3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bl>
    <w:p>
      <w:pPr>
        <w:sectPr>
          <w:pgSz w:w="11900" w:h="16838" w:orient="portrait"/>
          <w:cols w:equalWidth="0" w:num="1">
            <w:col w:w="11440"/>
          </w:cols>
          <w:pgMar w:left="240" w:top="580" w:right="21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Nine months ended September 30, 2018</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w w:val="92"/>
              </w:rPr>
              <w:t>Preferred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w w:val="92"/>
              </w:rPr>
              <w:t>Common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w w:val="99"/>
              </w:rPr>
              <w:t>Additional</w:t>
            </w:r>
          </w:p>
        </w:tc>
        <w:tc>
          <w:tcPr>
            <w:tcW w:w="120" w:type="dxa"/>
            <w:vAlign w:val="bottom"/>
          </w:tcPr>
          <w:p>
            <w:pPr>
              <w:spacing w:after="0"/>
              <w:rPr>
                <w:sz w:val="17"/>
                <w:szCs w:val="17"/>
                <w:color w:val="auto"/>
              </w:rPr>
            </w:pPr>
          </w:p>
        </w:tc>
        <w:tc>
          <w:tcPr>
            <w:tcW w:w="1000" w:type="dxa"/>
            <w:vAlign w:val="bottom"/>
            <w:gridSpan w:val="3"/>
          </w:tcPr>
          <w:p>
            <w:pPr>
              <w:spacing w:after="0"/>
              <w:rPr>
                <w:sz w:val="20"/>
                <w:szCs w:val="20"/>
                <w:color w:val="auto"/>
              </w:rPr>
            </w:pPr>
            <w:r>
              <w:rPr>
                <w:rFonts w:ascii="Arial" w:cs="Arial" w:eastAsia="Arial" w:hAnsi="Arial"/>
                <w:sz w:val="16"/>
                <w:szCs w:val="16"/>
                <w:b w:val="1"/>
                <w:bCs w:val="1"/>
                <w:color w:val="auto"/>
                <w:w w:val="97"/>
              </w:rPr>
              <w:t>Accumulated</w:t>
            </w:r>
          </w:p>
        </w:tc>
        <w:tc>
          <w:tcPr>
            <w:tcW w:w="1080" w:type="dxa"/>
            <w:vAlign w:val="bottom"/>
            <w:gridSpan w:val="2"/>
          </w:tcPr>
          <w:p>
            <w:pPr>
              <w:spacing w:after="0"/>
              <w:rPr>
                <w:sz w:val="20"/>
                <w:szCs w:val="20"/>
                <w:color w:val="auto"/>
              </w:rPr>
            </w:pPr>
            <w:r>
              <w:rPr>
                <w:rFonts w:ascii="Arial" w:cs="Arial" w:eastAsia="Arial" w:hAnsi="Arial"/>
                <w:sz w:val="16"/>
                <w:szCs w:val="16"/>
                <w:b w:val="1"/>
                <w:bCs w:val="1"/>
                <w:color w:val="auto"/>
                <w:w w:val="88"/>
              </w:rPr>
              <w:t>Comprehensive</w:t>
            </w:r>
          </w:p>
        </w:tc>
        <w:tc>
          <w:tcPr>
            <w:tcW w:w="1200" w:type="dxa"/>
            <w:vAlign w:val="bottom"/>
            <w:gridSpan w:val="4"/>
          </w:tcPr>
          <w:p>
            <w:pPr>
              <w:ind w:left="120"/>
              <w:spacing w:after="0"/>
              <w:rPr>
                <w:sz w:val="20"/>
                <w:szCs w:val="20"/>
                <w:color w:val="auto"/>
              </w:rPr>
            </w:pPr>
            <w:r>
              <w:rPr>
                <w:rFonts w:ascii="Arial" w:cs="Arial" w:eastAsia="Arial" w:hAnsi="Arial"/>
                <w:sz w:val="16"/>
                <w:szCs w:val="16"/>
                <w:b w:val="1"/>
                <w:bCs w:val="1"/>
                <w:color w:val="auto"/>
                <w:w w:val="93"/>
              </w:rPr>
              <w:t>Noncontrolling</w:t>
            </w:r>
          </w:p>
        </w:tc>
        <w:tc>
          <w:tcPr>
            <w:tcW w:w="1000" w:type="dxa"/>
            <w:vAlign w:val="bottom"/>
            <w:gridSpan w:val="4"/>
          </w:tcPr>
          <w:p>
            <w:pPr>
              <w:ind w:left="40"/>
              <w:spacing w:after="0"/>
              <w:rPr>
                <w:sz w:val="20"/>
                <w:szCs w:val="20"/>
                <w:color w:val="auto"/>
              </w:rPr>
            </w:pPr>
            <w:r>
              <w:rPr>
                <w:rFonts w:ascii="Arial" w:cs="Arial" w:eastAsia="Arial" w:hAnsi="Arial"/>
                <w:sz w:val="16"/>
                <w:szCs w:val="16"/>
                <w:b w:val="1"/>
                <w:bCs w:val="1"/>
                <w:color w:val="auto"/>
                <w:w w:val="89"/>
              </w:rPr>
              <w:t>Stockholders'</w:t>
            </w:r>
          </w:p>
        </w:tc>
      </w:tr>
      <w:tr>
        <w:trPr>
          <w:trHeight w:val="216"/>
        </w:trPr>
        <w:tc>
          <w:tcPr>
            <w:tcW w:w="3920" w:type="dxa"/>
            <w:vAlign w:val="bottom"/>
            <w:gridSpan w:val="2"/>
          </w:tcPr>
          <w:p>
            <w:pPr>
              <w:spacing w:after="0"/>
              <w:rPr>
                <w:sz w:val="20"/>
                <w:szCs w:val="20"/>
                <w:color w:val="auto"/>
              </w:rPr>
            </w:pPr>
            <w:r>
              <w:rPr>
                <w:rFonts w:ascii="Arial" w:cs="Arial" w:eastAsia="Arial" w:hAnsi="Arial"/>
                <w:sz w:val="16"/>
                <w:szCs w:val="16"/>
                <w:i w:val="1"/>
                <w:iCs w:val="1"/>
                <w:color w:val="auto"/>
              </w:rPr>
              <w:t>(In millions)</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Stock</w:t>
            </w:r>
          </w:p>
        </w:tc>
        <w:tc>
          <w:tcPr>
            <w:tcW w:w="100" w:type="dxa"/>
            <w:vAlign w:val="bottom"/>
          </w:tcPr>
          <w:p>
            <w:pPr>
              <w:spacing w:after="0"/>
              <w:rPr>
                <w:sz w:val="18"/>
                <w:szCs w:val="18"/>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5"/>
              </w:rPr>
              <w:t>Paid-In Capital</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Deficit</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Loss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Interest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Equity</w:t>
            </w:r>
          </w:p>
        </w:tc>
        <w:tc>
          <w:tcPr>
            <w:tcW w:w="2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December 31, 2017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1,843</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412</w:t>
            </w: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2,159</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Net income (loss)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w w:val="94"/>
              </w:rPr>
              <w:t>Pre-acquisition net income of Buckthorn Solar Drop Down</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Asset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Unrealized gain on derivatives, net of tax</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Payment for the Buckthorn Solar Drop Down Asset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Capital contributions from tax equity investors, net of</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3900" w:type="dxa"/>
            <w:vAlign w:val="bottom"/>
          </w:tcPr>
          <w:p>
            <w:pPr>
              <w:ind w:left="160"/>
              <w:spacing w:after="0"/>
              <w:rPr>
                <w:sz w:val="20"/>
                <w:szCs w:val="20"/>
                <w:color w:val="auto"/>
              </w:rPr>
            </w:pPr>
            <w:r>
              <w:rPr>
                <w:rFonts w:ascii="Arial" w:cs="Arial" w:eastAsia="Arial" w:hAnsi="Arial"/>
                <w:sz w:val="16"/>
                <w:szCs w:val="16"/>
                <w:color w:val="auto"/>
              </w:rPr>
              <w:t>distributions, cash</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Distributions and return of capital to NRG, net of</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contributions, cash</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Proceeds from the issuance of Class C common stock</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w w:val="96"/>
              </w:rPr>
              <w:t>Non-cash adjustment for change in tax basis of property,</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plant and equipment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r>
      <w:tr>
        <w:trPr>
          <w:trHeight w:val="203"/>
        </w:trPr>
        <w:tc>
          <w:tcPr>
            <w:tcW w:w="3920" w:type="dxa"/>
            <w:vAlign w:val="bottom"/>
            <w:gridSpan w:val="2"/>
          </w:tcPr>
          <w:p>
            <w:pPr>
              <w:spacing w:after="0"/>
              <w:rPr>
                <w:sz w:val="20"/>
                <w:szCs w:val="20"/>
                <w:color w:val="auto"/>
              </w:rPr>
            </w:pPr>
            <w:r>
              <w:rPr>
                <w:rFonts w:ascii="Arial" w:cs="Arial" w:eastAsia="Arial" w:hAnsi="Arial"/>
                <w:sz w:val="16"/>
                <w:szCs w:val="16"/>
                <w:color w:val="auto"/>
              </w:rPr>
              <w:t>Common stock dividends and distributions</w:t>
            </w: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March 31, 2018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1,827</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371</w:t>
            </w:r>
          </w:p>
        </w:tc>
        <w:tc>
          <w:tcPr>
            <w:tcW w:w="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2,126</w:t>
            </w:r>
          </w:p>
        </w:tc>
        <w:tc>
          <w:tcPr>
            <w:tcW w:w="2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390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Net income</w:t>
            </w: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w:t>
            </w: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w:t>
            </w:r>
          </w:p>
        </w:tc>
        <w:tc>
          <w:tcPr>
            <w:tcW w:w="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 on derivatives, net of tax</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Payment for the UPMC Drop Down Asset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Capital contributions from tax equity investors, net of</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distributions, cash</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20" w:type="dxa"/>
            <w:vAlign w:val="bottom"/>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Distributions and return of capital to NRG, net of</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3900" w:type="dxa"/>
            <w:vAlign w:val="bottom"/>
          </w:tcPr>
          <w:p>
            <w:pPr>
              <w:ind w:left="160"/>
              <w:spacing w:after="0"/>
              <w:rPr>
                <w:sz w:val="20"/>
                <w:szCs w:val="20"/>
                <w:color w:val="auto"/>
              </w:rPr>
            </w:pPr>
            <w:r>
              <w:rPr>
                <w:rFonts w:ascii="Arial" w:cs="Arial" w:eastAsia="Arial" w:hAnsi="Arial"/>
                <w:sz w:val="16"/>
                <w:szCs w:val="16"/>
                <w:color w:val="auto"/>
              </w:rPr>
              <w:t>contributions, cash</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Proceeds from the issuance of Class C common stock</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w w:val="96"/>
              </w:rPr>
              <w:t>Non-cash adjustment for change in tax basis of property,</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plant and equipment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03"/>
        </w:trPr>
        <w:tc>
          <w:tcPr>
            <w:tcW w:w="3920" w:type="dxa"/>
            <w:vAlign w:val="bottom"/>
            <w:gridSpan w:val="2"/>
          </w:tcPr>
          <w:p>
            <w:pPr>
              <w:spacing w:after="0"/>
              <w:rPr>
                <w:sz w:val="20"/>
                <w:szCs w:val="20"/>
                <w:color w:val="auto"/>
              </w:rPr>
            </w:pPr>
            <w:r>
              <w:rPr>
                <w:rFonts w:ascii="Arial" w:cs="Arial" w:eastAsia="Arial" w:hAnsi="Arial"/>
                <w:sz w:val="16"/>
                <w:szCs w:val="16"/>
                <w:color w:val="auto"/>
              </w:rPr>
              <w:t>Common stock dividends and distributions</w:t>
            </w: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2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June 30, 2018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1,859</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419</w:t>
            </w:r>
          </w:p>
        </w:tc>
        <w:tc>
          <w:tcPr>
            <w:tcW w:w="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2,288</w:t>
            </w:r>
          </w:p>
        </w:tc>
        <w:tc>
          <w:tcPr>
            <w:tcW w:w="2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390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Net income</w:t>
            </w: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w:t>
            </w: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 on derivatives, net of tax</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Capital contributions from tax equity investors, net of</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3900" w:type="dxa"/>
            <w:vAlign w:val="bottom"/>
          </w:tcPr>
          <w:p>
            <w:pPr>
              <w:ind w:left="160"/>
              <w:spacing w:after="0"/>
              <w:rPr>
                <w:sz w:val="20"/>
                <w:szCs w:val="20"/>
                <w:color w:val="auto"/>
              </w:rPr>
            </w:pPr>
            <w:r>
              <w:rPr>
                <w:rFonts w:ascii="Arial" w:cs="Arial" w:eastAsia="Arial" w:hAnsi="Arial"/>
                <w:sz w:val="16"/>
                <w:szCs w:val="16"/>
                <w:color w:val="auto"/>
              </w:rPr>
              <w:t>distributions, noncash</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Proceeds from the issuance of Class C common stock</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76</w:t>
            </w:r>
          </w:p>
        </w:tc>
        <w:tc>
          <w:tcPr>
            <w:tcW w:w="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w w:val="96"/>
              </w:rPr>
              <w:t>Non-cash adjustment for change in tax basis of property,</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plant and equipment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r>
      <w:tr>
        <w:trPr>
          <w:trHeight w:val="203"/>
        </w:trPr>
        <w:tc>
          <w:tcPr>
            <w:tcW w:w="3920" w:type="dxa"/>
            <w:vAlign w:val="bottom"/>
            <w:gridSpan w:val="2"/>
          </w:tcPr>
          <w:p>
            <w:pPr>
              <w:spacing w:after="0"/>
              <w:rPr>
                <w:sz w:val="20"/>
                <w:szCs w:val="20"/>
                <w:color w:val="auto"/>
              </w:rPr>
            </w:pPr>
            <w:r>
              <w:rPr>
                <w:rFonts w:ascii="Arial" w:cs="Arial" w:eastAsia="Arial" w:hAnsi="Arial"/>
                <w:sz w:val="16"/>
                <w:szCs w:val="16"/>
                <w:color w:val="auto"/>
              </w:rPr>
              <w:t>Common stock dividends and distributions</w:t>
            </w: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September 30, 2018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1,935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440</w:t>
            </w:r>
          </w:p>
        </w:tc>
        <w:tc>
          <w:tcPr>
            <w:tcW w:w="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2,375</w:t>
            </w:r>
          </w:p>
        </w:tc>
        <w:tc>
          <w:tcPr>
            <w:tcW w:w="20" w:type="dxa"/>
            <w:vAlign w:val="bottom"/>
          </w:tcPr>
          <w:p>
            <w:pPr>
              <w:spacing w:after="0"/>
              <w:rPr>
                <w:sz w:val="20"/>
                <w:szCs w:val="20"/>
                <w:color w:val="auto"/>
              </w:rPr>
            </w:pPr>
          </w:p>
        </w:tc>
      </w:tr>
      <w:tr>
        <w:trPr>
          <w:trHeight w:val="413"/>
        </w:trPr>
        <w:tc>
          <w:tcPr>
            <w:tcW w:w="20" w:type="dxa"/>
            <w:vAlign w:val="bottom"/>
          </w:tcPr>
          <w:p>
            <w:pPr>
              <w:spacing w:after="0"/>
              <w:rPr>
                <w:sz w:val="24"/>
                <w:szCs w:val="24"/>
                <w:color w:val="auto"/>
              </w:rPr>
            </w:pPr>
          </w:p>
        </w:tc>
        <w:tc>
          <w:tcPr>
            <w:tcW w:w="39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39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bl>
    <w:p>
      <w:pPr>
        <w:sectPr>
          <w:pgSz w:w="11900" w:h="16838" w:orient="portrait"/>
          <w:cols w:equalWidth="0" w:num="1">
            <w:col w:w="11440"/>
          </w:cols>
          <w:pgMar w:left="240" w:top="580" w:right="2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Appendix Table A-1: Three Months Ended September 30,2019, Segment Adjusted EBITDA Reconciliation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calculation of Adjusted EBITDA and provides a reconciliation to Net Income (Loss):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1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 in millions)</w:t>
            </w:r>
          </w:p>
        </w:tc>
        <w:tc>
          <w:tcPr>
            <w:tcW w:w="100" w:type="dxa"/>
            <w:vAlign w:val="bottom"/>
          </w:tcPr>
          <w:p>
            <w:pPr>
              <w:spacing w:after="0"/>
              <w:rPr>
                <w:sz w:val="18"/>
                <w:szCs w:val="18"/>
                <w:color w:val="auto"/>
              </w:rPr>
            </w:pPr>
          </w:p>
        </w:tc>
        <w:tc>
          <w:tcPr>
            <w:tcW w:w="9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0"/>
              </w:rPr>
              <w:t>Conventional</w:t>
            </w:r>
          </w:p>
        </w:tc>
        <w:tc>
          <w:tcPr>
            <w:tcW w:w="100" w:type="dxa"/>
            <w:vAlign w:val="bottom"/>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Renewables</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99"/>
              </w:rPr>
              <w:t>Thermal</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Corporate</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Total</w:t>
            </w: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440" w:type="dxa"/>
            <w:vAlign w:val="bottom"/>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10"/>
        </w:trPr>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Plus:</w:t>
            </w: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216"/>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14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104</w:t>
            </w:r>
          </w:p>
        </w:tc>
      </w:tr>
      <w:tr>
        <w:trPr>
          <w:trHeight w:val="216"/>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Amortization, and ARO</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r>
      <w:tr>
        <w:trPr>
          <w:trHeight w:val="216"/>
        </w:trPr>
        <w:tc>
          <w:tcPr>
            <w:tcW w:w="5140" w:type="dxa"/>
            <w:vAlign w:val="bottom"/>
          </w:tcPr>
          <w:p>
            <w:pPr>
              <w:ind w:left="160"/>
              <w:spacing w:after="0"/>
              <w:rPr>
                <w:sz w:val="20"/>
                <w:szCs w:val="20"/>
                <w:color w:val="auto"/>
              </w:rPr>
            </w:pPr>
            <w:r>
              <w:rPr>
                <w:rFonts w:ascii="Arial" w:cs="Arial" w:eastAsia="Arial" w:hAnsi="Arial"/>
                <w:sz w:val="18"/>
                <w:szCs w:val="18"/>
                <w:color w:val="auto"/>
              </w:rPr>
              <w:t>Contract Amortization</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16"/>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 to Market (MtM) Losses on economic hedges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16"/>
        </w:trPr>
        <w:tc>
          <w:tcPr>
            <w:tcW w:w="5140" w:type="dxa"/>
            <w:vAlign w:val="bottom"/>
          </w:tcPr>
          <w:p>
            <w:pPr>
              <w:ind w:left="160"/>
              <w:spacing w:after="0"/>
              <w:rPr>
                <w:sz w:val="20"/>
                <w:szCs w:val="20"/>
                <w:color w:val="auto"/>
              </w:rPr>
            </w:pPr>
            <w:r>
              <w:rPr>
                <w:rFonts w:ascii="Arial" w:cs="Arial" w:eastAsia="Arial" w:hAnsi="Arial"/>
                <w:sz w:val="18"/>
                <w:szCs w:val="18"/>
                <w:color w:val="auto"/>
              </w:rPr>
              <w:t>Other non-recurring charges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02"/>
        </w:trPr>
        <w:tc>
          <w:tcPr>
            <w:tcW w:w="51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Adjustments to reflect CWEN’s pro-rata share of Adjusted EBITDA</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from Unconsolidated Affiliates</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r>
      <w:tr>
        <w:trPr>
          <w:trHeight w:val="216"/>
        </w:trPr>
        <w:tc>
          <w:tcPr>
            <w:tcW w:w="51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Non-Cash Equity Compensation</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r>
      <w:tr>
        <w:trPr>
          <w:trHeight w:val="230"/>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300</w:t>
            </w:r>
          </w:p>
        </w:tc>
      </w:tr>
      <w:tr>
        <w:trPr>
          <w:trHeight w:val="20"/>
        </w:trPr>
        <w:tc>
          <w:tcPr>
            <w:tcW w:w="5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Table A-2: Three Months Ended September 30,2018, Segment Adjusted EBITDA Reconciliation</w:t>
      </w:r>
    </w:p>
    <w:p>
      <w:pPr>
        <w:spacing w:after="0" w:line="60"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summarizes the calculation of Adjusted EBITDA and provides a reconciliation to Net Income/(Loss):</w:t>
      </w:r>
    </w:p>
    <w:p>
      <w:pPr>
        <w:spacing w:after="0" w:line="28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1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 in millions)</w:t>
            </w:r>
          </w:p>
        </w:tc>
        <w:tc>
          <w:tcPr>
            <w:tcW w:w="100" w:type="dxa"/>
            <w:vAlign w:val="bottom"/>
          </w:tcPr>
          <w:p>
            <w:pPr>
              <w:spacing w:after="0"/>
              <w:rPr>
                <w:sz w:val="18"/>
                <w:szCs w:val="18"/>
                <w:color w:val="auto"/>
              </w:rPr>
            </w:pPr>
          </w:p>
        </w:tc>
        <w:tc>
          <w:tcPr>
            <w:tcW w:w="9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0"/>
              </w:rPr>
              <w:t>Conventional</w:t>
            </w:r>
          </w:p>
        </w:tc>
        <w:tc>
          <w:tcPr>
            <w:tcW w:w="100" w:type="dxa"/>
            <w:vAlign w:val="bottom"/>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Renewables</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99"/>
              </w:rPr>
              <w:t>Thermal</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Corporate</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Total</w:t>
            </w: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440" w:type="dxa"/>
            <w:vAlign w:val="bottom"/>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r>
      <w:tr>
        <w:trPr>
          <w:trHeight w:val="210"/>
        </w:trPr>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Plus:</w:t>
            </w: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216"/>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16"/>
        </w:trPr>
        <w:tc>
          <w:tcPr>
            <w:tcW w:w="514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73</w:t>
            </w:r>
          </w:p>
        </w:tc>
      </w:tr>
      <w:tr>
        <w:trPr>
          <w:trHeight w:val="216"/>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Amortization, and ARO</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r>
      <w:tr>
        <w:trPr>
          <w:trHeight w:val="216"/>
        </w:trPr>
        <w:tc>
          <w:tcPr>
            <w:tcW w:w="5140" w:type="dxa"/>
            <w:vAlign w:val="bottom"/>
          </w:tcPr>
          <w:p>
            <w:pPr>
              <w:ind w:left="160"/>
              <w:spacing w:after="0"/>
              <w:rPr>
                <w:sz w:val="20"/>
                <w:szCs w:val="20"/>
                <w:color w:val="auto"/>
              </w:rPr>
            </w:pPr>
            <w:r>
              <w:rPr>
                <w:rFonts w:ascii="Arial" w:cs="Arial" w:eastAsia="Arial" w:hAnsi="Arial"/>
                <w:sz w:val="18"/>
                <w:szCs w:val="18"/>
                <w:color w:val="auto"/>
              </w:rPr>
              <w:t>Contract Amortization</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16"/>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Acquisition-related transaction and integration costs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16"/>
        </w:trPr>
        <w:tc>
          <w:tcPr>
            <w:tcW w:w="5140" w:type="dxa"/>
            <w:vAlign w:val="bottom"/>
          </w:tcPr>
          <w:p>
            <w:pPr>
              <w:ind w:left="160"/>
              <w:spacing w:after="0"/>
              <w:rPr>
                <w:sz w:val="20"/>
                <w:szCs w:val="20"/>
                <w:color w:val="auto"/>
              </w:rPr>
            </w:pPr>
            <w:r>
              <w:rPr>
                <w:rFonts w:ascii="Arial" w:cs="Arial" w:eastAsia="Arial" w:hAnsi="Arial"/>
                <w:sz w:val="18"/>
                <w:szCs w:val="18"/>
                <w:color w:val="auto"/>
              </w:rPr>
              <w:t>Other non-recurring charges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02"/>
        </w:trPr>
        <w:tc>
          <w:tcPr>
            <w:tcW w:w="51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Adjustments to reflect CWEN’s pro-rata share of Adjusted EBITDA</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from Unconsolidated Affiliates</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r>
      <w:tr>
        <w:trPr>
          <w:trHeight w:val="216"/>
        </w:trPr>
        <w:tc>
          <w:tcPr>
            <w:tcW w:w="51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Non-Cash Equity Compensation</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r>
      <w:tr>
        <w:trPr>
          <w:trHeight w:val="230"/>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290</w:t>
            </w:r>
          </w:p>
        </w:tc>
      </w:tr>
      <w:tr>
        <w:trPr>
          <w:trHeight w:val="20"/>
        </w:trPr>
        <w:tc>
          <w:tcPr>
            <w:tcW w:w="5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Table A-3: Nine months ended September 30,2019, Segment Adjusted EBITDA Reconciliation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calculation of Adjusted EBITDA and provides a reconciliation to Net Income/(Loss):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1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 in millions)</w:t>
            </w:r>
          </w:p>
        </w:tc>
        <w:tc>
          <w:tcPr>
            <w:tcW w:w="100" w:type="dxa"/>
            <w:vAlign w:val="bottom"/>
          </w:tcPr>
          <w:p>
            <w:pPr>
              <w:spacing w:after="0"/>
              <w:rPr>
                <w:sz w:val="18"/>
                <w:szCs w:val="18"/>
                <w:color w:val="auto"/>
              </w:rPr>
            </w:pPr>
          </w:p>
        </w:tc>
        <w:tc>
          <w:tcPr>
            <w:tcW w:w="9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0"/>
              </w:rPr>
              <w:t>Conventional</w:t>
            </w:r>
          </w:p>
        </w:tc>
        <w:tc>
          <w:tcPr>
            <w:tcW w:w="100" w:type="dxa"/>
            <w:vAlign w:val="bottom"/>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Renewables</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99"/>
              </w:rPr>
              <w:t>Thermal</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Corporate</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Total</w:t>
            </w: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44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0"/>
        </w:trPr>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Plus:</w:t>
            </w: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216"/>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14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332</w:t>
            </w:r>
          </w:p>
        </w:tc>
      </w:tr>
      <w:tr>
        <w:trPr>
          <w:trHeight w:val="216"/>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Amortization, and ARO</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289</w:t>
            </w:r>
          </w:p>
        </w:tc>
      </w:tr>
      <w:tr>
        <w:trPr>
          <w:trHeight w:val="216"/>
        </w:trPr>
        <w:tc>
          <w:tcPr>
            <w:tcW w:w="5140" w:type="dxa"/>
            <w:vAlign w:val="bottom"/>
          </w:tcPr>
          <w:p>
            <w:pPr>
              <w:ind w:left="160"/>
              <w:spacing w:after="0"/>
              <w:rPr>
                <w:sz w:val="20"/>
                <w:szCs w:val="20"/>
                <w:color w:val="auto"/>
              </w:rPr>
            </w:pPr>
            <w:r>
              <w:rPr>
                <w:rFonts w:ascii="Arial" w:cs="Arial" w:eastAsia="Arial" w:hAnsi="Arial"/>
                <w:sz w:val="18"/>
                <w:szCs w:val="18"/>
                <w:color w:val="auto"/>
              </w:rPr>
              <w:t>Contract Amortization</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52</w:t>
            </w:r>
          </w:p>
        </w:tc>
      </w:tr>
      <w:tr>
        <w:trPr>
          <w:trHeight w:val="216"/>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Losses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16"/>
        </w:trPr>
        <w:tc>
          <w:tcPr>
            <w:tcW w:w="5140" w:type="dxa"/>
            <w:vAlign w:val="bottom"/>
          </w:tcPr>
          <w:p>
            <w:pPr>
              <w:ind w:left="160"/>
              <w:spacing w:after="0"/>
              <w:rPr>
                <w:sz w:val="20"/>
                <w:szCs w:val="20"/>
                <w:color w:val="auto"/>
              </w:rPr>
            </w:pPr>
            <w:r>
              <w:rPr>
                <w:rFonts w:ascii="Arial" w:cs="Arial" w:eastAsia="Arial" w:hAnsi="Arial"/>
                <w:sz w:val="18"/>
                <w:szCs w:val="18"/>
                <w:color w:val="auto"/>
              </w:rPr>
              <w:t>Loss on Debt Extinguishment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16"/>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 to Market (MtM) Losses on economic hedges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r>
      <w:tr>
        <w:trPr>
          <w:trHeight w:val="216"/>
        </w:trPr>
        <w:tc>
          <w:tcPr>
            <w:tcW w:w="5140" w:type="dxa"/>
            <w:vAlign w:val="bottom"/>
          </w:tcPr>
          <w:p>
            <w:pPr>
              <w:ind w:left="160"/>
              <w:spacing w:after="0"/>
              <w:rPr>
                <w:sz w:val="20"/>
                <w:szCs w:val="20"/>
                <w:color w:val="auto"/>
              </w:rPr>
            </w:pPr>
            <w:r>
              <w:rPr>
                <w:rFonts w:ascii="Arial" w:cs="Arial" w:eastAsia="Arial" w:hAnsi="Arial"/>
                <w:sz w:val="18"/>
                <w:szCs w:val="18"/>
                <w:color w:val="auto"/>
              </w:rPr>
              <w:t>Acquisition-related transaction and integration costs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16"/>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non-recurring charges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02"/>
        </w:trPr>
        <w:tc>
          <w:tcPr>
            <w:tcW w:w="5140" w:type="dxa"/>
            <w:vAlign w:val="bottom"/>
          </w:tcPr>
          <w:p>
            <w:pPr>
              <w:ind w:left="160"/>
              <w:spacing w:after="0" w:line="201" w:lineRule="exact"/>
              <w:rPr>
                <w:sz w:val="20"/>
                <w:szCs w:val="20"/>
                <w:color w:val="auto"/>
              </w:rPr>
            </w:pPr>
            <w:r>
              <w:rPr>
                <w:rFonts w:ascii="Arial" w:cs="Arial" w:eastAsia="Arial" w:hAnsi="Arial"/>
                <w:sz w:val="18"/>
                <w:szCs w:val="18"/>
                <w:color w:val="auto"/>
                <w:w w:val="93"/>
              </w:rPr>
              <w:t>Adjustments to reflect CWEN’s pro-rata share of Adjusted EBITDA</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5140" w:type="dxa"/>
            <w:vAlign w:val="bottom"/>
          </w:tcPr>
          <w:p>
            <w:pPr>
              <w:ind w:left="320"/>
              <w:spacing w:after="0"/>
              <w:rPr>
                <w:sz w:val="20"/>
                <w:szCs w:val="20"/>
                <w:color w:val="auto"/>
              </w:rPr>
            </w:pPr>
            <w:r>
              <w:rPr>
                <w:rFonts w:ascii="Arial" w:cs="Arial" w:eastAsia="Arial" w:hAnsi="Arial"/>
                <w:sz w:val="18"/>
                <w:szCs w:val="18"/>
                <w:color w:val="auto"/>
              </w:rPr>
              <w:t>from Unconsolidated Affiliates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121</w:t>
            </w:r>
          </w:p>
        </w:tc>
      </w:tr>
      <w:tr>
        <w:trPr>
          <w:trHeight w:val="216"/>
        </w:trPr>
        <w:tc>
          <w:tcPr>
            <w:tcW w:w="51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Non-Cash Equity Compensation</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10"/>
        </w:trPr>
        <w:tc>
          <w:tcPr>
            <w:tcW w:w="51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44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b w:val="1"/>
                <w:bCs w:val="1"/>
                <w:color w:val="auto"/>
              </w:rPr>
              <w:t>230</w:t>
            </w:r>
          </w:p>
        </w:tc>
        <w:tc>
          <w:tcPr>
            <w:tcW w:w="440" w:type="dxa"/>
            <w:vAlign w:val="bottom"/>
            <w:gridSpan w:val="2"/>
          </w:tcPr>
          <w:p>
            <w:pPr>
              <w:jc w:val="right"/>
              <w:ind w:right="159"/>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503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b w:val="1"/>
                <w:bCs w:val="1"/>
                <w:color w:val="auto"/>
              </w:rPr>
              <w:t>50</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b w:val="1"/>
                <w:bCs w:val="1"/>
                <w:color w:val="auto"/>
              </w:rPr>
              <w:t>769</w:t>
            </w:r>
          </w:p>
        </w:tc>
      </w:tr>
      <w:tr>
        <w:trPr>
          <w:trHeight w:val="20"/>
        </w:trPr>
        <w:tc>
          <w:tcPr>
            <w:tcW w:w="5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Appendix Table A-4: Nine months ended September 30,2018, Segment Adjusted EBITDA Reconciliation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calculation of Adjusted EBITDA and provides a reconciliation to Net Income/(Loss):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1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 in millions)</w:t>
            </w:r>
          </w:p>
        </w:tc>
        <w:tc>
          <w:tcPr>
            <w:tcW w:w="100" w:type="dxa"/>
            <w:vAlign w:val="bottom"/>
          </w:tcPr>
          <w:p>
            <w:pPr>
              <w:spacing w:after="0"/>
              <w:rPr>
                <w:sz w:val="18"/>
                <w:szCs w:val="18"/>
                <w:color w:val="auto"/>
              </w:rPr>
            </w:pPr>
          </w:p>
        </w:tc>
        <w:tc>
          <w:tcPr>
            <w:tcW w:w="9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0"/>
              </w:rPr>
              <w:t>Conventional</w:t>
            </w:r>
          </w:p>
        </w:tc>
        <w:tc>
          <w:tcPr>
            <w:tcW w:w="100" w:type="dxa"/>
            <w:vAlign w:val="bottom"/>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Renewables</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99"/>
              </w:rPr>
              <w:t>Thermal</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Corporate</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Total</w:t>
            </w: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440" w:type="dxa"/>
            <w:vAlign w:val="bottom"/>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r>
      <w:tr>
        <w:trPr>
          <w:trHeight w:val="210"/>
        </w:trPr>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Plus:</w:t>
            </w: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216"/>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16"/>
        </w:trPr>
        <w:tc>
          <w:tcPr>
            <w:tcW w:w="514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197</w:t>
            </w:r>
          </w:p>
        </w:tc>
      </w:tr>
      <w:tr>
        <w:trPr>
          <w:trHeight w:val="216"/>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Amortization, and ARO</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r>
      <w:tr>
        <w:trPr>
          <w:trHeight w:val="216"/>
        </w:trPr>
        <w:tc>
          <w:tcPr>
            <w:tcW w:w="5140" w:type="dxa"/>
            <w:vAlign w:val="bottom"/>
          </w:tcPr>
          <w:p>
            <w:pPr>
              <w:ind w:left="160"/>
              <w:spacing w:after="0"/>
              <w:rPr>
                <w:sz w:val="20"/>
                <w:szCs w:val="20"/>
                <w:color w:val="auto"/>
              </w:rPr>
            </w:pPr>
            <w:r>
              <w:rPr>
                <w:rFonts w:ascii="Arial" w:cs="Arial" w:eastAsia="Arial" w:hAnsi="Arial"/>
                <w:sz w:val="18"/>
                <w:szCs w:val="18"/>
                <w:color w:val="auto"/>
              </w:rPr>
              <w:t>Contract Amortization</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52</w:t>
            </w:r>
          </w:p>
        </w:tc>
      </w:tr>
      <w:tr>
        <w:trPr>
          <w:trHeight w:val="216"/>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Acquisition-related transaction and integration costs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16"/>
        </w:trPr>
        <w:tc>
          <w:tcPr>
            <w:tcW w:w="5140" w:type="dxa"/>
            <w:vAlign w:val="bottom"/>
          </w:tcPr>
          <w:p>
            <w:pPr>
              <w:ind w:left="160"/>
              <w:spacing w:after="0"/>
              <w:rPr>
                <w:sz w:val="20"/>
                <w:szCs w:val="20"/>
                <w:color w:val="auto"/>
              </w:rPr>
            </w:pPr>
            <w:r>
              <w:rPr>
                <w:rFonts w:ascii="Arial" w:cs="Arial" w:eastAsia="Arial" w:hAnsi="Arial"/>
                <w:sz w:val="18"/>
                <w:szCs w:val="18"/>
                <w:color w:val="auto"/>
              </w:rPr>
              <w:t>Other non-recurring charges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2"/>
        </w:trPr>
        <w:tc>
          <w:tcPr>
            <w:tcW w:w="51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Adjustments to reflect CWEN’s pro-rata share of Adjusted EBITDA</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from Unconsolidated Affiliates</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r>
      <w:tr>
        <w:trPr>
          <w:trHeight w:val="216"/>
        </w:trPr>
        <w:tc>
          <w:tcPr>
            <w:tcW w:w="51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Non-Cash Equity Compensation</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r>
      <w:tr>
        <w:trPr>
          <w:trHeight w:val="230"/>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783</w:t>
            </w:r>
          </w:p>
        </w:tc>
      </w:tr>
      <w:tr>
        <w:trPr>
          <w:trHeight w:val="20"/>
        </w:trPr>
        <w:tc>
          <w:tcPr>
            <w:tcW w:w="5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Table A-5: Cash Available for Distribution Reconciliation</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calculation of Cash Available for Distribution and provides a reconciliation to Cash from Operating Activities:</w:t>
      </w:r>
    </w:p>
    <w:p>
      <w:pPr>
        <w:spacing w:after="0" w:line="264"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6"/>
                <w:szCs w:val="16"/>
                <w:b w:val="1"/>
                <w:bCs w:val="1"/>
                <w:color w:val="auto"/>
              </w:rPr>
              <w:t>Nine months ended</w:t>
            </w:r>
          </w:p>
        </w:tc>
      </w:tr>
      <w:tr>
        <w:trPr>
          <w:trHeight w:val="202"/>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 in millions)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5"/>
              </w:rPr>
              <w:t>9/30/2019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6"/>
                <w:szCs w:val="16"/>
                <w:b w:val="1"/>
                <w:bCs w:val="1"/>
                <w:color w:val="auto"/>
                <w:w w:val="98"/>
              </w:rPr>
              <w:t>9/30/2018</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98"/>
              </w:rPr>
              <w:t>9/30/2019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6"/>
                <w:szCs w:val="16"/>
                <w:b w:val="1"/>
                <w:bCs w:val="1"/>
                <w:color w:val="auto"/>
                <w:w w:val="95"/>
              </w:rPr>
              <w:t>9/30/2018</w:t>
            </w: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783</w:t>
            </w:r>
          </w:p>
        </w:tc>
      </w:tr>
      <w:tr>
        <w:trPr>
          <w:trHeight w:val="210"/>
        </w:trPr>
        <w:tc>
          <w:tcPr>
            <w:tcW w:w="5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 interest paid</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w:t>
            </w: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prepaid and accrued liabilities for tolling agreements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Adjustments to reflect Walnut Creek investment payments</w:t>
            </w:r>
          </w:p>
        </w:tc>
        <w:tc>
          <w:tcPr>
            <w:tcW w:w="14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Pro-rata Adjusted EBITDA from unconsolidated affiliates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Distributions from unconsolidated affiliates</w:t>
            </w:r>
          </w:p>
        </w:tc>
        <w:tc>
          <w:tcPr>
            <w:tcW w:w="14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working capital and other</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5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0"/>
        </w:trPr>
        <w:tc>
          <w:tcPr>
            <w:tcW w:w="5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from Operating Activities</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396</w:t>
            </w:r>
          </w:p>
        </w:tc>
      </w:tr>
      <w:tr>
        <w:trPr>
          <w:trHeight w:val="210"/>
        </w:trPr>
        <w:tc>
          <w:tcPr>
            <w:tcW w:w="5860" w:type="dxa"/>
            <w:vAlign w:val="bottom"/>
            <w:gridSpan w:val="2"/>
          </w:tcPr>
          <w:p>
            <w:pPr>
              <w:spacing w:after="0"/>
              <w:rPr>
                <w:sz w:val="20"/>
                <w:szCs w:val="20"/>
                <w:color w:val="auto"/>
              </w:rPr>
            </w:pPr>
            <w:r>
              <w:rPr>
                <w:rFonts w:ascii="Arial" w:cs="Arial" w:eastAsia="Arial" w:hAnsi="Arial"/>
                <w:sz w:val="18"/>
                <w:szCs w:val="18"/>
                <w:color w:val="auto"/>
              </w:rPr>
              <w:t>Changes in working capital and other</w:t>
            </w:r>
          </w:p>
        </w:tc>
        <w:tc>
          <w:tcPr>
            <w:tcW w:w="14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43"/>
        </w:trPr>
        <w:tc>
          <w:tcPr>
            <w:tcW w:w="5860" w:type="dxa"/>
            <w:vAlign w:val="bottom"/>
            <w:gridSpan w:val="2"/>
            <w:shd w:val="clear" w:color="auto" w:fill="CCEEFF"/>
          </w:tcPr>
          <w:p>
            <w:pPr>
              <w:spacing w:after="0" w:line="242" w:lineRule="exact"/>
              <w:rPr>
                <w:sz w:val="20"/>
                <w:szCs w:val="20"/>
                <w:color w:val="auto"/>
              </w:rPr>
            </w:pPr>
            <w:r>
              <w:rPr>
                <w:rFonts w:ascii="Arial" w:cs="Arial" w:eastAsia="Arial" w:hAnsi="Arial"/>
                <w:sz w:val="18"/>
                <w:szCs w:val="18"/>
                <w:color w:val="auto"/>
              </w:rPr>
              <w:t xml:space="preserve">Development expenses </w:t>
            </w:r>
            <w:r>
              <w:rPr>
                <w:rFonts w:ascii="Arial" w:cs="Arial" w:eastAsia="Arial" w:hAnsi="Arial"/>
                <w:sz w:val="27"/>
                <w:szCs w:val="27"/>
                <w:color w:val="auto"/>
                <w:vertAlign w:val="superscript"/>
              </w:rPr>
              <w:t>6</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Return of investment from unconsolidated affiliates</w:t>
            </w:r>
          </w:p>
        </w:tc>
        <w:tc>
          <w:tcPr>
            <w:tcW w:w="14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5860" w:type="dxa"/>
            <w:vAlign w:val="bottom"/>
            <w:gridSpan w:val="2"/>
            <w:shd w:val="clear" w:color="auto" w:fill="CCEEFF"/>
          </w:tcPr>
          <w:p>
            <w:pPr>
              <w:spacing w:after="0" w:line="242" w:lineRule="exact"/>
              <w:rPr>
                <w:sz w:val="20"/>
                <w:szCs w:val="20"/>
                <w:color w:val="auto"/>
              </w:rPr>
            </w:pPr>
            <w:r>
              <w:rPr>
                <w:rFonts w:ascii="Arial" w:cs="Arial" w:eastAsia="Arial" w:hAnsi="Arial"/>
                <w:sz w:val="18"/>
                <w:szCs w:val="18"/>
                <w:color w:val="auto"/>
              </w:rPr>
              <w:t xml:space="preserve">Net contributions from(to) non-controlling interest </w:t>
            </w:r>
            <w:r>
              <w:rPr>
                <w:rFonts w:ascii="Arial" w:cs="Arial" w:eastAsia="Arial" w:hAnsi="Arial"/>
                <w:sz w:val="27"/>
                <w:szCs w:val="27"/>
                <w:color w:val="auto"/>
                <w:vertAlign w:val="superscript"/>
              </w:rPr>
              <w:t>7</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5860" w:type="dxa"/>
            <w:vAlign w:val="bottom"/>
            <w:gridSpan w:val="2"/>
          </w:tcPr>
          <w:p>
            <w:pPr>
              <w:spacing w:after="0" w:line="242" w:lineRule="exact"/>
              <w:rPr>
                <w:sz w:val="20"/>
                <w:szCs w:val="20"/>
                <w:color w:val="auto"/>
              </w:rPr>
            </w:pPr>
            <w:r>
              <w:rPr>
                <w:rFonts w:ascii="Arial" w:cs="Arial" w:eastAsia="Arial" w:hAnsi="Arial"/>
                <w:sz w:val="18"/>
                <w:szCs w:val="18"/>
                <w:color w:val="auto"/>
              </w:rPr>
              <w:t xml:space="preserve">Maintenance capital expenditures </w:t>
            </w:r>
            <w:r>
              <w:rPr>
                <w:rFonts w:ascii="Arial" w:cs="Arial" w:eastAsia="Arial" w:hAnsi="Arial"/>
                <w:sz w:val="27"/>
                <w:szCs w:val="27"/>
                <w:color w:val="auto"/>
                <w:vertAlign w:val="superscript"/>
              </w:rPr>
              <w:t>8</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5860" w:type="dxa"/>
            <w:vAlign w:val="bottom"/>
            <w:gridSpan w:val="2"/>
            <w:shd w:val="clear" w:color="auto" w:fill="CCEEFF"/>
          </w:tcPr>
          <w:p>
            <w:pPr>
              <w:spacing w:after="0" w:line="242" w:lineRule="exact"/>
              <w:rPr>
                <w:sz w:val="20"/>
                <w:szCs w:val="20"/>
                <w:color w:val="auto"/>
              </w:rPr>
            </w:pPr>
            <w:r>
              <w:rPr>
                <w:rFonts w:ascii="Arial" w:cs="Arial" w:eastAsia="Arial" w:hAnsi="Arial"/>
                <w:sz w:val="18"/>
                <w:szCs w:val="18"/>
                <w:color w:val="auto"/>
              </w:rPr>
              <w:t xml:space="preserve">Principal amortization of indebtedness </w:t>
            </w:r>
            <w:r>
              <w:rPr>
                <w:rFonts w:ascii="Arial" w:cs="Arial" w:eastAsia="Arial" w:hAnsi="Arial"/>
                <w:sz w:val="27"/>
                <w:szCs w:val="27"/>
                <w:color w:val="auto"/>
                <w:vertAlign w:val="superscript"/>
              </w:rPr>
              <w:t>9</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43"/>
        </w:trPr>
        <w:tc>
          <w:tcPr>
            <w:tcW w:w="5860" w:type="dxa"/>
            <w:vAlign w:val="bottom"/>
            <w:gridSpan w:val="2"/>
          </w:tcPr>
          <w:p>
            <w:pPr>
              <w:spacing w:after="0" w:line="242" w:lineRule="exact"/>
              <w:rPr>
                <w:sz w:val="20"/>
                <w:szCs w:val="20"/>
                <w:color w:val="auto"/>
              </w:rPr>
            </w:pPr>
            <w:r>
              <w:rPr>
                <w:rFonts w:ascii="Arial" w:cs="Arial" w:eastAsia="Arial" w:hAnsi="Arial"/>
                <w:sz w:val="18"/>
                <w:szCs w:val="18"/>
                <w:color w:val="auto"/>
              </w:rPr>
              <w:t xml:space="preserve">Cash receipt from notes receivable </w:t>
            </w:r>
            <w:r>
              <w:rPr>
                <w:rFonts w:ascii="Arial" w:cs="Arial" w:eastAsia="Arial" w:hAnsi="Arial"/>
                <w:sz w:val="27"/>
                <w:szCs w:val="27"/>
                <w:color w:val="auto"/>
                <w:vertAlign w:val="superscript"/>
              </w:rPr>
              <w:t>10</w:t>
            </w:r>
          </w:p>
        </w:tc>
        <w:tc>
          <w:tcPr>
            <w:tcW w:w="1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02"/>
        </w:trPr>
        <w:tc>
          <w:tcPr>
            <w:tcW w:w="5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Adjustments to reflect CAFD generated by unconsolidated investments that are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57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unable to distribute project dividends due to PG&amp;E Bankruptcy</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Cash Available for Distribution</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177</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156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232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250</w:t>
            </w:r>
          </w:p>
        </w:tc>
      </w:tr>
      <w:tr>
        <w:trPr>
          <w:trHeight w:val="20"/>
        </w:trPr>
        <w:tc>
          <w:tcPr>
            <w:tcW w:w="5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38" w:lineRule="exact"/>
        <w:rPr>
          <w:sz w:val="20"/>
          <w:szCs w:val="20"/>
          <w:color w:val="auto"/>
        </w:rPr>
      </w:pPr>
    </w:p>
    <w:p>
      <w:pPr>
        <w:ind w:left="180" w:hanging="172"/>
        <w:spacing w:after="0"/>
        <w:tabs>
          <w:tab w:leader="none" w:pos="180" w:val="left"/>
        </w:tabs>
        <w:numPr>
          <w:ilvl w:val="0"/>
          <w:numId w:val="7"/>
        </w:numPr>
        <w:rPr>
          <w:rFonts w:ascii="Arial" w:cs="Arial" w:eastAsia="Arial" w:hAnsi="Arial"/>
          <w:sz w:val="24"/>
          <w:szCs w:val="24"/>
          <w:color w:val="auto"/>
          <w:vertAlign w:val="superscript"/>
        </w:rPr>
      </w:pPr>
      <w:r>
        <w:rPr>
          <w:rFonts w:ascii="Arial" w:cs="Arial" w:eastAsia="Arial" w:hAnsi="Arial"/>
          <w:sz w:val="16"/>
          <w:szCs w:val="16"/>
          <w:color w:val="auto"/>
        </w:rPr>
        <w:t>Primarily relates to Thermal Development Expenses</w:t>
      </w:r>
    </w:p>
    <w:p>
      <w:pPr>
        <w:ind w:left="180" w:hanging="172"/>
        <w:spacing w:after="0" w:line="192" w:lineRule="auto"/>
        <w:tabs>
          <w:tab w:leader="none" w:pos="180" w:val="left"/>
        </w:tabs>
        <w:numPr>
          <w:ilvl w:val="0"/>
          <w:numId w:val="8"/>
        </w:numPr>
        <w:rPr>
          <w:rFonts w:ascii="Arial" w:cs="Arial" w:eastAsia="Arial" w:hAnsi="Arial"/>
          <w:sz w:val="22"/>
          <w:szCs w:val="22"/>
          <w:color w:val="auto"/>
          <w:vertAlign w:val="superscript"/>
        </w:rPr>
      </w:pPr>
      <w:r>
        <w:rPr>
          <w:rFonts w:ascii="Arial" w:cs="Arial" w:eastAsia="Arial" w:hAnsi="Arial"/>
          <w:sz w:val="15"/>
          <w:szCs w:val="15"/>
          <w:color w:val="auto"/>
        </w:rPr>
        <w:t>Excludes $18 million of contributions in 2019 related to funding of Oahu tax equity partnership; Excludes $80 million in 2Q18 and $99 million of contributions in 2018</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related to funding Buckthorn Solar tax equity partnership</w:t>
      </w:r>
    </w:p>
    <w:p>
      <w:pPr>
        <w:ind w:left="180" w:hanging="172"/>
        <w:spacing w:after="0" w:line="183" w:lineRule="auto"/>
        <w:tabs>
          <w:tab w:leader="none" w:pos="180" w:val="left"/>
        </w:tabs>
        <w:numPr>
          <w:ilvl w:val="0"/>
          <w:numId w:val="9"/>
        </w:numPr>
        <w:rPr>
          <w:rFonts w:ascii="Arial" w:cs="Arial" w:eastAsia="Arial" w:hAnsi="Arial"/>
          <w:sz w:val="24"/>
          <w:szCs w:val="24"/>
          <w:color w:val="auto"/>
          <w:vertAlign w:val="superscript"/>
        </w:rPr>
      </w:pPr>
      <w:r>
        <w:rPr>
          <w:rFonts w:ascii="Arial" w:cs="Arial" w:eastAsia="Arial" w:hAnsi="Arial"/>
          <w:sz w:val="16"/>
          <w:szCs w:val="16"/>
          <w:color w:val="auto"/>
        </w:rPr>
        <w:t>Net of allocated insurance proceeds</w:t>
      </w:r>
    </w:p>
    <w:p>
      <w:pPr>
        <w:ind w:left="180" w:hanging="172"/>
        <w:spacing w:after="0" w:line="192" w:lineRule="auto"/>
        <w:tabs>
          <w:tab w:leader="none" w:pos="180" w:val="left"/>
        </w:tabs>
        <w:numPr>
          <w:ilvl w:val="0"/>
          <w:numId w:val="10"/>
        </w:numPr>
        <w:rPr>
          <w:rFonts w:ascii="Arial" w:cs="Arial" w:eastAsia="Arial" w:hAnsi="Arial"/>
          <w:sz w:val="22"/>
          <w:szCs w:val="22"/>
          <w:color w:val="auto"/>
          <w:vertAlign w:val="superscript"/>
        </w:rPr>
      </w:pPr>
      <w:r>
        <w:rPr>
          <w:rFonts w:ascii="Arial" w:cs="Arial" w:eastAsia="Arial" w:hAnsi="Arial"/>
          <w:sz w:val="15"/>
          <w:szCs w:val="15"/>
          <w:color w:val="auto"/>
        </w:rPr>
        <w:t>Excludes $220 million in 2019 for Convertible Notes, $101 million repaid at Viento in connection with the Repowering Partnership, $22 million for revolver repayments,</w:t>
      </w:r>
    </w:p>
    <w:p>
      <w:pPr>
        <w:spacing w:after="0" w:line="1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and $3 million for the refinancing of South Trent</w:t>
      </w:r>
    </w:p>
    <w:p>
      <w:pPr>
        <w:ind w:left="180" w:hanging="172"/>
        <w:spacing w:after="0" w:line="191" w:lineRule="auto"/>
        <w:tabs>
          <w:tab w:leader="none" w:pos="180" w:val="left"/>
        </w:tabs>
        <w:numPr>
          <w:ilvl w:val="0"/>
          <w:numId w:val="11"/>
        </w:numPr>
        <w:rPr>
          <w:rFonts w:ascii="Arial" w:cs="Arial" w:eastAsia="Arial" w:hAnsi="Arial"/>
          <w:sz w:val="23"/>
          <w:szCs w:val="23"/>
          <w:color w:val="auto"/>
          <w:vertAlign w:val="superscript"/>
        </w:rPr>
      </w:pPr>
      <w:r>
        <w:rPr>
          <w:rFonts w:ascii="Arial" w:cs="Arial" w:eastAsia="Arial" w:hAnsi="Arial"/>
          <w:sz w:val="16"/>
          <w:szCs w:val="16"/>
          <w:color w:val="auto"/>
        </w:rPr>
        <w:t>Represents reimbursement of network upgrades</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Appendix Table A-6: Nine months ended September 30, 2019, Sources and Uses of Liquidity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sources and uses of liquidity in 2019:</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4"/>
          </w:tcPr>
          <w:p>
            <w:pPr>
              <w:jc w:val="right"/>
              <w:ind w:right="211"/>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580" w:type="dxa"/>
            <w:vAlign w:val="bottom"/>
          </w:tcPr>
          <w:p>
            <w:pPr>
              <w:spacing w:after="0"/>
              <w:rPr>
                <w:sz w:val="19"/>
                <w:szCs w:val="19"/>
                <w:color w:val="auto"/>
              </w:rPr>
            </w:pPr>
          </w:p>
        </w:tc>
        <w:tc>
          <w:tcPr>
            <w:tcW w:w="72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 in millions)</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w w:val="89"/>
              </w:rPr>
              <w:t>9/30/2019</w:t>
            </w:r>
          </w:p>
        </w:tc>
      </w:tr>
      <w:tr>
        <w:trPr>
          <w:trHeight w:val="213"/>
        </w:trPr>
        <w:tc>
          <w:tcPr>
            <w:tcW w:w="58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Sources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Proceeds from the issuance of long-term debt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right"/>
              <w:ind w:right="1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586</w:t>
            </w:r>
          </w:p>
        </w:tc>
      </w:tr>
      <w:tr>
        <w:trPr>
          <w:trHeight w:val="216"/>
        </w:trPr>
        <w:tc>
          <w:tcPr>
            <w:tcW w:w="58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374</w:t>
            </w:r>
          </w:p>
        </w:tc>
      </w:tr>
      <w:tr>
        <w:trPr>
          <w:trHeight w:val="216"/>
        </w:trPr>
        <w:tc>
          <w:tcPr>
            <w:tcW w:w="58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Return of investment from unconsolidated affiliates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r>
      <w:tr>
        <w:trPr>
          <w:trHeight w:val="216"/>
        </w:trPr>
        <w:tc>
          <w:tcPr>
            <w:tcW w:w="580" w:type="dxa"/>
            <w:vAlign w:val="bottom"/>
          </w:tcPr>
          <w:p>
            <w:pPr>
              <w:spacing w:after="0"/>
              <w:rPr>
                <w:sz w:val="18"/>
                <w:szCs w:val="18"/>
                <w:color w:val="auto"/>
              </w:rPr>
            </w:pPr>
          </w:p>
        </w:tc>
        <w:tc>
          <w:tcPr>
            <w:tcW w:w="7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Payments for long-term debt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16"/>
        </w:trPr>
        <w:tc>
          <w:tcPr>
            <w:tcW w:w="58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58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Payment of dividends and distributions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58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8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Buyout of Wind TE Holdco noncontrolling interest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8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of debt issuance costs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8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Investments in unconsolidated affiliates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8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 cash outflows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80" w:type="dxa"/>
            <w:vAlign w:val="bottom"/>
          </w:tcPr>
          <w:p>
            <w:pPr>
              <w:spacing w:after="0"/>
              <w:rPr>
                <w:sz w:val="18"/>
                <w:szCs w:val="18"/>
                <w:color w:val="auto"/>
              </w:rPr>
            </w:pPr>
          </w:p>
        </w:tc>
        <w:tc>
          <w:tcPr>
            <w:tcW w:w="7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7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in total cash, cash equivalents, and restricted cash</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w:t>
            </w:r>
          </w:p>
        </w:tc>
      </w:tr>
      <w:tr>
        <w:trPr>
          <w:trHeight w:val="642"/>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Appendix Table A-7: Adjusted EBITDA and Cash Available for Distribution Guidance</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5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291"/>
              <w:spacing w:after="0"/>
              <w:rPr>
                <w:sz w:val="20"/>
                <w:szCs w:val="20"/>
                <w:color w:val="auto"/>
              </w:rPr>
            </w:pPr>
            <w:r>
              <w:rPr>
                <w:rFonts w:ascii="Arial" w:cs="Arial" w:eastAsia="Arial" w:hAnsi="Arial"/>
                <w:sz w:val="16"/>
                <w:szCs w:val="16"/>
                <w:b w:val="1"/>
                <w:bCs w:val="1"/>
                <w:color w:val="auto"/>
              </w:rPr>
              <w:t>2020 Full</w:t>
            </w:r>
          </w:p>
        </w:tc>
      </w:tr>
      <w:tr>
        <w:trPr>
          <w:trHeight w:val="213"/>
        </w:trPr>
        <w:tc>
          <w:tcPr>
            <w:tcW w:w="580" w:type="dxa"/>
            <w:vAlign w:val="bottom"/>
          </w:tcPr>
          <w:p>
            <w:pPr>
              <w:spacing w:after="0"/>
              <w:rPr>
                <w:sz w:val="18"/>
                <w:szCs w:val="18"/>
                <w:color w:val="auto"/>
              </w:rPr>
            </w:pPr>
          </w:p>
        </w:tc>
        <w:tc>
          <w:tcPr>
            <w:tcW w:w="72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 in millions)</w:t>
            </w:r>
          </w:p>
        </w:tc>
        <w:tc>
          <w:tcPr>
            <w:tcW w:w="100" w:type="dxa"/>
            <w:vAlign w:val="bottom"/>
          </w:tcPr>
          <w:p>
            <w:pPr>
              <w:spacing w:after="0"/>
              <w:rPr>
                <w:sz w:val="18"/>
                <w:szCs w:val="18"/>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2"/>
              </w:rPr>
              <w:t>Full Year Guidance</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6"/>
              </w:rPr>
              <w:t>Year Guidance</w:t>
            </w:r>
          </w:p>
        </w:tc>
      </w:tr>
      <w:tr>
        <w:trPr>
          <w:trHeight w:val="213"/>
        </w:trPr>
        <w:tc>
          <w:tcPr>
            <w:tcW w:w="58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40" w:type="dxa"/>
            <w:vAlign w:val="bottom"/>
            <w:gridSpan w:val="2"/>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150</w:t>
            </w:r>
          </w:p>
        </w:tc>
      </w:tr>
      <w:tr>
        <w:trPr>
          <w:trHeight w:val="210"/>
        </w:trPr>
        <w:tc>
          <w:tcPr>
            <w:tcW w:w="580" w:type="dxa"/>
            <w:vAlign w:val="bottom"/>
          </w:tcPr>
          <w:p>
            <w:pPr>
              <w:spacing w:after="0"/>
              <w:rPr>
                <w:sz w:val="18"/>
                <w:szCs w:val="18"/>
                <w:color w:val="auto"/>
              </w:rPr>
            </w:pPr>
          </w:p>
        </w:tc>
        <w:tc>
          <w:tcPr>
            <w:tcW w:w="72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Income Tax Expense</w:t>
            </w: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w:t>
            </w:r>
          </w:p>
        </w:tc>
      </w:tr>
      <w:tr>
        <w:trPr>
          <w:trHeight w:val="216"/>
        </w:trPr>
        <w:tc>
          <w:tcPr>
            <w:tcW w:w="58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r>
      <w:tr>
        <w:trPr>
          <w:trHeight w:val="216"/>
        </w:trPr>
        <w:tc>
          <w:tcPr>
            <w:tcW w:w="58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Depreciation, Amortization, and ARO Expense</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410</w:t>
            </w:r>
          </w:p>
        </w:tc>
      </w:tr>
      <w:tr>
        <w:trPr>
          <w:trHeight w:val="216"/>
        </w:trPr>
        <w:tc>
          <w:tcPr>
            <w:tcW w:w="58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related transaction and integration costs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6"/>
        </w:trPr>
        <w:tc>
          <w:tcPr>
            <w:tcW w:w="58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Other Non-Cash Charges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6"/>
        </w:trPr>
        <w:tc>
          <w:tcPr>
            <w:tcW w:w="580" w:type="dxa"/>
            <w:vAlign w:val="bottom"/>
          </w:tcPr>
          <w:p>
            <w:pPr>
              <w:spacing w:after="0"/>
              <w:rPr>
                <w:sz w:val="18"/>
                <w:szCs w:val="18"/>
                <w:color w:val="auto"/>
              </w:rPr>
            </w:pPr>
          </w:p>
        </w:tc>
        <w:tc>
          <w:tcPr>
            <w:tcW w:w="72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Adjustment to reflect CWEN share of Adjusted EBITDA in unconsolidated affiliates</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r>
      <w:tr>
        <w:trPr>
          <w:trHeight w:val="210"/>
        </w:trPr>
        <w:tc>
          <w:tcPr>
            <w:tcW w:w="580" w:type="dxa"/>
            <w:vAlign w:val="bottom"/>
          </w:tcPr>
          <w:p>
            <w:pPr>
              <w:spacing w:after="0"/>
              <w:rPr>
                <w:sz w:val="18"/>
                <w:szCs w:val="18"/>
                <w:color w:val="auto"/>
              </w:rPr>
            </w:pPr>
          </w:p>
        </w:tc>
        <w:tc>
          <w:tcPr>
            <w:tcW w:w="7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Adjusted EBITDA</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970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1,030</w:t>
            </w:r>
          </w:p>
        </w:tc>
      </w:tr>
      <w:tr>
        <w:trPr>
          <w:trHeight w:val="210"/>
        </w:trPr>
        <w:tc>
          <w:tcPr>
            <w:tcW w:w="58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interest paid</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16"/>
        </w:trPr>
        <w:tc>
          <w:tcPr>
            <w:tcW w:w="58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216"/>
        </w:trPr>
        <w:tc>
          <w:tcPr>
            <w:tcW w:w="58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 to reflect Walnut Creek investment payments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6"/>
        </w:trPr>
        <w:tc>
          <w:tcPr>
            <w:tcW w:w="58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Pro-rata Adjusted EBITDA from unconsolidated affiliates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16"/>
        </w:trPr>
        <w:tc>
          <w:tcPr>
            <w:tcW w:w="580" w:type="dxa"/>
            <w:vAlign w:val="bottom"/>
          </w:tcPr>
          <w:p>
            <w:pPr>
              <w:spacing w:after="0"/>
              <w:rPr>
                <w:sz w:val="18"/>
                <w:szCs w:val="18"/>
                <w:color w:val="auto"/>
              </w:rPr>
            </w:pPr>
          </w:p>
        </w:tc>
        <w:tc>
          <w:tcPr>
            <w:tcW w:w="7200" w:type="dxa"/>
            <w:vAlign w:val="bottom"/>
            <w:tcBorders>
              <w:bottom w:val="single" w:sz="8" w:color="auto"/>
            </w:tcBorders>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Cash distributions from unconsolidated affiliates </w:t>
            </w:r>
            <w:r>
              <w:rPr>
                <w:rFonts w:ascii="Arial" w:cs="Arial" w:eastAsia="Arial" w:hAnsi="Arial"/>
                <w:sz w:val="23"/>
                <w:szCs w:val="23"/>
                <w:color w:val="auto"/>
                <w:vertAlign w:val="superscript"/>
              </w:rPr>
              <w:t>11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r>
      <w:tr>
        <w:trPr>
          <w:trHeight w:val="210"/>
        </w:trPr>
        <w:tc>
          <w:tcPr>
            <w:tcW w:w="580" w:type="dxa"/>
            <w:vAlign w:val="bottom"/>
          </w:tcPr>
          <w:p>
            <w:pPr>
              <w:spacing w:after="0"/>
              <w:rPr>
                <w:sz w:val="18"/>
                <w:szCs w:val="18"/>
                <w:color w:val="auto"/>
              </w:rPr>
            </w:pPr>
          </w:p>
        </w:tc>
        <w:tc>
          <w:tcPr>
            <w:tcW w:w="7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from Operating Activities</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577</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660</w:t>
            </w:r>
          </w:p>
        </w:tc>
      </w:tr>
      <w:tr>
        <w:trPr>
          <w:trHeight w:val="210"/>
        </w:trPr>
        <w:tc>
          <w:tcPr>
            <w:tcW w:w="580" w:type="dxa"/>
            <w:vAlign w:val="bottom"/>
          </w:tcPr>
          <w:p>
            <w:pPr>
              <w:spacing w:after="0"/>
              <w:rPr>
                <w:sz w:val="18"/>
                <w:szCs w:val="18"/>
                <w:color w:val="auto"/>
              </w:rPr>
            </w:pPr>
          </w:p>
        </w:tc>
        <w:tc>
          <w:tcPr>
            <w:tcW w:w="7200" w:type="dxa"/>
            <w:vAlign w:val="bottom"/>
            <w:shd w:val="clear" w:color="auto" w:fill="CCEEFF"/>
          </w:tcPr>
          <w:p>
            <w:pPr>
              <w:ind w:left="160"/>
              <w:spacing w:after="0" w:line="210" w:lineRule="exact"/>
              <w:rPr>
                <w:sz w:val="20"/>
                <w:szCs w:val="20"/>
                <w:color w:val="auto"/>
              </w:rPr>
            </w:pPr>
            <w:r>
              <w:rPr>
                <w:rFonts w:ascii="Arial" w:cs="Arial" w:eastAsia="Arial" w:hAnsi="Arial"/>
                <w:sz w:val="18"/>
                <w:szCs w:val="18"/>
                <w:color w:val="auto"/>
              </w:rPr>
              <w:t xml:space="preserve">Development Expense </w:t>
            </w:r>
            <w:r>
              <w:rPr>
                <w:rFonts w:ascii="Arial" w:cs="Arial" w:eastAsia="Arial" w:hAnsi="Arial"/>
                <w:sz w:val="23"/>
                <w:szCs w:val="23"/>
                <w:color w:val="auto"/>
                <w:vertAlign w:val="superscript"/>
              </w:rPr>
              <w:t>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16"/>
        </w:trPr>
        <w:tc>
          <w:tcPr>
            <w:tcW w:w="580" w:type="dxa"/>
            <w:vAlign w:val="bottom"/>
          </w:tcPr>
          <w:p>
            <w:pPr>
              <w:spacing w:after="0"/>
              <w:rPr>
                <w:sz w:val="18"/>
                <w:szCs w:val="18"/>
                <w:color w:val="auto"/>
              </w:rPr>
            </w:pPr>
          </w:p>
        </w:tc>
        <w:tc>
          <w:tcPr>
            <w:tcW w:w="720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Net contributions to non-controlling interest </w:t>
            </w:r>
            <w:r>
              <w:rPr>
                <w:rFonts w:ascii="Arial" w:cs="Arial" w:eastAsia="Arial" w:hAnsi="Arial"/>
                <w:sz w:val="23"/>
                <w:szCs w:val="23"/>
                <w:color w:val="auto"/>
                <w:vertAlign w:val="superscript"/>
              </w:rPr>
              <w:t>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8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Maintenance capital expenditures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80" w:type="dxa"/>
            <w:vAlign w:val="bottom"/>
          </w:tcPr>
          <w:p>
            <w:pPr>
              <w:spacing w:after="0"/>
              <w:rPr>
                <w:sz w:val="18"/>
                <w:szCs w:val="18"/>
                <w:color w:val="auto"/>
              </w:rPr>
            </w:pPr>
          </w:p>
        </w:tc>
        <w:tc>
          <w:tcPr>
            <w:tcW w:w="7200" w:type="dxa"/>
            <w:vAlign w:val="bottom"/>
            <w:tcBorders>
              <w:bottom w:val="single" w:sz="8" w:color="auto"/>
            </w:tcBorders>
          </w:tcPr>
          <w:p>
            <w:pPr>
              <w:ind w:left="160"/>
              <w:spacing w:after="0" w:line="216" w:lineRule="exact"/>
              <w:rPr>
                <w:sz w:val="20"/>
                <w:szCs w:val="20"/>
                <w:color w:val="auto"/>
              </w:rPr>
            </w:pPr>
            <w:r>
              <w:rPr>
                <w:rFonts w:ascii="Arial" w:cs="Arial" w:eastAsia="Arial" w:hAnsi="Arial"/>
                <w:sz w:val="18"/>
                <w:szCs w:val="18"/>
                <w:color w:val="auto"/>
              </w:rPr>
              <w:t xml:space="preserve">Principal amortization of indebtedness </w:t>
            </w:r>
            <w:r>
              <w:rPr>
                <w:rFonts w:ascii="Arial" w:cs="Arial" w:eastAsia="Arial" w:hAnsi="Arial"/>
                <w:sz w:val="23"/>
                <w:szCs w:val="23"/>
                <w:color w:val="auto"/>
                <w:vertAlign w:val="superscript"/>
              </w:rPr>
              <w:t>14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r>
      <w:tr>
        <w:trPr>
          <w:trHeight w:val="210"/>
        </w:trPr>
        <w:tc>
          <w:tcPr>
            <w:tcW w:w="580" w:type="dxa"/>
            <w:vAlign w:val="bottom"/>
          </w:tcPr>
          <w:p>
            <w:pPr>
              <w:spacing w:after="0"/>
              <w:rPr>
                <w:sz w:val="18"/>
                <w:szCs w:val="18"/>
                <w:color w:val="auto"/>
              </w:rPr>
            </w:pPr>
          </w:p>
        </w:tc>
        <w:tc>
          <w:tcPr>
            <w:tcW w:w="7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Available for Distribution</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295</w:t>
            </w:r>
          </w:p>
        </w:tc>
      </w:tr>
      <w:tr>
        <w:trPr>
          <w:trHeight w:val="210"/>
        </w:trPr>
        <w:tc>
          <w:tcPr>
            <w:tcW w:w="580" w:type="dxa"/>
            <w:vAlign w:val="bottom"/>
          </w:tcPr>
          <w:p>
            <w:pPr>
              <w:spacing w:after="0"/>
              <w:rPr>
                <w:sz w:val="18"/>
                <w:szCs w:val="18"/>
                <w:color w:val="auto"/>
              </w:rPr>
            </w:pPr>
          </w:p>
        </w:tc>
        <w:tc>
          <w:tcPr>
            <w:tcW w:w="72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Add Back: Principal amortization of indebtedness</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315</w:t>
            </w:r>
          </w:p>
        </w:tc>
      </w:tr>
      <w:tr>
        <w:trPr>
          <w:trHeight w:val="250"/>
        </w:trPr>
        <w:tc>
          <w:tcPr>
            <w:tcW w:w="580" w:type="dxa"/>
            <w:vAlign w:val="bottom"/>
          </w:tcPr>
          <w:p>
            <w:pPr>
              <w:spacing w:after="0"/>
              <w:rPr>
                <w:sz w:val="21"/>
                <w:szCs w:val="21"/>
                <w:color w:val="auto"/>
              </w:rPr>
            </w:pPr>
          </w:p>
        </w:tc>
        <w:tc>
          <w:tcPr>
            <w:tcW w:w="7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Adjusted Cash from Operations</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-5616575</wp:posOffset>
            </wp:positionV>
            <wp:extent cx="6517640" cy="283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1764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8" w:lineRule="exact"/>
        <w:rPr>
          <w:sz w:val="20"/>
          <w:szCs w:val="20"/>
          <w:color w:val="auto"/>
        </w:rPr>
      </w:pPr>
    </w:p>
    <w:p>
      <w:pPr>
        <w:ind w:left="180" w:hanging="172"/>
        <w:spacing w:after="0" w:line="218" w:lineRule="auto"/>
        <w:tabs>
          <w:tab w:leader="none" w:pos="180" w:val="left"/>
        </w:tabs>
        <w:numPr>
          <w:ilvl w:val="0"/>
          <w:numId w:val="12"/>
        </w:numPr>
        <w:rPr>
          <w:rFonts w:ascii="Arial" w:cs="Arial" w:eastAsia="Arial" w:hAnsi="Arial"/>
          <w:sz w:val="23"/>
          <w:szCs w:val="23"/>
          <w:color w:val="auto"/>
          <w:vertAlign w:val="superscript"/>
        </w:rPr>
      </w:pPr>
      <w:r>
        <w:rPr>
          <w:rFonts w:ascii="Arial" w:cs="Arial" w:eastAsia="Arial" w:hAnsi="Arial"/>
          <w:sz w:val="16"/>
          <w:szCs w:val="16"/>
          <w:color w:val="auto"/>
        </w:rPr>
        <w:t>Distribution from unconsolidated affiliates can be classified as Return of Investment on Unconsolidated Affiliates when actuals are reported. This is below cash from operating activities</w:t>
      </w:r>
    </w:p>
    <w:p>
      <w:pPr>
        <w:spacing w:after="0" w:line="1" w:lineRule="exact"/>
        <w:rPr>
          <w:rFonts w:ascii="Arial" w:cs="Arial" w:eastAsia="Arial" w:hAnsi="Arial"/>
          <w:sz w:val="23"/>
          <w:szCs w:val="23"/>
          <w:color w:val="auto"/>
          <w:vertAlign w:val="superscript"/>
        </w:rPr>
      </w:pPr>
    </w:p>
    <w:p>
      <w:pPr>
        <w:ind w:left="180" w:hanging="172"/>
        <w:spacing w:after="0" w:line="183" w:lineRule="auto"/>
        <w:tabs>
          <w:tab w:leader="none" w:pos="180" w:val="left"/>
        </w:tabs>
        <w:numPr>
          <w:ilvl w:val="0"/>
          <w:numId w:val="12"/>
        </w:numPr>
        <w:rPr>
          <w:rFonts w:ascii="Arial" w:cs="Arial" w:eastAsia="Arial" w:hAnsi="Arial"/>
          <w:sz w:val="23"/>
          <w:szCs w:val="23"/>
          <w:color w:val="auto"/>
          <w:vertAlign w:val="superscript"/>
        </w:rPr>
      </w:pPr>
      <w:r>
        <w:rPr>
          <w:rFonts w:ascii="Arial" w:cs="Arial" w:eastAsia="Arial" w:hAnsi="Arial"/>
          <w:sz w:val="16"/>
          <w:szCs w:val="16"/>
          <w:color w:val="auto"/>
        </w:rPr>
        <w:t>Primarily relates to Thermal Development Expenses</w:t>
      </w:r>
    </w:p>
    <w:p>
      <w:pPr>
        <w:spacing w:after="0" w:line="11" w:lineRule="exact"/>
        <w:rPr>
          <w:rFonts w:ascii="Arial" w:cs="Arial" w:eastAsia="Arial" w:hAnsi="Arial"/>
          <w:sz w:val="23"/>
          <w:szCs w:val="23"/>
          <w:color w:val="auto"/>
          <w:vertAlign w:val="superscript"/>
        </w:rPr>
      </w:pPr>
    </w:p>
    <w:p>
      <w:pPr>
        <w:ind w:left="180" w:hanging="172"/>
        <w:spacing w:after="0" w:line="182" w:lineRule="auto"/>
        <w:tabs>
          <w:tab w:leader="none" w:pos="180" w:val="left"/>
        </w:tabs>
        <w:numPr>
          <w:ilvl w:val="0"/>
          <w:numId w:val="12"/>
        </w:numPr>
        <w:rPr>
          <w:rFonts w:ascii="Arial" w:cs="Arial" w:eastAsia="Arial" w:hAnsi="Arial"/>
          <w:sz w:val="22"/>
          <w:szCs w:val="22"/>
          <w:color w:val="auto"/>
          <w:vertAlign w:val="superscript"/>
        </w:rPr>
      </w:pPr>
      <w:r>
        <w:rPr>
          <w:rFonts w:ascii="Arial" w:cs="Arial" w:eastAsia="Arial" w:hAnsi="Arial"/>
          <w:sz w:val="15"/>
          <w:szCs w:val="15"/>
          <w:color w:val="auto"/>
        </w:rPr>
        <w:t>Includes tax equity proceeds and distributions to tax equity partners</w:t>
      </w:r>
    </w:p>
    <w:p>
      <w:pPr>
        <w:spacing w:after="0" w:line="10" w:lineRule="exact"/>
        <w:rPr>
          <w:rFonts w:ascii="Arial" w:cs="Arial" w:eastAsia="Arial" w:hAnsi="Arial"/>
          <w:sz w:val="22"/>
          <w:szCs w:val="22"/>
          <w:color w:val="auto"/>
          <w:vertAlign w:val="superscript"/>
        </w:rPr>
      </w:pPr>
    </w:p>
    <w:p>
      <w:pPr>
        <w:ind w:left="180" w:hanging="172"/>
        <w:spacing w:after="0" w:line="211" w:lineRule="auto"/>
        <w:tabs>
          <w:tab w:leader="none" w:pos="180" w:val="left"/>
        </w:tabs>
        <w:numPr>
          <w:ilvl w:val="0"/>
          <w:numId w:val="12"/>
        </w:numPr>
        <w:rPr>
          <w:rFonts w:ascii="Arial" w:cs="Arial" w:eastAsia="Arial" w:hAnsi="Arial"/>
          <w:sz w:val="23"/>
          <w:szCs w:val="23"/>
          <w:color w:val="auto"/>
          <w:vertAlign w:val="superscript"/>
        </w:rPr>
      </w:pPr>
      <w:r>
        <w:rPr>
          <w:rFonts w:ascii="Arial" w:cs="Arial" w:eastAsia="Arial" w:hAnsi="Arial"/>
          <w:sz w:val="16"/>
          <w:szCs w:val="16"/>
          <w:color w:val="auto"/>
        </w:rPr>
        <w:t>2019 Guidance excludes $220 million in 2019 for Convertible Notes, $101 million repaid at Viento in connection with the Repowering Partnership, $22 million for revolver repayments, and $3 million for the refinancing of South Trent</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Appendix Table A-8: Hawaii Solar Phase I and Repowering 1.0 5 Year Average CAFD</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 in millions)</w:t>
      </w:r>
    </w:p>
    <w:p>
      <w:pPr>
        <w:spacing w:after="0" w:line="2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32670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Depreciation, Amortization, and ARO Expense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Adjusted EBITDA</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Cash interest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32670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740"/>
        <w:spacing w:after="0"/>
        <w:rPr>
          <w:sz w:val="20"/>
          <w:szCs w:val="20"/>
          <w:color w:val="auto"/>
        </w:rPr>
      </w:pPr>
      <w:r>
        <w:rPr>
          <w:rFonts w:ascii="Arial" w:cs="Arial" w:eastAsia="Arial" w:hAnsi="Arial"/>
          <w:sz w:val="16"/>
          <w:szCs w:val="16"/>
          <w:color w:val="auto"/>
        </w:rPr>
        <w:t>Changes in prepaid and accrued liabilities for tolling agreements</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Cash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32670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Net contributions to non-controlling interest</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Maintenance capital expenditures</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Principal amortization of indebtedness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Estimated Cash Available for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32670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4"/>
              <w:spacing w:after="0"/>
              <w:rPr>
                <w:sz w:val="20"/>
                <w:szCs w:val="20"/>
                <w:color w:val="auto"/>
              </w:rPr>
            </w:pPr>
            <w:r>
              <w:rPr>
                <w:rFonts w:ascii="Arial" w:cs="Arial" w:eastAsia="Arial" w:hAnsi="Arial"/>
                <w:sz w:val="16"/>
                <w:szCs w:val="16"/>
                <w:b w:val="1"/>
                <w:bCs w:val="1"/>
                <w:color w:val="auto"/>
                <w:w w:val="86"/>
              </w:rPr>
              <w:t>Four Seasons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4"/>
        </w:trPr>
        <w:tc>
          <w:tcPr>
            <w:tcW w:w="120" w:type="dxa"/>
            <w:vAlign w:val="bottom"/>
          </w:tcPr>
          <w:p>
            <w:pPr>
              <w:spacing w:after="0"/>
              <w:rPr>
                <w:sz w:val="16"/>
                <w:szCs w:val="16"/>
                <w:color w:val="auto"/>
              </w:rPr>
            </w:pPr>
          </w:p>
        </w:tc>
        <w:tc>
          <w:tcPr>
            <w:tcW w:w="960" w:type="dxa"/>
            <w:vAlign w:val="bottom"/>
          </w:tcPr>
          <w:p>
            <w:pPr>
              <w:jc w:val="center"/>
              <w:ind w:right="33"/>
              <w:spacing w:after="0"/>
              <w:rPr>
                <w:sz w:val="20"/>
                <w:szCs w:val="20"/>
                <w:color w:val="auto"/>
              </w:rPr>
            </w:pPr>
            <w:r>
              <w:rPr>
                <w:rFonts w:ascii="Arial" w:cs="Arial" w:eastAsia="Arial" w:hAnsi="Arial"/>
                <w:sz w:val="16"/>
                <w:szCs w:val="16"/>
                <w:b w:val="1"/>
                <w:bCs w:val="1"/>
                <w:color w:val="auto"/>
                <w:w w:val="93"/>
              </w:rPr>
              <w:t>Carlsbad</w:t>
            </w:r>
          </w:p>
        </w:tc>
        <w:tc>
          <w:tcPr>
            <w:tcW w:w="100" w:type="dxa"/>
            <w:vAlign w:val="bottom"/>
          </w:tcPr>
          <w:p>
            <w:pPr>
              <w:spacing w:after="0"/>
              <w:rPr>
                <w:sz w:val="16"/>
                <w:szCs w:val="16"/>
                <w:color w:val="auto"/>
              </w:rPr>
            </w:pPr>
          </w:p>
        </w:tc>
        <w:tc>
          <w:tcPr>
            <w:tcW w:w="1520" w:type="dxa"/>
            <w:vAlign w:val="bottom"/>
            <w:gridSpan w:val="3"/>
          </w:tcPr>
          <w:p>
            <w:pPr>
              <w:spacing w:after="0"/>
              <w:rPr>
                <w:sz w:val="20"/>
                <w:szCs w:val="20"/>
                <w:color w:val="auto"/>
              </w:rPr>
            </w:pPr>
            <w:r>
              <w:rPr>
                <w:rFonts w:ascii="Arial" w:cs="Arial" w:eastAsia="Arial" w:hAnsi="Arial"/>
                <w:sz w:val="16"/>
                <w:szCs w:val="16"/>
                <w:b w:val="1"/>
                <w:bCs w:val="1"/>
                <w:color w:val="auto"/>
                <w:w w:val="96"/>
              </w:rPr>
              <w:t>Hawaii Solar Phase I</w:t>
            </w: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3"/>
              </w:rPr>
              <w:t>Cayo Largo</w:t>
            </w:r>
          </w:p>
        </w:tc>
        <w:tc>
          <w:tcPr>
            <w:tcW w:w="10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Arial" w:cs="Arial" w:eastAsia="Arial" w:hAnsi="Arial"/>
                <w:sz w:val="16"/>
                <w:szCs w:val="16"/>
                <w:b w:val="1"/>
                <w:bCs w:val="1"/>
                <w:color w:val="auto"/>
                <w:w w:val="91"/>
              </w:rPr>
              <w:t>Repowering 1.0</w:t>
            </w:r>
          </w:p>
        </w:tc>
      </w:tr>
      <w:tr>
        <w:trPr>
          <w:trHeight w:val="149"/>
        </w:trPr>
        <w:tc>
          <w:tcPr>
            <w:tcW w:w="120" w:type="dxa"/>
            <w:vAlign w:val="bottom"/>
          </w:tcPr>
          <w:p>
            <w:pPr>
              <w:spacing w:after="0"/>
              <w:rPr>
                <w:sz w:val="12"/>
                <w:szCs w:val="12"/>
                <w:color w:val="auto"/>
              </w:rPr>
            </w:pPr>
          </w:p>
        </w:tc>
        <w:tc>
          <w:tcPr>
            <w:tcW w:w="96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3"/>
              </w:rPr>
              <w:t>(5 Year Avg.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(5 Year Avg.</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(5 Year Avg.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73"/>
              <w:spacing w:after="0" w:line="149" w:lineRule="exact"/>
              <w:rPr>
                <w:sz w:val="20"/>
                <w:szCs w:val="20"/>
                <w:color w:val="auto"/>
              </w:rPr>
            </w:pPr>
            <w:r>
              <w:rPr>
                <w:rFonts w:ascii="Arial" w:cs="Arial" w:eastAsia="Arial" w:hAnsi="Arial"/>
                <w:sz w:val="14"/>
                <w:szCs w:val="14"/>
                <w:b w:val="1"/>
                <w:bCs w:val="1"/>
                <w:color w:val="auto"/>
                <w:w w:val="96"/>
              </w:rPr>
              <w:t>(5 Year Avg.</w:t>
            </w:r>
          </w:p>
        </w:tc>
      </w:tr>
      <w:tr>
        <w:trPr>
          <w:trHeight w:val="171"/>
        </w:trPr>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4"/>
              </w:rPr>
              <w:t>2020-2024)</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2020-2024)</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2020-2024)</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2020-2024)</w:t>
            </w:r>
          </w:p>
        </w:tc>
      </w:tr>
      <w:tr>
        <w:trPr>
          <w:trHeight w:val="210"/>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7.4</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w:t>
            </w:r>
          </w:p>
        </w:tc>
      </w:tr>
      <w:tr>
        <w:trPr>
          <w:trHeight w:val="195"/>
        </w:trPr>
        <w:tc>
          <w:tcPr>
            <w:tcW w:w="120" w:type="dxa"/>
            <w:vAlign w:val="bottom"/>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33"/>
              <w:spacing w:after="0" w:line="195" w:lineRule="exact"/>
              <w:rPr>
                <w:sz w:val="20"/>
                <w:szCs w:val="20"/>
                <w:color w:val="auto"/>
              </w:rPr>
            </w:pPr>
            <w:r>
              <w:rPr>
                <w:rFonts w:ascii="Arial" w:cs="Arial" w:eastAsia="Arial" w:hAnsi="Arial"/>
                <w:sz w:val="18"/>
                <w:szCs w:val="18"/>
                <w:color w:val="auto"/>
              </w:rPr>
              <w:t>7.5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4"/>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r>
      <w:tr>
        <w:trPr>
          <w:trHeight w:val="230"/>
        </w:trPr>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25.1</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r>
      <w:tr>
        <w:trPr>
          <w:trHeight w:val="195"/>
        </w:trPr>
        <w:tc>
          <w:tcPr>
            <w:tcW w:w="120" w:type="dxa"/>
            <w:vAlign w:val="bottom"/>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line="195" w:lineRule="exact"/>
              <w:rPr>
                <w:sz w:val="20"/>
                <w:szCs w:val="20"/>
                <w:color w:val="auto"/>
              </w:rPr>
            </w:pPr>
            <w:r>
              <w:rPr>
                <w:rFonts w:ascii="Arial" w:cs="Arial" w:eastAsia="Arial" w:hAnsi="Arial"/>
                <w:sz w:val="18"/>
                <w:szCs w:val="18"/>
                <w:color w:val="auto"/>
              </w:rPr>
              <w:t>(7.5)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4"/>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13"/>
              <w:spacing w:after="0" w:line="195" w:lineRule="exact"/>
              <w:rPr>
                <w:sz w:val="20"/>
                <w:szCs w:val="20"/>
                <w:color w:val="auto"/>
              </w:rPr>
            </w:pPr>
            <w:r>
              <w:rPr>
                <w:rFonts w:ascii="Arial" w:cs="Arial" w:eastAsia="Arial" w:hAnsi="Arial"/>
                <w:sz w:val="18"/>
                <w:szCs w:val="18"/>
                <w:color w:val="auto"/>
              </w:rPr>
              <w:t>4</w:t>
            </w:r>
          </w:p>
        </w:tc>
      </w:tr>
      <w:tr>
        <w:trPr>
          <w:trHeight w:val="230"/>
        </w:trPr>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17.6</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w:t>
            </w:r>
          </w:p>
        </w:tc>
      </w:tr>
      <w:tr>
        <w:trPr>
          <w:trHeight w:val="195"/>
        </w:trPr>
        <w:tc>
          <w:tcPr>
            <w:tcW w:w="120" w:type="dxa"/>
            <w:vAlign w:val="bottom"/>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line="195" w:lineRule="exact"/>
              <w:rPr>
                <w:sz w:val="20"/>
                <w:szCs w:val="20"/>
                <w:color w:val="auto"/>
              </w:rPr>
            </w:pPr>
            <w:r>
              <w:rPr>
                <w:rFonts w:ascii="Arial" w:cs="Arial" w:eastAsia="Arial" w:hAnsi="Arial"/>
                <w:sz w:val="18"/>
                <w:szCs w:val="18"/>
                <w:color w:val="auto"/>
              </w:rPr>
              <w:t>(9.8)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4"/>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(7)</w:t>
            </w:r>
          </w:p>
        </w:tc>
      </w:tr>
      <w:tr>
        <w:trPr>
          <w:trHeight w:val="216"/>
        </w:trPr>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30"/>
        </w:trPr>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w:t>
            </w:r>
          </w:p>
        </w:tc>
      </w:tr>
      <w:tr>
        <w:trPr>
          <w:trHeight w:val="210"/>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2.7</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-3329940</wp:posOffset>
            </wp:positionH>
            <wp:positionV relativeFrom="paragraph">
              <wp:posOffset>-994410</wp:posOffset>
            </wp:positionV>
            <wp:extent cx="651764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-427990</wp:posOffset>
            </wp:positionV>
            <wp:extent cx="651764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-1568450</wp:posOffset>
            </wp:positionV>
            <wp:extent cx="651764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-1285875</wp:posOffset>
            </wp:positionV>
            <wp:extent cx="651764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-711200</wp:posOffset>
            </wp:positionV>
            <wp:extent cx="651764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-145415</wp:posOffset>
            </wp:positionV>
            <wp:extent cx="651764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440"/>
            <w:col w:w="5600"/>
          </w:cols>
          <w:pgMar w:left="240" w:top="580" w:right="239" w:bottom="1440" w:gutter="0" w:footer="0" w:header="0"/>
          <w:type w:val="continuous"/>
        </w:sectPr>
      </w:pP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EBITDA and Adjusted EBITDA are non-GAAP financial measures. These measurements are not recognized in accordance with GAAP and should not be viewed as an alternative to GAAP measures of performance. The presentation of Adjusted EBITDA should not be construed as an inference that Clearway Energy’s future results will be unaffected by unusual or non-recurring items.</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EBITDA does not reflect cash expenditures, or future requirements for capital expenditures, or contractual commitments;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EBITDA does not reflect changes in, or cash requirements for, working capital needs;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EBITDA does not reflect the significant interest expense, or the cash requirements necessary to service interest or principal payments, on debt or cash income tax payments;</w:t>
      </w:r>
    </w:p>
    <w:p>
      <w:pPr>
        <w:ind w:left="660" w:right="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companies in this industry may calculate EBITDA differently than Clearway Energy does, limiting its usefulness as a comparative measure.</w:t>
      </w:r>
    </w:p>
    <w:p>
      <w:pPr>
        <w:spacing w:after="0" w:line="2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19" w:name="page20"/>
    <w:bookmarkEnd w:id="19"/>
    <w:p>
      <w:pPr>
        <w:jc w:val="both"/>
        <w:spacing w:after="0" w:line="257" w:lineRule="auto"/>
        <w:rPr>
          <w:sz w:val="20"/>
          <w:szCs w:val="20"/>
          <w:color w:val="auto"/>
        </w:rPr>
      </w:pPr>
      <w:r>
        <w:rPr>
          <w:rFonts w:ascii="Arial" w:cs="Arial" w:eastAsia="Arial" w:hAnsi="Arial"/>
          <w:sz w:val="18"/>
          <w:szCs w:val="18"/>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1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Available for Distribution (CAFD) is Adjusted EBITDA plus cash distributions/return of investment from unconsolidated affiliates, adjustments to reflect CAFD generated by unconsolidated investments that are unable to distribute project dividends due to the PG&amp;E bankruptcy, cash receipts from notes receivable, cash distributions from noncontrolling interests, less cash distributions to noncontrolling interests, maintenance capital expenditures, pro-rata adjusted EBITDA from unconsolidated affiliates, cash interest paid, income taxes paid, principal amortization of indebtedness, Walnut Creek investment payments, changes in prepaid and accrued capacity payments, and adjusted for development expenses. Management believes CAFD is a relevant supplemental measure of the Company’s ability to earn and distribute cash returns to investors.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 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5"/>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6"/>
      <w:numFmt w:val="bullet"/>
      <w:start w:val="1"/>
    </w:lvl>
  </w:abstractNum>
  <w:abstractNum w:abstractNumId="7">
    <w:nsid w:val="216231B"/>
    <w:multiLevelType w:val="hybridMultilevel"/>
    <w:lvl w:ilvl="0">
      <w:lvlJc w:val="left"/>
      <w:lvlText w:val="7"/>
      <w:numFmt w:val="bullet"/>
      <w:start w:val="1"/>
    </w:lvl>
  </w:abstractNum>
  <w:abstractNum w:abstractNumId="8">
    <w:nsid w:val="1F16E9E8"/>
    <w:multiLevelType w:val="hybridMultilevel"/>
    <w:lvl w:ilvl="0">
      <w:lvlJc w:val="left"/>
      <w:lvlText w:val="8"/>
      <w:numFmt w:val="bullet"/>
      <w:start w:val="1"/>
    </w:lvl>
  </w:abstractNum>
  <w:abstractNum w:abstractNumId="9">
    <w:nsid w:val="1190CDE7"/>
    <w:multiLevelType w:val="hybridMultilevel"/>
    <w:lvl w:ilvl="0">
      <w:lvlJc w:val="left"/>
      <w:lvlText w:val="9"/>
      <w:numFmt w:val="bullet"/>
      <w:start w:val="1"/>
    </w:lvl>
  </w:abstractNum>
  <w:abstractNum w:abstractNumId="10">
    <w:nsid w:val="66EF438D"/>
    <w:multiLevelType w:val="hybridMultilevel"/>
    <w:lvl w:ilvl="0">
      <w:lvlJc w:val="left"/>
      <w:lvlText w:val="%1"/>
      <w:numFmt w:val="decimal"/>
      <w:start w:val="10"/>
    </w:lvl>
  </w:abstractNum>
  <w:abstractNum w:abstractNumId="11">
    <w:nsid w:val="140E0F76"/>
    <w:multiLevelType w:val="hybridMultilevel"/>
    <w:lvl w:ilvl="0">
      <w:lvlJc w:val="left"/>
      <w:lvlText w:val="%1"/>
      <w:numFmt w:val="decimal"/>
      <w:start w:val="1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2019-12-28T02:27:44Z</dcterms:created>
  <dcterms:modified xsi:type="dcterms:W3CDTF">2019-12-28T02:27:44Z</dcterms:modified>
</cp:coreProperties>
</file>