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6023-2_4aseq1.xml.htm"/>
      <w:bookmarkStart w:id="1" w:name="kstm23160232_4a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04/04/2023</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8"/>
        <w:gridCol w:w="904"/>
        <w:gridCol w:w="775"/>
        <w:gridCol w:w="600"/>
        <w:gridCol w:w="342"/>
        <w:gridCol w:w="1005"/>
        <w:gridCol w:w="436"/>
        <w:gridCol w:w="746"/>
        <w:gridCol w:w="1134"/>
        <w:gridCol w:w="977"/>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181,218</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31.33</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55,956</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grant of shares of restricted stock of the Issuer granted by Clearway Energy Group LLC ("Clearway Energy Group") under its Long Term Equity Incentive Program to one or more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amends the original Form 4 filed by the Reporting Persons on April 4, 2023 (as amended by Amendment filed on April 25, 2023, "Original Form 4"). This amendment restates the number of shares of restricted stock granted on April 1, 2023 to reflect a grant that was declined by one or more of the Clearway Energy Group employees and never issued, and the resulting balances of securities beneficially owned following the transactions reported herein. This Amendment is also deemed to adjust the reported balances in the Forms 4 filed by the Reporting Persons after the filing of the Original Form 4 through May 16, 2023.</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1275</Words>
  <Characters>6922</Characters>
  <CharactersWithSpaces>8044</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