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2764790</wp:posOffset>
            </wp:positionH>
            <wp:positionV relativeFrom="page">
              <wp:posOffset>294640</wp:posOffset>
            </wp:positionV>
            <wp:extent cx="204089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83210"/>
                    </a:xfrm>
                    <a:prstGeom prst="rect">
                      <a:avLst/>
                    </a:prstGeom>
                    <a:noFill/>
                  </pic:spPr>
                </pic:pic>
              </a:graphicData>
            </a:graphic>
          </wp:anchor>
        </w:drawing>
        <w:t>300 North LaSalle Street</w:t>
      </w:r>
    </w:p>
    <w:p>
      <w:pPr>
        <w:spacing w:after="0" w:line="46"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Chicago, Illinois 60654</w:t>
      </w:r>
    </w:p>
    <w:p>
      <w:pPr>
        <w:sectPr>
          <w:pgSz w:w="11900" w:h="16838" w:orient="portrait"/>
          <w:cols w:equalWidth="0" w:num="1">
            <w:col w:w="11260"/>
          </w:cols>
          <w:pgMar w:left="240" w:top="1111" w:right="399" w:bottom="1440" w:gutter="0" w:footer="0" w:header="0"/>
        </w:sectPr>
      </w:pPr>
    </w:p>
    <w:p>
      <w:pPr>
        <w:spacing w:after="0" w:line="222"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Gerald T. Nowak, P.C.</w:t>
      </w:r>
    </w:p>
    <w:p>
      <w:pPr>
        <w:spacing w:after="0" w:line="46" w:lineRule="exact"/>
        <w:rPr>
          <w:sz w:val="24"/>
          <w:szCs w:val="24"/>
          <w:color w:val="auto"/>
        </w:rPr>
      </w:pPr>
    </w:p>
    <w:p>
      <w:pPr>
        <w:ind w:left="980"/>
        <w:spacing w:after="0"/>
        <w:rPr>
          <w:sz w:val="20"/>
          <w:szCs w:val="20"/>
          <w:color w:val="auto"/>
        </w:rPr>
      </w:pPr>
      <w:r>
        <w:rPr>
          <w:rFonts w:ascii="Arial" w:cs="Arial" w:eastAsia="Arial" w:hAnsi="Arial"/>
          <w:sz w:val="17"/>
          <w:szCs w:val="17"/>
          <w:color w:val="auto"/>
        </w:rPr>
        <w:t>To Call Writer Directly: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(312) 862-2000</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Facsimile:</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(312) 862-2200</w:t>
      </w:r>
    </w:p>
    <w:p>
      <w:pPr>
        <w:spacing w:after="0" w:line="32" w:lineRule="exact"/>
        <w:rPr>
          <w:sz w:val="24"/>
          <w:szCs w:val="24"/>
          <w:color w:val="auto"/>
        </w:rPr>
      </w:pPr>
    </w:p>
    <w:p>
      <w:pPr>
        <w:sectPr>
          <w:pgSz w:w="11900" w:h="16838" w:orient="portrait"/>
          <w:cols w:equalWidth="0" w:num="3">
            <w:col w:w="4440" w:space="720"/>
            <w:col w:w="3160" w:space="720"/>
            <w:col w:w="2220"/>
          </w:cols>
          <w:pgMar w:left="240" w:top="1111" w:right="39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(312) 862-2070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www.kirkland.com</w:t>
      </w:r>
    </w:p>
    <w:p>
      <w:pPr>
        <w:spacing w:after="0" w:line="21" w:lineRule="exact"/>
        <w:rPr>
          <w:sz w:val="24"/>
          <w:szCs w:val="24"/>
          <w:color w:val="auto"/>
        </w:rPr>
      </w:pPr>
    </w:p>
    <w:p>
      <w:pPr>
        <w:sectPr>
          <w:pgSz w:w="11900" w:h="16838" w:orient="portrait"/>
          <w:cols w:equalWidth="0" w:num="2">
            <w:col w:w="4320" w:space="720"/>
            <w:col w:w="6220"/>
          </w:cols>
          <w:pgMar w:left="240" w:top="1111" w:right="399" w:bottom="1440" w:gutter="0" w:footer="0" w:header="0"/>
          <w:type w:val="continuous"/>
        </w:sectPr>
      </w:pPr>
    </w:p>
    <w:p>
      <w:pPr>
        <w:ind w:left="800"/>
        <w:spacing w:after="0"/>
        <w:rPr>
          <w:sz w:val="20"/>
          <w:szCs w:val="20"/>
          <w:color w:val="auto"/>
        </w:rPr>
      </w:pPr>
      <w:r>
        <w:rPr>
          <w:rFonts w:ascii="Arial" w:cs="Arial" w:eastAsia="Arial" w:hAnsi="Arial"/>
          <w:sz w:val="18"/>
          <w:szCs w:val="18"/>
          <w:color w:val="auto"/>
        </w:rPr>
        <w:t>gerald.nowak@kirkland.com</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5"/>
          <w:szCs w:val="15"/>
          <w:color w:val="auto"/>
        </w:rPr>
        <w:t>June 28, 2013</w:t>
      </w:r>
    </w:p>
    <w:p>
      <w:pPr>
        <w:sectPr>
          <w:pgSz w:w="11900" w:h="16838" w:orient="portrait"/>
          <w:cols w:equalWidth="0" w:num="1">
            <w:col w:w="11260"/>
          </w:cols>
          <w:pgMar w:left="240" w:top="1111" w:right="39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Via EDGAR Submission and Overnight Delivery</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60"/>
          </w:cols>
          <w:pgMar w:left="240" w:top="1111" w:right="39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Mara L. Ransom</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7"/>
          <w:szCs w:val="17"/>
          <w:color w:val="auto"/>
        </w:rPr>
        <w:t>Scott Anderegg</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8"/>
          <w:szCs w:val="18"/>
          <w:color w:val="auto"/>
        </w:rPr>
        <w:t>Jarrett Torno</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James Allegretto</w:t>
      </w:r>
    </w:p>
    <w:p>
      <w:pPr>
        <w:spacing w:after="0" w:line="200" w:lineRule="exact"/>
        <w:rPr>
          <w:sz w:val="24"/>
          <w:szCs w:val="24"/>
          <w:color w:val="auto"/>
        </w:rPr>
      </w:pPr>
    </w:p>
    <w:p>
      <w:pPr>
        <w:sectPr>
          <w:pgSz w:w="11900" w:h="16838" w:orient="portrait"/>
          <w:cols w:equalWidth="0" w:num="2">
            <w:col w:w="740" w:space="480"/>
            <w:col w:w="10040"/>
          </w:cols>
          <w:pgMar w:left="240" w:top="1111" w:right="399" w:bottom="1440" w:gutter="0" w:footer="0" w:header="0"/>
          <w:type w:val="continuous"/>
        </w:sectPr>
      </w:pPr>
    </w:p>
    <w:p>
      <w:pPr>
        <w:spacing w:after="0" w:line="30"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6,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333-189148</w:t>
      </w:r>
    </w:p>
    <w:p>
      <w:pPr>
        <w:spacing w:after="0" w:line="200" w:lineRule="exact"/>
        <w:rPr>
          <w:sz w:val="24"/>
          <w:szCs w:val="24"/>
          <w:color w:val="auto"/>
        </w:rPr>
      </w:pPr>
    </w:p>
    <w:p>
      <w:pPr>
        <w:sectPr>
          <w:pgSz w:w="11900" w:h="16838" w:orient="portrait"/>
          <w:cols w:equalWidth="0" w:num="2">
            <w:col w:w="920" w:space="320"/>
            <w:col w:w="10020"/>
          </w:cols>
          <w:pgMar w:left="240" w:top="1111" w:right="3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color w:val="auto"/>
        </w:rPr>
        <w:t>As discussed with Mr. Anderegg, NRG Yield,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submitting as correspondence marked pages showing proposed changes to be made in an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its Registration Statement on Form S-1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The proposed changes reflect the proposed number of shares to be offered in the Company’s initial public offering, proposed price range per share, estimated quarterly dividend per share, estimated proceeds, and other related information.</w:t>
      </w:r>
    </w:p>
    <w:p>
      <w:pPr>
        <w:spacing w:after="0" w:line="187"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As discussed with Mr. Anderegg, the Company respectfully requests that the Staff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review the filed correspondence in advance of the Company filing the Amendment. The Company appreciates the Staff’s willingness to accommodate the Company’s desire not to make the information to be included in the Amendment public before it launches the offering.</w:t>
      </w:r>
    </w:p>
    <w:p>
      <w:pPr>
        <w:spacing w:after="0" w:line="181" w:lineRule="exact"/>
        <w:rPr>
          <w:sz w:val="24"/>
          <w:szCs w:val="24"/>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also reaffirms that it will furnish a letter at the time it requests acceleration of the effective date of the Registration Statement acknowledging the statements set forth in the Staff’s prior comment letter.</w:t>
      </w:r>
    </w:p>
    <w:p>
      <w:pPr>
        <w:spacing w:after="0" w:line="170" w:lineRule="exact"/>
        <w:rPr>
          <w:sz w:val="24"/>
          <w:szCs w:val="24"/>
          <w:color w:val="auto"/>
        </w:rPr>
      </w:pPr>
    </w:p>
    <w:p>
      <w:pPr>
        <w:ind w:left="880"/>
        <w:spacing w:after="0"/>
        <w:tabs>
          <w:tab w:leader="none" w:pos="2000" w:val="left"/>
          <w:tab w:leader="none" w:pos="2860" w:val="left"/>
          <w:tab w:leader="none" w:pos="4080" w:val="left"/>
          <w:tab w:leader="none" w:pos="4940" w:val="left"/>
          <w:tab w:leader="none" w:pos="5980" w:val="left"/>
          <w:tab w:leader="none" w:pos="6960" w:val="left"/>
          <w:tab w:leader="none" w:pos="8280" w:val="left"/>
          <w:tab w:leader="none" w:pos="924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Munich</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Palo Alto</w:t>
      </w:r>
      <w:r>
        <w:rPr>
          <w:sz w:val="20"/>
          <w:szCs w:val="20"/>
          <w:color w:val="auto"/>
        </w:rPr>
        <w:tab/>
      </w:r>
      <w:r>
        <w:rPr>
          <w:rFonts w:ascii="Arial" w:cs="Arial" w:eastAsia="Arial" w:hAnsi="Arial"/>
          <w:sz w:val="18"/>
          <w:szCs w:val="18"/>
          <w:color w:val="auto"/>
        </w:rPr>
        <w:t>San Francisco</w:t>
      </w:r>
      <w:r>
        <w:rPr>
          <w:sz w:val="20"/>
          <w:szCs w:val="20"/>
          <w:color w:val="auto"/>
        </w:rPr>
        <w:tab/>
      </w:r>
      <w:r>
        <w:rPr>
          <w:rFonts w:ascii="Arial" w:cs="Arial" w:eastAsia="Arial" w:hAnsi="Arial"/>
          <w:sz w:val="18"/>
          <w:szCs w:val="18"/>
          <w:color w:val="auto"/>
        </w:rPr>
        <w:t>Shanghai</w:t>
      </w:r>
      <w:r>
        <w:rPr>
          <w:sz w:val="20"/>
          <w:szCs w:val="20"/>
          <w:color w:val="auto"/>
        </w:rPr>
        <w:tab/>
      </w:r>
      <w:r>
        <w:rPr>
          <w:rFonts w:ascii="Arial" w:cs="Arial" w:eastAsia="Arial" w:hAnsi="Arial"/>
          <w:sz w:val="16"/>
          <w:szCs w:val="16"/>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Should you have any questions relating to any of the foregoing, please feel free to contact the undersigned at (312) 862-2075.</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Gerald T. Nowak,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Gerald T. Nowak, P.C.</w:t>
      </w:r>
    </w:p>
    <w:p>
      <w:pPr>
        <w:spacing w:after="0" w:line="225" w:lineRule="exact"/>
        <w:rPr>
          <w:sz w:val="24"/>
          <w:szCs w:val="24"/>
          <w:color w:val="auto"/>
        </w:rPr>
      </w:pPr>
    </w:p>
    <w:p>
      <w:pPr>
        <w:ind w:left="660" w:right="9460" w:hanging="652"/>
        <w:spacing w:after="0" w:line="291" w:lineRule="auto"/>
        <w:tabs>
          <w:tab w:leader="none" w:pos="654" w:val="left"/>
        </w:tabs>
        <w:numPr>
          <w:ilvl w:val="0"/>
          <w:numId w:val="1"/>
        </w:numPr>
        <w:rPr>
          <w:rFonts w:ascii="Arial" w:cs="Arial" w:eastAsia="Arial" w:hAnsi="Arial"/>
          <w:sz w:val="16"/>
          <w:szCs w:val="16"/>
          <w:color w:val="auto"/>
        </w:rPr>
      </w:pPr>
      <w:r>
        <w:rPr>
          <w:rFonts w:ascii="Arial" w:cs="Arial" w:eastAsia="Arial" w:hAnsi="Arial"/>
          <w:sz w:val="16"/>
          <w:szCs w:val="16"/>
          <w:color w:val="auto"/>
        </w:rPr>
        <w:t>David W. Crane Brian Curci</w:t>
      </w:r>
    </w:p>
    <w:p>
      <w:pPr>
        <w:ind w:left="1060"/>
        <w:spacing w:after="0"/>
        <w:rPr>
          <w:rFonts w:ascii="Arial" w:cs="Arial" w:eastAsia="Arial" w:hAnsi="Arial"/>
          <w:sz w:val="16"/>
          <w:szCs w:val="16"/>
          <w:color w:val="auto"/>
        </w:rPr>
      </w:pPr>
      <w:r>
        <w:rPr>
          <w:rFonts w:ascii="Arial" w:cs="Arial" w:eastAsia="Arial" w:hAnsi="Arial"/>
          <w:sz w:val="18"/>
          <w:szCs w:val="18"/>
          <w:i w:val="1"/>
          <w:iCs w:val="1"/>
          <w:color w:val="auto"/>
        </w:rPr>
        <w:t>NRG Yield, Inc.</w:t>
      </w:r>
    </w:p>
    <w:p>
      <w:pPr>
        <w:spacing w:after="0" w:line="210" w:lineRule="exact"/>
        <w:rPr>
          <w:rFonts w:ascii="Arial" w:cs="Arial" w:eastAsia="Arial" w:hAnsi="Arial"/>
          <w:sz w:val="16"/>
          <w:szCs w:val="16"/>
          <w:color w:val="auto"/>
        </w:rPr>
      </w:pPr>
    </w:p>
    <w:p>
      <w:pPr>
        <w:ind w:left="660" w:right="9080"/>
        <w:spacing w:after="0" w:line="274" w:lineRule="auto"/>
        <w:rPr>
          <w:rFonts w:ascii="Arial" w:cs="Arial" w:eastAsia="Arial" w:hAnsi="Arial"/>
          <w:sz w:val="16"/>
          <w:szCs w:val="16"/>
          <w:color w:val="auto"/>
        </w:rPr>
      </w:pPr>
      <w:r>
        <w:rPr>
          <w:rFonts w:ascii="Arial" w:cs="Arial" w:eastAsia="Arial" w:hAnsi="Arial"/>
          <w:sz w:val="17"/>
          <w:szCs w:val="17"/>
          <w:color w:val="auto"/>
        </w:rPr>
        <w:t>Kirk A. Davenport II Patrick H. Shannon</w:t>
      </w:r>
    </w:p>
    <w:p>
      <w:pPr>
        <w:ind w:left="1060"/>
        <w:spacing w:after="0"/>
        <w:rPr>
          <w:rFonts w:ascii="Arial" w:cs="Arial" w:eastAsia="Arial" w:hAnsi="Arial"/>
          <w:sz w:val="16"/>
          <w:szCs w:val="16"/>
          <w:color w:val="auto"/>
        </w:rPr>
      </w:pPr>
      <w:r>
        <w:rPr>
          <w:rFonts w:ascii="Arial" w:cs="Arial" w:eastAsia="Arial" w:hAnsi="Arial"/>
          <w:sz w:val="18"/>
          <w:szCs w:val="18"/>
          <w:i w:val="1"/>
          <w:iCs w:val="1"/>
          <w:color w:val="auto"/>
        </w:rPr>
        <w:t>Latham &amp; Watkins LLP</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2019-12-08T05:46:14Z</dcterms:created>
  <dcterms:modified xsi:type="dcterms:W3CDTF">2019-12-08T05:46:14Z</dcterms:modified>
</cp:coreProperties>
</file>