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6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-235585</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-614680</wp:posOffset>
            </wp:positionV>
            <wp:extent cx="57785" cy="628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20955</wp:posOffset>
            </wp:positionV>
            <wp:extent cx="7047865" cy="6016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601662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220" w:space="400"/>
            <w:col w:w="8460"/>
          </w:cols>
          <w:pgMar w:left="460" w:top="21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Malcarney Kevin P.</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CLEARWAY ENERGY, INC.</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Clearway Energy,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CWEN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04/15/2022</w:t>
      </w:r>
    </w:p>
    <w:p>
      <w:pPr>
        <w:spacing w:after="0" w:line="20" w:lineRule="exact"/>
        <w:rPr>
          <w:sz w:val="24"/>
          <w:szCs w:val="24"/>
          <w:color w:val="auto"/>
        </w:rPr>
      </w:pPr>
      <w:r>
        <w:rPr>
          <w:sz w:val="24"/>
          <w:szCs w:val="24"/>
          <w:color w:val="auto"/>
        </w:rPr>
        <w:br w:type="column"/>
      </w:r>
    </w:p>
    <w:p>
      <w:pPr>
        <w:ind w:left="-1" w:right="680" w:firstLine="1"/>
        <w:spacing w:after="0" w:line="25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5" w:lineRule="exact"/>
        <w:rPr>
          <w:sz w:val="24"/>
          <w:szCs w:val="24"/>
          <w:color w:val="auto"/>
        </w:rPr>
      </w:pPr>
    </w:p>
    <w:tbl>
      <w:tblPr>
        <w:tblLayout w:type="fixed"/>
        <w:tblInd w:w="199" w:type="dxa"/>
        <w:tblCellMar>
          <w:top w:w="0" w:type="dxa"/>
          <w:left w:w="0" w:type="dxa"/>
          <w:bottom w:w="0" w:type="dxa"/>
          <w:right w:w="0" w:type="dxa"/>
        </w:tblCellMar>
      </w:tblPr>
      <w:tr>
        <w:trPr>
          <w:trHeight w:val="166"/>
        </w:trPr>
        <w:tc>
          <w:tcPr>
            <w:tcW w:w="22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2"/>
        </w:trPr>
        <w:tc>
          <w:tcPr>
            <w:tcW w:w="2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3"/>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159"/>
        <w:spacing w:after="0"/>
        <w:rPr>
          <w:sz w:val="20"/>
          <w:szCs w:val="20"/>
          <w:color w:val="auto"/>
        </w:rPr>
      </w:pPr>
      <w:r>
        <w:rPr>
          <w:rFonts w:ascii="Times New Roman" w:cs="Times New Roman" w:eastAsia="Times New Roman" w:hAnsi="Times New Roman"/>
          <w:sz w:val="16"/>
          <w:szCs w:val="16"/>
          <w:color w:val="0000FF"/>
        </w:rPr>
        <w:t>EVP, GEN COUNSEL AND CORP SECR</w:t>
      </w:r>
    </w:p>
    <w:p>
      <w:pPr>
        <w:spacing w:after="0" w:line="380" w:lineRule="exact"/>
        <w:rPr>
          <w:sz w:val="24"/>
          <w:szCs w:val="24"/>
          <w:color w:val="auto"/>
        </w:rPr>
      </w:pPr>
    </w:p>
    <w:p>
      <w:pPr>
        <w:sectPr>
          <w:pgSz w:w="11900" w:h="16838" w:orient="portrait"/>
          <w:cols w:equalWidth="0" w:num="3">
            <w:col w:w="3180" w:space="720"/>
            <w:col w:w="3121" w:space="720"/>
            <w:col w:w="3339"/>
          </w:cols>
          <w:pgMar w:left="460" w:top="215" w:right="359" w:bottom="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7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80" w:type="dxa"/>
            <w:vAlign w:val="bottom"/>
            <w:gridSpan w:val="10"/>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580" w:type="dxa"/>
            <w:vAlign w:val="bottom"/>
            <w:gridSpan w:val="10"/>
            <w:vMerge w:val="restart"/>
          </w:tcPr>
          <w:p>
            <w:pPr>
              <w:ind w:left="44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PRINCETON</w:t>
            </w: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NJ</w:t>
            </w:r>
          </w:p>
        </w:tc>
        <w:tc>
          <w:tcPr>
            <w:tcW w:w="980" w:type="dxa"/>
            <w:vAlign w:val="bottom"/>
          </w:tcPr>
          <w:p>
            <w:pPr>
              <w:spacing w:after="0"/>
              <w:rPr>
                <w:sz w:val="10"/>
                <w:szCs w:val="10"/>
                <w:color w:val="auto"/>
              </w:rPr>
            </w:pPr>
          </w:p>
        </w:tc>
        <w:tc>
          <w:tcPr>
            <w:tcW w:w="5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08540</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5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9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560" w:type="dxa"/>
            <w:vAlign w:val="bottom"/>
            <w:vMerge w:val="restart"/>
          </w:tcPr>
          <w:p>
            <w:pPr>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4"/>
          </w:tcPr>
          <w:p>
            <w:pPr>
              <w:spacing w:after="0"/>
              <w:rPr>
                <w:sz w:val="10"/>
                <w:szCs w:val="10"/>
                <w:color w:val="auto"/>
              </w:rPr>
            </w:pPr>
          </w:p>
        </w:tc>
        <w:tc>
          <w:tcPr>
            <w:tcW w:w="4280" w:type="dxa"/>
            <w:vAlign w:val="bottom"/>
            <w:tcBorders>
              <w:bottom w:val="single" w:sz="8" w:color="2C2C2C"/>
            </w:tcBorders>
            <w:gridSpan w:val="7"/>
          </w:tcPr>
          <w:p>
            <w:pPr>
              <w:spacing w:after="0"/>
              <w:rPr>
                <w:sz w:val="10"/>
                <w:szCs w:val="10"/>
                <w:color w:val="auto"/>
              </w:rPr>
            </w:pPr>
          </w:p>
        </w:tc>
        <w:tc>
          <w:tcPr>
            <w:tcW w:w="6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160" w:type="dxa"/>
            <w:vAlign w:val="bottom"/>
            <w:tcBorders>
              <w:top w:val="single" w:sz="8" w:color="2C2C2C"/>
            </w:tcBorders>
            <w:gridSpan w:val="14"/>
          </w:tcPr>
          <w:p>
            <w:pPr>
              <w:ind w:left="7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40" w:type="dxa"/>
            <w:vAlign w:val="bottom"/>
            <w:tcBorders>
              <w:bottom w:val="single" w:sz="8" w:color="2C2C2C"/>
            </w:tcBorders>
            <w:gridSpan w:val="5"/>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4"/>
                <w:szCs w:val="14"/>
                <w:color w:val="auto"/>
              </w:rPr>
            </w:pPr>
          </w:p>
        </w:tc>
        <w:tc>
          <w:tcPr>
            <w:tcW w:w="1280" w:type="dxa"/>
            <w:vAlign w:val="bottom"/>
            <w:gridSpan w:val="3"/>
          </w:tcPr>
          <w:p>
            <w:pPr>
              <w:ind w:left="24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ind w:left="240"/>
              <w:spacing w:after="0"/>
              <w:rPr>
                <w:sz w:val="20"/>
                <w:szCs w:val="20"/>
                <w:color w:val="auto"/>
              </w:rPr>
            </w:pPr>
            <w:r>
              <w:rPr>
                <w:rFonts w:ascii="Arial" w:cs="Arial" w:eastAsia="Arial" w:hAnsi="Arial"/>
                <w:sz w:val="11"/>
                <w:szCs w:val="11"/>
                <w:b w:val="1"/>
                <w:bCs w:val="1"/>
                <w:color w:val="auto"/>
              </w:rPr>
              <w:t>Date</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jc w:val="center"/>
              <w:spacing w:after="0"/>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80" w:type="dxa"/>
            <w:vAlign w:val="bottom"/>
            <w:gridSpan w:val="3"/>
          </w:tcPr>
          <w:p>
            <w:pPr>
              <w:jc w:val="center"/>
              <w:ind w:left="67"/>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jc w:val="center"/>
              <w:ind w:right="15"/>
              <w:spacing w:after="0"/>
              <w:rPr>
                <w:sz w:val="20"/>
                <w:szCs w:val="20"/>
                <w:color w:val="auto"/>
              </w:rPr>
            </w:pPr>
            <w:r>
              <w:rPr>
                <w:rFonts w:ascii="Arial" w:cs="Arial" w:eastAsia="Arial" w:hAnsi="Arial"/>
                <w:sz w:val="11"/>
                <w:szCs w:val="11"/>
                <w:b w:val="1"/>
                <w:bCs w:val="1"/>
                <w:color w:val="auto"/>
                <w:w w:val="91"/>
              </w:rPr>
              <w:t>(D)</w:t>
            </w:r>
          </w:p>
        </w:tc>
        <w:tc>
          <w:tcPr>
            <w:tcW w:w="56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100" w:type="dxa"/>
            <w:vAlign w:val="bottom"/>
            <w:tcBorders>
              <w:bottom w:val="single" w:sz="8" w:color="2C2C2C"/>
            </w:tcBorders>
            <w:gridSpan w:val="6"/>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10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0000FF"/>
              </w:rPr>
              <w:t>Class C Common Stock, par value $.01 per</w:t>
            </w:r>
          </w:p>
        </w:tc>
        <w:tc>
          <w:tcPr>
            <w:tcW w:w="1280" w:type="dxa"/>
            <w:vAlign w:val="bottom"/>
            <w:gridSpan w:val="3"/>
            <w:vMerge w:val="restart"/>
          </w:tcPr>
          <w:p>
            <w:pPr>
              <w:jc w:val="center"/>
              <w:ind w:left="67"/>
              <w:spacing w:after="0"/>
              <w:rPr>
                <w:sz w:val="20"/>
                <w:szCs w:val="20"/>
                <w:color w:val="auto"/>
              </w:rPr>
            </w:pPr>
            <w:r>
              <w:rPr>
                <w:rFonts w:ascii="Times New Roman" w:cs="Times New Roman" w:eastAsia="Times New Roman" w:hAnsi="Times New Roman"/>
                <w:sz w:val="16"/>
                <w:szCs w:val="16"/>
                <w:color w:val="0000FF"/>
              </w:rPr>
              <w:t>04/15/2022</w:t>
            </w: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vMerge w:val="restart"/>
          </w:tcPr>
          <w:p>
            <w:pPr>
              <w:jc w:val="right"/>
              <w:ind w:right="92"/>
              <w:spacing w:after="0"/>
              <w:rPr>
                <w:sz w:val="20"/>
                <w:szCs w:val="20"/>
                <w:color w:val="auto"/>
              </w:rPr>
            </w:pPr>
            <w:r>
              <w:rPr>
                <w:rFonts w:ascii="Times New Roman" w:cs="Times New Roman" w:eastAsia="Times New Roman" w:hAnsi="Times New Roman"/>
                <w:sz w:val="16"/>
                <w:szCs w:val="16"/>
                <w:color w:val="0000FF"/>
              </w:rPr>
              <w:t>147</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54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20" w:type="dxa"/>
            <w:vAlign w:val="bottom"/>
          </w:tcPr>
          <w:p>
            <w:pPr>
              <w:spacing w:after="0"/>
              <w:rPr>
                <w:sz w:val="20"/>
                <w:szCs w:val="20"/>
                <w:color w:val="auto"/>
              </w:rPr>
            </w:pPr>
          </w:p>
        </w:tc>
        <w:tc>
          <w:tcPr>
            <w:tcW w:w="1260" w:type="dxa"/>
            <w:vAlign w:val="bottom"/>
            <w:gridSpan w:val="3"/>
            <w:vMerge w:val="restart"/>
          </w:tcPr>
          <w:p>
            <w:pPr>
              <w:jc w:val="right"/>
              <w:ind w:right="282"/>
              <w:spacing w:after="0"/>
              <w:rPr>
                <w:sz w:val="20"/>
                <w:szCs w:val="20"/>
                <w:color w:val="auto"/>
              </w:rPr>
            </w:pPr>
            <w:r>
              <w:rPr>
                <w:rFonts w:ascii="Times New Roman" w:cs="Times New Roman" w:eastAsia="Times New Roman" w:hAnsi="Times New Roman"/>
                <w:sz w:val="16"/>
                <w:szCs w:val="16"/>
                <w:color w:val="0000FF"/>
              </w:rPr>
              <w:t>52,540</w:t>
            </w:r>
            <w:r>
              <w:rPr>
                <w:rFonts w:ascii="Times New Roman" w:cs="Times New Roman" w:eastAsia="Times New Roman" w:hAnsi="Times New Roman"/>
                <w:sz w:val="21"/>
                <w:szCs w:val="21"/>
                <w:color w:val="008000"/>
                <w:vertAlign w:val="superscript"/>
              </w:rPr>
              <w:t>(2)</w:t>
            </w:r>
          </w:p>
        </w:tc>
        <w:tc>
          <w:tcPr>
            <w:tcW w:w="300" w:type="dxa"/>
            <w:vAlign w:val="bottom"/>
          </w:tcPr>
          <w:p>
            <w:pPr>
              <w:spacing w:after="0"/>
              <w:rPr>
                <w:sz w:val="20"/>
                <w:szCs w:val="20"/>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share</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100" w:type="dxa"/>
            <w:vAlign w:val="bottom"/>
            <w:tcBorders>
              <w:bottom w:val="single" w:sz="8" w:color="2C2C2C"/>
            </w:tcBorders>
            <w:gridSpan w:val="6"/>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10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0000FF"/>
              </w:rPr>
              <w:t>Class C Common Stock, par value $.01 per</w:t>
            </w:r>
          </w:p>
        </w:tc>
        <w:tc>
          <w:tcPr>
            <w:tcW w:w="1280" w:type="dxa"/>
            <w:vAlign w:val="bottom"/>
            <w:gridSpan w:val="3"/>
            <w:vMerge w:val="restart"/>
          </w:tcPr>
          <w:p>
            <w:pPr>
              <w:jc w:val="center"/>
              <w:ind w:left="67"/>
              <w:spacing w:after="0"/>
              <w:rPr>
                <w:sz w:val="20"/>
                <w:szCs w:val="20"/>
                <w:color w:val="auto"/>
              </w:rPr>
            </w:pPr>
            <w:r>
              <w:rPr>
                <w:rFonts w:ascii="Times New Roman" w:cs="Times New Roman" w:eastAsia="Times New Roman" w:hAnsi="Times New Roman"/>
                <w:sz w:val="16"/>
                <w:szCs w:val="16"/>
                <w:color w:val="0000FF"/>
              </w:rPr>
              <w:t>04/15/2022</w:t>
            </w: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vMerge w:val="restart"/>
          </w:tcPr>
          <w:p>
            <w:pPr>
              <w:jc w:val="right"/>
              <w:ind w:right="92"/>
              <w:spacing w:after="0"/>
              <w:rPr>
                <w:sz w:val="20"/>
                <w:szCs w:val="20"/>
                <w:color w:val="auto"/>
              </w:rPr>
            </w:pPr>
            <w:r>
              <w:rPr>
                <w:rFonts w:ascii="Times New Roman" w:cs="Times New Roman" w:eastAsia="Times New Roman" w:hAnsi="Times New Roman"/>
                <w:sz w:val="16"/>
                <w:szCs w:val="16"/>
                <w:color w:val="0000FF"/>
              </w:rPr>
              <w:t>859</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54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20" w:type="dxa"/>
            <w:vAlign w:val="bottom"/>
          </w:tcPr>
          <w:p>
            <w:pPr>
              <w:spacing w:after="0"/>
              <w:rPr>
                <w:sz w:val="20"/>
                <w:szCs w:val="20"/>
                <w:color w:val="auto"/>
              </w:rPr>
            </w:pPr>
          </w:p>
        </w:tc>
        <w:tc>
          <w:tcPr>
            <w:tcW w:w="1260" w:type="dxa"/>
            <w:vAlign w:val="bottom"/>
            <w:gridSpan w:val="3"/>
            <w:vMerge w:val="restart"/>
          </w:tcPr>
          <w:p>
            <w:pPr>
              <w:jc w:val="right"/>
              <w:ind w:right="282"/>
              <w:spacing w:after="0"/>
              <w:rPr>
                <w:sz w:val="20"/>
                <w:szCs w:val="20"/>
                <w:color w:val="auto"/>
              </w:rPr>
            </w:pPr>
            <w:r>
              <w:rPr>
                <w:rFonts w:ascii="Times New Roman" w:cs="Times New Roman" w:eastAsia="Times New Roman" w:hAnsi="Times New Roman"/>
                <w:sz w:val="16"/>
                <w:szCs w:val="16"/>
                <w:color w:val="0000FF"/>
              </w:rPr>
              <w:t>51,681</w:t>
            </w:r>
            <w:r>
              <w:rPr>
                <w:rFonts w:ascii="Times New Roman" w:cs="Times New Roman" w:eastAsia="Times New Roman" w:hAnsi="Times New Roman"/>
                <w:sz w:val="21"/>
                <w:szCs w:val="21"/>
                <w:color w:val="008000"/>
                <w:vertAlign w:val="superscript"/>
              </w:rPr>
              <w:t>(4)</w:t>
            </w:r>
          </w:p>
        </w:tc>
        <w:tc>
          <w:tcPr>
            <w:tcW w:w="300" w:type="dxa"/>
            <w:vAlign w:val="bottom"/>
          </w:tcPr>
          <w:p>
            <w:pPr>
              <w:spacing w:after="0"/>
              <w:rPr>
                <w:sz w:val="20"/>
                <w:szCs w:val="20"/>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share</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100" w:type="dxa"/>
            <w:vAlign w:val="bottom"/>
            <w:tcBorders>
              <w:bottom w:val="single" w:sz="8" w:color="2C2C2C"/>
            </w:tcBorders>
            <w:gridSpan w:val="6"/>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10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0000FF"/>
              </w:rPr>
              <w:t>Class C Common Stock, par value $.01 per</w:t>
            </w:r>
          </w:p>
        </w:tc>
        <w:tc>
          <w:tcPr>
            <w:tcW w:w="1280" w:type="dxa"/>
            <w:vAlign w:val="bottom"/>
            <w:gridSpan w:val="3"/>
            <w:vMerge w:val="restart"/>
          </w:tcPr>
          <w:p>
            <w:pPr>
              <w:jc w:val="center"/>
              <w:ind w:left="67"/>
              <w:spacing w:after="0"/>
              <w:rPr>
                <w:sz w:val="20"/>
                <w:szCs w:val="20"/>
                <w:color w:val="auto"/>
              </w:rPr>
            </w:pPr>
            <w:r>
              <w:rPr>
                <w:rFonts w:ascii="Times New Roman" w:cs="Times New Roman" w:eastAsia="Times New Roman" w:hAnsi="Times New Roman"/>
                <w:sz w:val="16"/>
                <w:szCs w:val="16"/>
                <w:color w:val="0000FF"/>
              </w:rPr>
              <w:t>04/15/2022</w:t>
            </w: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vMerge w:val="restart"/>
          </w:tcPr>
          <w:p>
            <w:pPr>
              <w:jc w:val="right"/>
              <w:ind w:right="92"/>
              <w:spacing w:after="0"/>
              <w:rPr>
                <w:sz w:val="20"/>
                <w:szCs w:val="20"/>
                <w:color w:val="auto"/>
              </w:rPr>
            </w:pPr>
            <w:r>
              <w:rPr>
                <w:rFonts w:ascii="Times New Roman" w:cs="Times New Roman" w:eastAsia="Times New Roman" w:hAnsi="Times New Roman"/>
                <w:sz w:val="16"/>
                <w:szCs w:val="16"/>
                <w:color w:val="0000FF"/>
              </w:rPr>
              <w:t>817</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54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(5)</w:t>
            </w:r>
          </w:p>
        </w:tc>
        <w:tc>
          <w:tcPr>
            <w:tcW w:w="20" w:type="dxa"/>
            <w:vAlign w:val="bottom"/>
          </w:tcPr>
          <w:p>
            <w:pPr>
              <w:spacing w:after="0"/>
              <w:rPr>
                <w:sz w:val="20"/>
                <w:szCs w:val="20"/>
                <w:color w:val="auto"/>
              </w:rPr>
            </w:pPr>
          </w:p>
        </w:tc>
        <w:tc>
          <w:tcPr>
            <w:tcW w:w="1260" w:type="dxa"/>
            <w:vAlign w:val="bottom"/>
            <w:gridSpan w:val="3"/>
            <w:vMerge w:val="restart"/>
          </w:tcPr>
          <w:p>
            <w:pPr>
              <w:jc w:val="right"/>
              <w:ind w:right="282"/>
              <w:spacing w:after="0"/>
              <w:rPr>
                <w:sz w:val="20"/>
                <w:szCs w:val="20"/>
                <w:color w:val="auto"/>
              </w:rPr>
            </w:pPr>
            <w:r>
              <w:rPr>
                <w:rFonts w:ascii="Times New Roman" w:cs="Times New Roman" w:eastAsia="Times New Roman" w:hAnsi="Times New Roman"/>
                <w:sz w:val="16"/>
                <w:szCs w:val="16"/>
                <w:color w:val="0000FF"/>
              </w:rPr>
              <w:t>50,864</w:t>
            </w:r>
            <w:r>
              <w:rPr>
                <w:rFonts w:ascii="Times New Roman" w:cs="Times New Roman" w:eastAsia="Times New Roman" w:hAnsi="Times New Roman"/>
                <w:sz w:val="21"/>
                <w:szCs w:val="21"/>
                <w:color w:val="008000"/>
                <w:vertAlign w:val="superscript"/>
              </w:rPr>
              <w:t>(6)</w:t>
            </w:r>
          </w:p>
        </w:tc>
        <w:tc>
          <w:tcPr>
            <w:tcW w:w="300" w:type="dxa"/>
            <w:vAlign w:val="bottom"/>
          </w:tcPr>
          <w:p>
            <w:pPr>
              <w:spacing w:after="0"/>
              <w:rPr>
                <w:sz w:val="20"/>
                <w:szCs w:val="20"/>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share</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100" w:type="dxa"/>
            <w:vAlign w:val="bottom"/>
            <w:tcBorders>
              <w:bottom w:val="single" w:sz="8" w:color="2C2C2C"/>
            </w:tcBorders>
            <w:gridSpan w:val="6"/>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10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0000FF"/>
              </w:rPr>
              <w:t>Class C Common Stock, par value $.01 per</w:t>
            </w:r>
          </w:p>
        </w:tc>
        <w:tc>
          <w:tcPr>
            <w:tcW w:w="1280" w:type="dxa"/>
            <w:vAlign w:val="bottom"/>
            <w:gridSpan w:val="3"/>
            <w:vMerge w:val="restart"/>
          </w:tcPr>
          <w:p>
            <w:pPr>
              <w:jc w:val="center"/>
              <w:ind w:left="67"/>
              <w:spacing w:after="0"/>
              <w:rPr>
                <w:sz w:val="20"/>
                <w:szCs w:val="20"/>
                <w:color w:val="auto"/>
              </w:rPr>
            </w:pPr>
            <w:r>
              <w:rPr>
                <w:rFonts w:ascii="Times New Roman" w:cs="Times New Roman" w:eastAsia="Times New Roman" w:hAnsi="Times New Roman"/>
                <w:sz w:val="16"/>
                <w:szCs w:val="16"/>
                <w:color w:val="0000FF"/>
              </w:rPr>
              <w:t>04/15/2022</w:t>
            </w: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4,819</w:t>
            </w:r>
            <w:r>
              <w:rPr>
                <w:rFonts w:ascii="Times New Roman" w:cs="Times New Roman" w:eastAsia="Times New Roman" w:hAnsi="Times New Roman"/>
                <w:sz w:val="21"/>
                <w:szCs w:val="21"/>
                <w:color w:val="008000"/>
                <w:vertAlign w:val="superscript"/>
              </w:rPr>
              <w:t>(7)</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54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(8)</w:t>
            </w:r>
          </w:p>
        </w:tc>
        <w:tc>
          <w:tcPr>
            <w:tcW w:w="20" w:type="dxa"/>
            <w:vAlign w:val="bottom"/>
          </w:tcPr>
          <w:p>
            <w:pPr>
              <w:spacing w:after="0"/>
              <w:rPr>
                <w:sz w:val="20"/>
                <w:szCs w:val="20"/>
                <w:color w:val="auto"/>
              </w:rPr>
            </w:pPr>
          </w:p>
        </w:tc>
        <w:tc>
          <w:tcPr>
            <w:tcW w:w="1260" w:type="dxa"/>
            <w:vAlign w:val="bottom"/>
            <w:gridSpan w:val="3"/>
            <w:vMerge w:val="restart"/>
          </w:tcPr>
          <w:p>
            <w:pPr>
              <w:jc w:val="right"/>
              <w:ind w:right="282"/>
              <w:spacing w:after="0"/>
              <w:rPr>
                <w:sz w:val="20"/>
                <w:szCs w:val="20"/>
                <w:color w:val="auto"/>
              </w:rPr>
            </w:pPr>
            <w:r>
              <w:rPr>
                <w:rFonts w:ascii="Times New Roman" w:cs="Times New Roman" w:eastAsia="Times New Roman" w:hAnsi="Times New Roman"/>
                <w:sz w:val="16"/>
                <w:szCs w:val="16"/>
                <w:color w:val="0000FF"/>
              </w:rPr>
              <w:t>55,683</w:t>
            </w:r>
            <w:r>
              <w:rPr>
                <w:rFonts w:ascii="Times New Roman" w:cs="Times New Roman" w:eastAsia="Times New Roman" w:hAnsi="Times New Roman"/>
                <w:sz w:val="21"/>
                <w:szCs w:val="21"/>
                <w:color w:val="008000"/>
                <w:vertAlign w:val="superscript"/>
              </w:rPr>
              <w:t>(9)</w:t>
            </w:r>
          </w:p>
        </w:tc>
        <w:tc>
          <w:tcPr>
            <w:tcW w:w="300" w:type="dxa"/>
            <w:vAlign w:val="bottom"/>
          </w:tcPr>
          <w:p>
            <w:pPr>
              <w:spacing w:after="0"/>
              <w:rPr>
                <w:sz w:val="20"/>
                <w:szCs w:val="20"/>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share</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5480" w:type="dxa"/>
            <w:vAlign w:val="bottom"/>
            <w:tcBorders>
              <w:bottom w:val="single" w:sz="8" w:color="2C2C2C"/>
            </w:tcBorders>
            <w:gridSpan w:val="10"/>
          </w:tcPr>
          <w:p>
            <w:pPr>
              <w:spacing w:after="0"/>
              <w:rPr>
                <w:sz w:val="8"/>
                <w:szCs w:val="8"/>
                <w:color w:val="auto"/>
              </w:rPr>
            </w:pPr>
          </w:p>
        </w:tc>
        <w:tc>
          <w:tcPr>
            <w:tcW w:w="6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3"/>
          </w:tcPr>
          <w:p>
            <w:pPr>
              <w:ind w:lef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940" w:type="dxa"/>
            <w:vAlign w:val="bottom"/>
            <w:gridSpan w:val="10"/>
          </w:tcPr>
          <w:p>
            <w:pPr>
              <w:ind w:left="1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60" w:type="dxa"/>
            <w:vAlign w:val="bottom"/>
          </w:tcPr>
          <w:p>
            <w:pPr>
              <w:spacing w:after="0"/>
              <w:rPr>
                <w:sz w:val="14"/>
                <w:szCs w:val="14"/>
                <w:color w:val="auto"/>
              </w:rPr>
            </w:pP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2"/>
          </w:tcPr>
          <w:p>
            <w:pPr>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56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0"/>
                <w:szCs w:val="10"/>
                <w:color w:val="auto"/>
              </w:rPr>
            </w:pPr>
          </w:p>
        </w:tc>
        <w:tc>
          <w:tcPr>
            <w:tcW w:w="146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8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gridSpan w:val="2"/>
          </w:tcPr>
          <w:p>
            <w:pPr>
              <w:ind w:left="140"/>
              <w:spacing w:after="0"/>
              <w:rPr>
                <w:sz w:val="20"/>
                <w:szCs w:val="20"/>
                <w:color w:val="auto"/>
              </w:rPr>
            </w:pPr>
            <w:r>
              <w:rPr>
                <w:rFonts w:ascii="Arial" w:cs="Arial" w:eastAsia="Arial" w:hAnsi="Arial"/>
                <w:sz w:val="11"/>
                <w:szCs w:val="11"/>
                <w:b w:val="1"/>
                <w:bCs w:val="1"/>
                <w:color w:val="auto"/>
              </w:rPr>
              <w:t>or Disposed</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8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ind w:left="140"/>
              <w:spacing w:after="0"/>
              <w:rPr>
                <w:sz w:val="20"/>
                <w:szCs w:val="20"/>
                <w:color w:val="auto"/>
              </w:rPr>
            </w:pPr>
            <w:r>
              <w:rPr>
                <w:rFonts w:ascii="Arial" w:cs="Arial" w:eastAsia="Arial" w:hAnsi="Arial"/>
                <w:sz w:val="11"/>
                <w:szCs w:val="11"/>
                <w:b w:val="1"/>
                <w:bCs w:val="1"/>
                <w:color w:val="auto"/>
              </w:rPr>
              <w:t>3, 4 and 5)</w:t>
            </w: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of</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jc w:val="center"/>
              <w:ind w:right="15"/>
              <w:spacing w:after="0"/>
              <w:rPr>
                <w:sz w:val="20"/>
                <w:szCs w:val="20"/>
                <w:color w:val="auto"/>
              </w:rPr>
            </w:pPr>
            <w:r>
              <w:rPr>
                <w:rFonts w:ascii="Times New Roman" w:cs="Times New Roman" w:eastAsia="Times New Roman" w:hAnsi="Times New Roman"/>
                <w:sz w:val="13"/>
                <w:szCs w:val="13"/>
                <w:color w:val="0000FF"/>
                <w:w w:val="94"/>
              </w:rPr>
              <w:t>Class C</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Relative</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ind w:left="4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2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(10)</w:t>
            </w: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9,453</w:t>
            </w:r>
            <w:r>
              <w:rPr>
                <w:rFonts w:ascii="Times New Roman" w:cs="Times New Roman" w:eastAsia="Times New Roman" w:hAnsi="Times New Roman"/>
                <w:sz w:val="21"/>
                <w:szCs w:val="21"/>
                <w:color w:val="008000"/>
                <w:vertAlign w:val="superscript"/>
              </w:rPr>
              <w:t>(10)</w:t>
            </w: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restart"/>
          </w:tcPr>
          <w:p>
            <w:pPr>
              <w:jc w:val="center"/>
              <w:ind w:right="35"/>
              <w:spacing w:after="0" w:line="139" w:lineRule="exact"/>
              <w:rPr>
                <w:sz w:val="20"/>
                <w:szCs w:val="20"/>
                <w:color w:val="auto"/>
              </w:rPr>
            </w:pPr>
            <w:r>
              <w:rPr>
                <w:rFonts w:ascii="Times New Roman" w:cs="Times New Roman" w:eastAsia="Times New Roman" w:hAnsi="Times New Roman"/>
                <w:sz w:val="13"/>
                <w:szCs w:val="13"/>
                <w:color w:val="0000FF"/>
                <w:w w:val="97"/>
              </w:rPr>
              <w:t>Stock,</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14,179</w:t>
            </w: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9,453</w:t>
            </w:r>
            <w:r>
              <w:rPr>
                <w:rFonts w:ascii="Times New Roman" w:cs="Times New Roman" w:eastAsia="Times New Roman" w:hAnsi="Times New Roman"/>
                <w:sz w:val="21"/>
                <w:szCs w:val="21"/>
                <w:color w:val="008000"/>
                <w:vertAlign w:val="superscript"/>
              </w:rPr>
              <w:t>(11)</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5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rPr>
              <w:t>04/15/2022</w:t>
            </w: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04/15/2025</w:t>
            </w:r>
          </w:p>
        </w:tc>
        <w:tc>
          <w:tcPr>
            <w:tcW w:w="7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04/15/2025</w:t>
            </w:r>
          </w:p>
        </w:tc>
        <w:tc>
          <w:tcPr>
            <w:tcW w:w="6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gridSpan w:val="2"/>
            <w:vMerge w:val="restart"/>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vMerge w:val="continue"/>
          </w:tcPr>
          <w:p>
            <w:pPr>
              <w:spacing w:after="0"/>
              <w:rPr>
                <w:sz w:val="6"/>
                <w:szCs w:val="6"/>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20" w:type="dxa"/>
            <w:vAlign w:val="bottom"/>
          </w:tcPr>
          <w:p>
            <w:pPr>
              <w:ind w:left="40"/>
              <w:spacing w:after="0" w:line="127" w:lineRule="exact"/>
              <w:rPr>
                <w:sz w:val="20"/>
                <w:szCs w:val="20"/>
                <w:color w:val="auto"/>
              </w:rPr>
            </w:pPr>
            <w:r>
              <w:rPr>
                <w:rFonts w:ascii="Times New Roman" w:cs="Times New Roman" w:eastAsia="Times New Roman" w:hAnsi="Times New Roman"/>
                <w:sz w:val="13"/>
                <w:szCs w:val="13"/>
                <w:color w:val="0000FF"/>
              </w:rPr>
              <w:t>par value</w:t>
            </w:r>
          </w:p>
        </w:tc>
        <w:tc>
          <w:tcPr>
            <w:tcW w:w="5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 Units</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vMerge w:val="restart"/>
          </w:tcPr>
          <w:p>
            <w:pPr>
              <w:jc w:val="center"/>
              <w:ind w:right="15"/>
              <w:spacing w:after="0"/>
              <w:rPr>
                <w:sz w:val="20"/>
                <w:szCs w:val="20"/>
                <w:color w:val="auto"/>
              </w:rPr>
            </w:pPr>
            <w:r>
              <w:rPr>
                <w:rFonts w:ascii="Times New Roman" w:cs="Times New Roman" w:eastAsia="Times New Roman" w:hAnsi="Times New Roman"/>
                <w:sz w:val="13"/>
                <w:szCs w:val="13"/>
                <w:color w:val="0000FF"/>
                <w:w w:val="98"/>
              </w:rPr>
              <w:t>$.01 per</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7020"/>
        <w:spacing w:after="0"/>
        <w:rPr>
          <w:sz w:val="20"/>
          <w:szCs w:val="20"/>
          <w:color w:val="auto"/>
        </w:rPr>
      </w:pPr>
      <w:r>
        <w:rPr>
          <w:rFonts w:ascii="Times New Roman" w:cs="Times New Roman" w:eastAsia="Times New Roman" w:hAnsi="Times New Roman"/>
          <w:sz w:val="13"/>
          <w:szCs w:val="13"/>
          <w:color w:val="0000FF"/>
        </w:rPr>
        <w:t>share</w:t>
      </w:r>
    </w:p>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160" w:hanging="1"/>
        <w:spacing w:after="0" w:line="233"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 (RSU) awards become eligible for continued vesting after a participant's Retirement, as defined in Clearway Energy, Inc.'s Amended and Restated 2013 Equity Incentive Plan (the "LTIP"), provided the award has been outstanding for one year. On April 15, 2022, Mr. Malcarney's RSUs granted on April 15, 2021 became eligible for continued vesting pursuant to the award agreement in the event Mr. Malcarney retires. Mr. Malcarney elected to satisfy his tax obligation upon the exchange of common stock for RSUs having a value on the date of the exchange equal to the withholding obligation associated with his eligibility for continued vesting of outstanding RSUs. This form reflects the surrender of 147 shares of Class C Common Stock to satisfy the grantee's tax withholding obligation.</w:t>
      </w:r>
    </w:p>
    <w:p>
      <w:pPr>
        <w:spacing w:after="0" w:line="26"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1,882 dividend equivalent rights that may only be settled in Class C Common Stock.</w:t>
      </w:r>
    </w:p>
    <w:p>
      <w:pPr>
        <w:spacing w:after="0" w:line="40" w:lineRule="exact"/>
        <w:rPr>
          <w:rFonts w:ascii="Times New Roman" w:cs="Times New Roman" w:eastAsia="Times New Roman" w:hAnsi="Times New Roman"/>
          <w:sz w:val="13"/>
          <w:szCs w:val="13"/>
          <w:color w:val="008000"/>
        </w:rPr>
      </w:pPr>
    </w:p>
    <w:p>
      <w:pPr>
        <w:ind w:left="40" w:right="180" w:hanging="1"/>
        <w:spacing w:after="0" w:line="233"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15, 2020, Mr. Malcarney was issued 5,341 Restricted Stock Units ("RSUs") by Clearway Energy, Inc. (f/k/a NRG Yield, Inc.) under Clearway Energy Inc.'s Amended and Restated 2013 Equity Incentive Plan (the "LTIP"). These RSUs vest ratably over a three-year period beginning on the first anniversary of the date of the grant. Each RSU is equivalent in value to one share of Class C Common Stock of Clearway Energy Inc., par value $.01 per share. On April 15, 2022, 1,760 shares vested. Mr. Malcarney elected to satisfy his tax obligation upon the exchange of common stock for RSUs having a value on the date of the exchange equal to the withholding obligation. This form reflects the surrender of 859 shares of Class C Common Stock to satisfy the grantee's tax withholding obligation.</w:t>
      </w:r>
    </w:p>
    <w:p>
      <w:pPr>
        <w:spacing w:after="0" w:line="26" w:lineRule="exact"/>
        <w:rPr>
          <w:rFonts w:ascii="Times New Roman" w:cs="Times New Roman" w:eastAsia="Times New Roman" w:hAnsi="Times New Roman"/>
          <w:sz w:val="13"/>
          <w:szCs w:val="13"/>
          <w:color w:val="008000"/>
        </w:rPr>
      </w:pPr>
    </w:p>
    <w:p>
      <w:pPr>
        <w:ind w:left="40" w:right="240" w:hanging="1"/>
        <w:spacing w:after="0" w:line="23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the RSUs described above, 145 DERs converted to Class C Common Stock, resulting in the reporting person holding 1,737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25" w:lineRule="exact"/>
        <w:rPr>
          <w:rFonts w:ascii="Times New Roman" w:cs="Times New Roman" w:eastAsia="Times New Roman" w:hAnsi="Times New Roman"/>
          <w:sz w:val="13"/>
          <w:szCs w:val="13"/>
          <w:color w:val="008000"/>
        </w:rPr>
      </w:pPr>
    </w:p>
    <w:p>
      <w:pPr>
        <w:ind w:left="40" w:right="180" w:hanging="1"/>
        <w:spacing w:after="0" w:line="233"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15, 2021, Mr. Malcarney was issued 4,597 Restricted Stock Units ("RSUs") by Clearway Energy, Inc. (f/k/a NRG Yield, Inc.) under Clearway Energy Inc.'s Amended and Restated 2013 Equity Incentive Plan (the "LTIP"). These RSUs vest ratably over a three-year period beginning on the first anniversary of the date of the grant. Each RSU is equivalent in value to one share of Class C Common Stock of Clearway Energy Inc., par value $.01 per share. On April 15, 2022, 1,596 shares vested. Mr. Malcarney elected to satisfy his tax obligation upon the exchange of common stock for RSUs having a value on the date of the exchange equal to the withholding obligation. This form reflects the surrender of 817 shares of Class C Common Stock to satisfy the grantee's tax withholding obligation.</w:t>
      </w:r>
    </w:p>
    <w:p>
      <w:pPr>
        <w:spacing w:after="0" w:line="26" w:lineRule="exact"/>
        <w:rPr>
          <w:rFonts w:ascii="Times New Roman" w:cs="Times New Roman" w:eastAsia="Times New Roman" w:hAnsi="Times New Roman"/>
          <w:sz w:val="13"/>
          <w:szCs w:val="13"/>
          <w:color w:val="008000"/>
        </w:rPr>
      </w:pPr>
    </w:p>
    <w:p>
      <w:pPr>
        <w:jc w:val="both"/>
        <w:ind w:left="40" w:right="320" w:hanging="1"/>
        <w:spacing w:after="0" w:line="23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the RSUs described above, 66 DERs converted to Class C Common Stock, resulting in the reporting person holding 1,671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25"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RSUs issued to Mr. Malcarney under the LTIP.</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is equivalent in value to one share of Clearway Energy, Inc.'s Class C Common Stock, par value $.01 per share.</w:t>
      </w:r>
    </w:p>
    <w:p>
      <w:pPr>
        <w:spacing w:after="0" w:line="40" w:lineRule="exact"/>
        <w:rPr>
          <w:rFonts w:ascii="Times New Roman" w:cs="Times New Roman" w:eastAsia="Times New Roman" w:hAnsi="Times New Roman"/>
          <w:sz w:val="13"/>
          <w:szCs w:val="13"/>
          <w:color w:val="008000"/>
        </w:rPr>
      </w:pPr>
    </w:p>
    <w:p>
      <w:pPr>
        <w:ind w:left="40" w:right="26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will receive from Clearway Energy, Inc. one such share of Class C Common Stock for each RSU that will vest ratably over a three-year period beginning on the first anniversary of the date of the grant.</w:t>
      </w:r>
    </w:p>
    <w:p>
      <w:pPr>
        <w:spacing w:after="0" w:line="21" w:lineRule="exact"/>
        <w:rPr>
          <w:rFonts w:ascii="Times New Roman" w:cs="Times New Roman" w:eastAsia="Times New Roman" w:hAnsi="Times New Roman"/>
          <w:sz w:val="13"/>
          <w:szCs w:val="13"/>
          <w:color w:val="008000"/>
        </w:rPr>
      </w:pPr>
    </w:p>
    <w:p>
      <w:pPr>
        <w:jc w:val="both"/>
        <w:ind w:left="40" w:right="360" w:hanging="1"/>
        <w:spacing w:after="0" w:line="265" w:lineRule="auto"/>
        <w:tabs>
          <w:tab w:leader="none" w:pos="23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was issued 9,453 Relative Performance Stock Units ("RPSUs") by Clearway Energy, Inc. under the LTIP on April 15, 2022. The RPSUs will convert to shares of Clearway Energy, Inc. Class C Common Stock on April 15, 2025 only in the event the Company has achieved a certain level of total shareholder return ("TSR") relative to the Peer Group (defined below) over a three-year performance period. The number of shares of Common Stock that the Reporting Person may receive is interpolated for TSR falling between Threshold, Target, and Maximum levels as described below.</w:t>
      </w:r>
    </w:p>
    <w:p>
      <w:pPr>
        <w:spacing w:after="0" w:line="10" w:lineRule="exact"/>
        <w:rPr>
          <w:rFonts w:ascii="Times New Roman" w:cs="Times New Roman" w:eastAsia="Times New Roman" w:hAnsi="Times New Roman"/>
          <w:sz w:val="12"/>
          <w:szCs w:val="12"/>
          <w:color w:val="008000"/>
        </w:rPr>
      </w:pPr>
    </w:p>
    <w:p>
      <w:pPr>
        <w:ind w:left="40" w:right="160" w:hanging="1"/>
        <w:spacing w:after="0" w:line="231" w:lineRule="auto"/>
        <w:tabs>
          <w:tab w:leader="none" w:pos="22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will receive (i) a maximum of 14,179 shares of Class C Common Stock if Company's TSR is ranked at or above the 75th percentile relative to a peer group of companies approved by the Company's Compensation Committee (the "Peer Group") for the performance period ("Maximum"); (ii) 9,453 shares of Class C Common Stock if Company's TSR is ranked at the 50th percentile relative to the Peer Group for the performance period (the "Target"); provided, however, if TSR is less than negative twenty percent (-20%), the Company's TSR must be ranked at the 60th percentile relative to the Peer Group for the performance period to receive the Target award; or (iii) 2,363 shares of Common Stock if Company's TSR is ranked at the 25th percentile relative to the Peer Group for the performance period (the "Threshold"). The Reporting Person will not receive any shares of Common Stock if Company's TSR is below the 25th percentile.</w:t>
      </w:r>
    </w:p>
    <w:p>
      <w:pPr>
        <w:sectPr>
          <w:pgSz w:w="11900" w:h="16838" w:orient="portrait"/>
          <w:cols w:equalWidth="0" w:num="1">
            <w:col w:w="11080"/>
          </w:cols>
          <w:pgMar w:left="460" w:top="215" w:right="359" w:bottom="0" w:gutter="0" w:footer="0" w:header="0"/>
          <w:type w:val="continuous"/>
        </w:sectPr>
      </w:pPr>
    </w:p>
    <w:p>
      <w:pPr>
        <w:spacing w:after="0" w:line="5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6"/>
          <w:szCs w:val="16"/>
          <w:color w:val="0000FF"/>
        </w:rPr>
        <w:t>/s/ Kevin P. Malcarney</w:t>
      </w:r>
      <w:r>
        <w:rPr>
          <w:sz w:val="20"/>
          <w:szCs w:val="20"/>
          <w:color w:val="auto"/>
        </w:rPr>
        <w:tab/>
      </w:r>
      <w:r>
        <w:rPr>
          <w:rFonts w:ascii="Times New Roman" w:cs="Times New Roman" w:eastAsia="Times New Roman" w:hAnsi="Times New Roman"/>
          <w:sz w:val="16"/>
          <w:szCs w:val="16"/>
          <w:color w:val="0000FF"/>
        </w:rPr>
        <w:t>04/19/2022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-3810</wp:posOffset>
            </wp:positionV>
            <wp:extent cx="18732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873250" cy="8255"/>
                    </a:xfrm>
                    <a:prstGeom prst="rect">
                      <a:avLst/>
                    </a:prstGeom>
                    <a:noFill/>
                  </pic:spPr>
                </pic:pic>
              </a:graphicData>
            </a:graphic>
          </wp:anchor>
        </w:drawing>
      </w:r>
    </w:p>
    <w:p>
      <w:pPr>
        <w:sectPr>
          <w:pgSz w:w="11900" w:h="16838" w:orient="portrait"/>
          <w:cols w:equalWidth="0" w:num="1">
            <w:col w:w="11080"/>
          </w:cols>
          <w:pgMar w:left="460" w:top="215" w:right="359" w:bottom="0" w:gutter="0" w:footer="0" w:header="0"/>
          <w:type w:val="continuous"/>
        </w:sectPr>
      </w:pPr>
    </w:p>
    <w:bookmarkStart w:id="1" w:name="page2"/>
    <w:bookmarkEnd w:id="1"/>
    <w:p>
      <w:pPr>
        <w:ind w:left="6561"/>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1" w:right="2659" w:hanging="1"/>
        <w:spacing w:after="0" w:line="329"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1"/>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0"/>
      </w:cols>
      <w:pgMar w:left="499"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8590"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2022-04-19T15:50:59Z</dcterms:created>
  <dcterms:modified xsi:type="dcterms:W3CDTF">2022-04-19T15:50:59Z</dcterms:modified>
</cp:coreProperties>
</file>