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153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1530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Malcarney Kevin P.</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CLEARWAY ENERGY,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300 CARNEGIE CENTER, SUITE 300</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PRINCETON</w:t>
            </w:r>
          </w:p>
        </w:tc>
        <w:tc>
          <w:tcPr>
            <w:tcW w:w="9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NJ</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08540</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Clearway Energy,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CWEN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780" w:type="dxa"/>
            <w:vAlign w:val="bottom"/>
            <w:tcBorders>
              <w:bottom w:val="single" w:sz="8" w:color="0000EE"/>
            </w:tcBorders>
          </w:tcPr>
          <w:p>
            <w:pPr>
              <w:spacing w:after="0"/>
              <w:rPr>
                <w:sz w:val="3"/>
                <w:szCs w:val="3"/>
                <w:color w:val="auto"/>
              </w:rPr>
            </w:pPr>
          </w:p>
        </w:tc>
        <w:tc>
          <w:tcPr>
            <w:tcW w:w="1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780" w:type="dxa"/>
            <w:vAlign w:val="bottom"/>
            <w:tcBorders>
              <w:bottom w:val="single" w:sz="8" w:color="2C2C2C"/>
            </w:tcBorders>
          </w:tcPr>
          <w:p>
            <w:pPr>
              <w:spacing w:after="0"/>
              <w:rPr>
                <w:sz w:val="6"/>
                <w:szCs w:val="6"/>
                <w:color w:val="auto"/>
              </w:rPr>
            </w:pPr>
          </w:p>
        </w:tc>
        <w:tc>
          <w:tcPr>
            <w:tcW w:w="184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16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tcPr>
          <w:p>
            <w:pPr>
              <w:ind w:left="4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9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06/03/2024</w:t>
            </w:r>
          </w:p>
        </w:tc>
        <w:tc>
          <w:tcPr>
            <w:tcW w:w="1840" w:type="dxa"/>
            <w:vAlign w:val="bottom"/>
          </w:tcPr>
          <w:p>
            <w:pPr>
              <w:spacing w:after="0"/>
              <w:rPr>
                <w:sz w:val="19"/>
                <w:szCs w:val="19"/>
                <w:color w:val="auto"/>
              </w:rPr>
            </w:pPr>
          </w:p>
        </w:tc>
        <w:tc>
          <w:tcPr>
            <w:tcW w:w="33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EVP, GEN COUNSEL AND CORP SECR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780" w:type="dxa"/>
            <w:vAlign w:val="bottom"/>
          </w:tcPr>
          <w:p>
            <w:pPr>
              <w:spacing w:after="0"/>
              <w:rPr>
                <w:sz w:val="6"/>
                <w:szCs w:val="6"/>
                <w:color w:val="auto"/>
              </w:rPr>
            </w:pPr>
          </w:p>
        </w:tc>
        <w:tc>
          <w:tcPr>
            <w:tcW w:w="1840" w:type="dxa"/>
            <w:vAlign w:val="bottom"/>
          </w:tcPr>
          <w:p>
            <w:pPr>
              <w:spacing w:after="0"/>
              <w:rPr>
                <w:sz w:val="6"/>
                <w:szCs w:val="6"/>
                <w:color w:val="auto"/>
              </w:rPr>
            </w:pPr>
          </w:p>
        </w:tc>
        <w:tc>
          <w:tcPr>
            <w:tcW w:w="33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780" w:type="dxa"/>
            <w:vAlign w:val="bottom"/>
            <w:tcBorders>
              <w:bottom w:val="single" w:sz="8" w:color="2C2C2C"/>
            </w:tcBorders>
          </w:tcPr>
          <w:p>
            <w:pPr>
              <w:spacing w:after="0"/>
              <w:rPr>
                <w:sz w:val="8"/>
                <w:szCs w:val="8"/>
                <w:color w:val="auto"/>
              </w:rPr>
            </w:pPr>
          </w:p>
        </w:tc>
        <w:tc>
          <w:tcPr>
            <w:tcW w:w="18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60" w:type="dxa"/>
            <w:vAlign w:val="bottom"/>
          </w:tcPr>
          <w:p>
            <w:pPr>
              <w:spacing w:after="0"/>
              <w:rPr>
                <w:sz w:val="13"/>
                <w:szCs w:val="13"/>
                <w:color w:val="auto"/>
              </w:rPr>
            </w:pPr>
          </w:p>
        </w:tc>
        <w:tc>
          <w:tcPr>
            <w:tcW w:w="1140" w:type="dxa"/>
            <w:vAlign w:val="bottom"/>
            <w:gridSpan w:val="2"/>
          </w:tcPr>
          <w:p>
            <w:pPr>
              <w:ind w:left="1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6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6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10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1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Class C Common Stock, par value $.01 per</w:t>
            </w:r>
          </w:p>
        </w:tc>
        <w:tc>
          <w:tcPr>
            <w:tcW w:w="11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7"/>
                <w:szCs w:val="17"/>
                <w:color w:val="0000FF"/>
              </w:rPr>
              <w:t>06/03/2024</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vMerge w:val="restart"/>
          </w:tcPr>
          <w:p>
            <w:pPr>
              <w:ind w:left="300"/>
              <w:spacing w:after="0"/>
              <w:rPr>
                <w:sz w:val="20"/>
                <w:szCs w:val="20"/>
                <w:color w:val="auto"/>
              </w:rPr>
            </w:pPr>
            <w:r>
              <w:rPr>
                <w:rFonts w:ascii="Times New Roman" w:cs="Times New Roman" w:eastAsia="Times New Roman" w:hAnsi="Times New Roman"/>
                <w:sz w:val="17"/>
                <w:szCs w:val="17"/>
                <w:color w:val="0000FF"/>
              </w:rPr>
              <w:t>755</w:t>
            </w:r>
          </w:p>
        </w:tc>
        <w:tc>
          <w:tcPr>
            <w:tcW w:w="46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Pr>
          <w:p>
            <w:pPr>
              <w:spacing w:after="0"/>
              <w:rPr>
                <w:sz w:val="21"/>
                <w:szCs w:val="21"/>
                <w:color w:val="auto"/>
              </w:rPr>
            </w:pPr>
          </w:p>
        </w:tc>
        <w:tc>
          <w:tcPr>
            <w:tcW w:w="3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1"/>
                <w:szCs w:val="11"/>
                <w:color w:val="008000"/>
              </w:rPr>
              <w:t>(1)</w:t>
            </w:r>
          </w:p>
        </w:tc>
        <w:tc>
          <w:tcPr>
            <w:tcW w:w="1380" w:type="dxa"/>
            <w:vAlign w:val="bottom"/>
            <w:gridSpan w:val="3"/>
            <w:vMerge w:val="restart"/>
          </w:tcPr>
          <w:p>
            <w:pPr>
              <w:ind w:left="460"/>
              <w:spacing w:after="0"/>
              <w:rPr>
                <w:sz w:val="20"/>
                <w:szCs w:val="20"/>
                <w:color w:val="auto"/>
              </w:rPr>
            </w:pPr>
            <w:r>
              <w:rPr>
                <w:rFonts w:ascii="Times New Roman" w:cs="Times New Roman" w:eastAsia="Times New Roman" w:hAnsi="Times New Roman"/>
                <w:sz w:val="17"/>
                <w:szCs w:val="17"/>
                <w:color w:val="0000FF"/>
              </w:rPr>
              <w:t>78,701</w:t>
            </w:r>
            <w:r>
              <w:rPr>
                <w:rFonts w:ascii="Times New Roman" w:cs="Times New Roman" w:eastAsia="Times New Roman" w:hAnsi="Times New Roman"/>
                <w:sz w:val="22"/>
                <w:szCs w:val="22"/>
                <w:color w:val="008000"/>
                <w:vertAlign w:val="superscript"/>
              </w:rPr>
              <w:t>(2)</w:t>
            </w:r>
          </w:p>
        </w:tc>
        <w:tc>
          <w:tcPr>
            <w:tcW w:w="94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1380" w:type="dxa"/>
            <w:vAlign w:val="bottom"/>
            <w:gridSpan w:val="3"/>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60" w:type="dxa"/>
            <w:vAlign w:val="bottom"/>
          </w:tcPr>
          <w:p>
            <w:pPr>
              <w:spacing w:after="0"/>
              <w:rPr>
                <w:sz w:val="4"/>
                <w:szCs w:val="4"/>
                <w:color w:val="auto"/>
              </w:rPr>
            </w:pPr>
          </w:p>
        </w:tc>
        <w:tc>
          <w:tcPr>
            <w:tcW w:w="4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3880" w:type="dxa"/>
            <w:vAlign w:val="bottom"/>
            <w:tcBorders>
              <w:bottom w:val="single" w:sz="8" w:color="2C2C2C"/>
            </w:tcBorders>
            <w:gridSpan w:val="7"/>
          </w:tcPr>
          <w:p>
            <w:pPr>
              <w:spacing w:after="0"/>
              <w:rPr>
                <w:sz w:val="8"/>
                <w:szCs w:val="8"/>
                <w:color w:val="auto"/>
              </w:rPr>
            </w:pPr>
          </w:p>
        </w:tc>
        <w:tc>
          <w:tcPr>
            <w:tcW w:w="2440" w:type="dxa"/>
            <w:vAlign w:val="bottom"/>
            <w:tcBorders>
              <w:bottom w:val="single" w:sz="8" w:color="2C2C2C"/>
            </w:tcBorders>
            <w:gridSpan w:val="5"/>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6"/>
          </w:tcPr>
          <w:p>
            <w:pPr>
              <w:jc w:val="center"/>
              <w:ind w:left="15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20" w:type="dxa"/>
            <w:vAlign w:val="bottom"/>
            <w:gridSpan w:val="11"/>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dividend equivalent rights accrued on the Reporting Person's Restricted Stock Units ("RSUs") and Relative Performance Stock Units ("RPSUs"), which become exercisable proportionately with the RSUs and RPSUs to which they relate and may only be settled in Class C Common Stock of Clearway Energy, Inc. as determined by the RSU or RPSU to which they relate.</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2,911 dividend equivalent rights that may only be settled in Class C Common Stock.</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Kevin P. Malcarney</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06/05/2024</w:t>
            </w:r>
          </w:p>
        </w:tc>
      </w:tr>
      <w:tr>
        <w:trPr>
          <w:trHeight w:val="20"/>
        </w:trPr>
        <w:tc>
          <w:tcPr>
            <w:tcW w:w="15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38590" TargetMode="External"/><Relationship Id="rId13"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2024-06-05T16:07:32Z</dcterms:created>
  <dcterms:modified xsi:type="dcterms:W3CDTF">2024-06-05T16:07:32Z</dcterms:modified>
</cp:coreProperties>
</file>