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Sotos Christopher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NRG YIELD,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NRG Yield,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NYLD</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PRINCETON</w:t>
            </w:r>
          </w:p>
        </w:tc>
        <w:tc>
          <w:tcPr>
            <w:tcW w:w="980" w:type="dxa"/>
            <w:vAlign w:val="bottom"/>
          </w:tcPr>
          <w:p>
            <w:pPr>
              <w:ind w:left="140"/>
              <w:spacing w:after="0"/>
              <w:rPr>
                <w:sz w:val="20"/>
                <w:szCs w:val="20"/>
                <w:color w:val="auto"/>
              </w:rPr>
            </w:pPr>
            <w:r>
              <w:rPr>
                <w:rFonts w:ascii="Arial" w:cs="Arial" w:eastAsia="Arial" w:hAnsi="Arial"/>
                <w:sz w:val="18"/>
                <w:szCs w:val="18"/>
                <w:color w:val="0000FF"/>
              </w:rPr>
              <w:t>NJ</w:t>
            </w:r>
          </w:p>
        </w:tc>
        <w:tc>
          <w:tcPr>
            <w:tcW w:w="1680" w:type="dxa"/>
            <w:vAlign w:val="bottom"/>
          </w:tcPr>
          <w:p>
            <w:pPr>
              <w:ind w:left="420"/>
              <w:spacing w:after="0"/>
              <w:rPr>
                <w:sz w:val="20"/>
                <w:szCs w:val="20"/>
                <w:color w:val="auto"/>
              </w:rPr>
            </w:pPr>
            <w:r>
              <w:rPr>
                <w:rFonts w:ascii="Arial" w:cs="Arial" w:eastAsia="Arial" w:hAnsi="Arial"/>
                <w:sz w:val="18"/>
                <w:szCs w:val="18"/>
                <w:color w:val="0000FF"/>
              </w:rPr>
              <w:t>08540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2"/>
            <w:vMerge w:val="restart"/>
          </w:tcPr>
          <w:p>
            <w:pPr>
              <w:jc w:val="right"/>
              <w:ind w:right="99"/>
              <w:spacing w:after="0"/>
              <w:rPr>
                <w:sz w:val="20"/>
                <w:szCs w:val="20"/>
                <w:color w:val="auto"/>
              </w:rPr>
            </w:pPr>
            <w:r>
              <w:rPr>
                <w:rFonts w:ascii="Arial" w:cs="Arial" w:eastAsia="Arial" w:hAnsi="Arial"/>
                <w:sz w:val="18"/>
                <w:szCs w:val="18"/>
                <w:color w:val="0000FF"/>
              </w:rPr>
              <w:t>12/01/2017</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2,254</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117,062</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6"/>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8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NRG Yield, Inc. as determined by the RSU or RPSU to which they relate.</w:t>
      </w: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11,150 dividend equivalent rights that may only be settled in Class C Common Stock. There has been a de minimus adjustment of 3 shares to the number of dividend equivalent rights as a result of rounding fractional shares.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/s/ Brian Curci,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12/05/2017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2019-12-04T02:20:23Z</dcterms:created>
  <dcterms:modified xsi:type="dcterms:W3CDTF">2019-12-04T02:20:23Z</dcterms:modified>
</cp:coreProperties>
</file>