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6,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300" w:right="8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December 6, 2021, Scott Stanley informed Clearway Energy, Inc. (the “</w:t>
      </w:r>
      <w:r>
        <w:rPr>
          <w:rFonts w:ascii="Arial" w:cs="Arial" w:eastAsia="Arial" w:hAnsi="Arial"/>
          <w:sz w:val="16"/>
          <w:szCs w:val="16"/>
          <w:u w:val="single" w:color="auto"/>
          <w:color w:val="auto"/>
        </w:rPr>
        <w:t>Company</w:t>
      </w:r>
      <w:r>
        <w:rPr>
          <w:rFonts w:ascii="Arial" w:cs="Arial" w:eastAsia="Arial" w:hAnsi="Arial"/>
          <w:sz w:val="16"/>
          <w:szCs w:val="16"/>
          <w:color w:val="auto"/>
        </w:rPr>
        <w:t>”) of his intention to retire from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effective as of such date. Mr. Stanley’s retirement from the Board was not the result of any disagreement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2021-12-08T15:23:31Z</dcterms:created>
  <dcterms:modified xsi:type="dcterms:W3CDTF">2021-12-08T15:23:31Z</dcterms:modified>
</cp:coreProperties>
</file>