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21, 2020</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1"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1"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511"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600"/>
        <w:spacing w:after="0" w:line="207" w:lineRule="exact"/>
        <w:tabs>
          <w:tab w:leader="none" w:pos="97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 w:name="page2"/>
    <w:bookmarkEnd w:id="1"/>
    <w:p>
      <w:pPr>
        <w:ind w:left="1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21, 2020, subsidiaries of Clearway Energy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agreements providing for the Company’s co-investment in a 1,204 megawatt (“</w:t>
      </w:r>
      <w:r>
        <w:rPr>
          <w:rFonts w:ascii="Times New Roman" w:cs="Times New Roman" w:eastAsia="Times New Roman" w:hAnsi="Times New Roman"/>
          <w:sz w:val="18"/>
          <w:szCs w:val="18"/>
          <w:u w:val="single" w:color="auto"/>
          <w:color w:val="auto"/>
        </w:rPr>
        <w:t>MW</w:t>
      </w:r>
      <w:r>
        <w:rPr>
          <w:rFonts w:ascii="Times New Roman" w:cs="Times New Roman" w:eastAsia="Times New Roman" w:hAnsi="Times New Roman"/>
          <w:sz w:val="18"/>
          <w:szCs w:val="18"/>
          <w:color w:val="auto"/>
        </w:rPr>
        <w:t>”) portfolio of renewable energy projects developed by Clearway Energy Group LLC (“</w:t>
      </w:r>
      <w:r>
        <w:rPr>
          <w:rFonts w:ascii="Times New Roman" w:cs="Times New Roman" w:eastAsia="Times New Roman" w:hAnsi="Times New Roman"/>
          <w:sz w:val="18"/>
          <w:szCs w:val="18"/>
          <w:u w:val="single" w:color="auto"/>
          <w:color w:val="auto"/>
        </w:rPr>
        <w:t>CEG</w:t>
      </w:r>
      <w:r>
        <w:rPr>
          <w:rFonts w:ascii="Times New Roman" w:cs="Times New Roman" w:eastAsia="Times New Roman" w:hAnsi="Times New Roman"/>
          <w:sz w:val="18"/>
          <w:szCs w:val="18"/>
          <w:color w:val="auto"/>
        </w:rPr>
        <w:t>”) consisting of (i) 1,012 MW from five geographically diversified wind, solar and solar plus storage assets under development and (ii) the 192 MW Rosamond Central solar project, which is expected to commence operations by the end of the year. A subsidiary of the Company also agreed to an amendment of the partnership that owns the 419 MW Mesquite Star wind project, providing the Company with additional project cash flows after the first half of 2031. For the above-mentioned transactions, the Company expects to invest an estimated $214 million in corporate capital by the end of 2022, subject to closing adjustments and the projects achieving certain milestones.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Rosamond Membership Interest Purchase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21, 2020, Rosamond Solar Investment LLC (the “</w:t>
      </w:r>
      <w:r>
        <w:rPr>
          <w:rFonts w:ascii="Times New Roman" w:cs="Times New Roman" w:eastAsia="Times New Roman" w:hAnsi="Times New Roman"/>
          <w:sz w:val="18"/>
          <w:szCs w:val="18"/>
          <w:u w:val="single" w:color="auto"/>
          <w:color w:val="auto"/>
        </w:rPr>
        <w:t>Rosie Purchaser</w:t>
      </w:r>
      <w:r>
        <w:rPr>
          <w:rFonts w:ascii="Times New Roman" w:cs="Times New Roman" w:eastAsia="Times New Roman" w:hAnsi="Times New Roman"/>
          <w:sz w:val="18"/>
          <w:szCs w:val="18"/>
          <w:color w:val="auto"/>
        </w:rPr>
        <w:t>”), a subsidiary of the Company, entered into a Membership Interest Purchase Agreement (the “</w:t>
      </w:r>
      <w:r>
        <w:rPr>
          <w:rFonts w:ascii="Times New Roman" w:cs="Times New Roman" w:eastAsia="Times New Roman" w:hAnsi="Times New Roman"/>
          <w:sz w:val="18"/>
          <w:szCs w:val="18"/>
          <w:u w:val="single" w:color="auto"/>
          <w:color w:val="auto"/>
        </w:rPr>
        <w:t>Rosie MIPA</w:t>
      </w:r>
      <w:r>
        <w:rPr>
          <w:rFonts w:ascii="Times New Roman" w:cs="Times New Roman" w:eastAsia="Times New Roman" w:hAnsi="Times New Roman"/>
          <w:sz w:val="18"/>
          <w:szCs w:val="18"/>
          <w:color w:val="auto"/>
        </w:rPr>
        <w:t>”) with Renew Development HoldCo LLC (the “</w:t>
      </w:r>
      <w:r>
        <w:rPr>
          <w:rFonts w:ascii="Times New Roman" w:cs="Times New Roman" w:eastAsia="Times New Roman" w:hAnsi="Times New Roman"/>
          <w:sz w:val="18"/>
          <w:szCs w:val="18"/>
          <w:u w:val="single" w:color="auto"/>
          <w:color w:val="auto"/>
        </w:rPr>
        <w:t>Rosie Seller</w:t>
      </w:r>
      <w:r>
        <w:rPr>
          <w:rFonts w:ascii="Times New Roman" w:cs="Times New Roman" w:eastAsia="Times New Roman" w:hAnsi="Times New Roman"/>
          <w:sz w:val="18"/>
          <w:szCs w:val="18"/>
          <w:color w:val="auto"/>
        </w:rPr>
        <w:t>”), a subsidiary of CEG. Pursuant to the terms of the Rosie MIPA, the Rosie Purchaser acquired 100% of the Class A Membership Interests of Rosie TargetCo LLC, which owns the 192 MW Rosamond Central solar project, located in Kern County, California (the “</w:t>
      </w:r>
      <w:r>
        <w:rPr>
          <w:rFonts w:ascii="Times New Roman" w:cs="Times New Roman" w:eastAsia="Times New Roman" w:hAnsi="Times New Roman"/>
          <w:sz w:val="18"/>
          <w:szCs w:val="18"/>
          <w:u w:val="single" w:color="auto"/>
          <w:color w:val="auto"/>
        </w:rPr>
        <w:t>Rosie Transaction</w:t>
      </w:r>
      <w:r>
        <w:rPr>
          <w:rFonts w:ascii="Times New Roman" w:cs="Times New Roman" w:eastAsia="Times New Roman" w:hAnsi="Times New Roman"/>
          <w:sz w:val="18"/>
          <w:szCs w:val="18"/>
          <w:color w:val="auto"/>
        </w:rPr>
        <w:t>”). The Rosie Purchaser paid $23 million, subject to true-up concurrent with the tax equity investor’s final funding, in consideration for the Rosie Transaction.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Rosie MIPA contains customary representations and warranties and covenants made by the parties. Each of the Rosie Purchaser and the Rosie Seller is obligated, subject to certain limitations, to indemnify the other for certain customary matters, including breaches of representations and warranties, nonfulfillment or breaches of covenants and for certain liabilities and third-party claims.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Rosie MIPA is not complete and is qualified in its entirety by reference to the full text of the Rosie MIPA, a copy of which is filed as Exhibit 10.1 to this Current Report on Form 8-K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Black Rock Membership Interest Purchase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21, 2020, Lighthouse Renewable Class A LLC (the “</w:t>
      </w:r>
      <w:r>
        <w:rPr>
          <w:rFonts w:ascii="Times New Roman" w:cs="Times New Roman" w:eastAsia="Times New Roman" w:hAnsi="Times New Roman"/>
          <w:sz w:val="18"/>
          <w:szCs w:val="18"/>
          <w:u w:val="single" w:color="auto"/>
          <w:color w:val="auto"/>
        </w:rPr>
        <w:t>Black Rock Purchaser</w:t>
      </w:r>
      <w:r>
        <w:rPr>
          <w:rFonts w:ascii="Times New Roman" w:cs="Times New Roman" w:eastAsia="Times New Roman" w:hAnsi="Times New Roman"/>
          <w:sz w:val="18"/>
          <w:szCs w:val="18"/>
          <w:color w:val="auto"/>
        </w:rPr>
        <w:t>”), a subsidiary of the Company, entered into a Membership Interest Purchase Agreement (the “</w:t>
      </w:r>
      <w:r>
        <w:rPr>
          <w:rFonts w:ascii="Times New Roman" w:cs="Times New Roman" w:eastAsia="Times New Roman" w:hAnsi="Times New Roman"/>
          <w:sz w:val="18"/>
          <w:szCs w:val="18"/>
          <w:u w:val="single" w:color="auto"/>
          <w:color w:val="auto"/>
        </w:rPr>
        <w:t>Black Rock MIPA</w:t>
      </w:r>
      <w:r>
        <w:rPr>
          <w:rFonts w:ascii="Times New Roman" w:cs="Times New Roman" w:eastAsia="Times New Roman" w:hAnsi="Times New Roman"/>
          <w:sz w:val="18"/>
          <w:szCs w:val="18"/>
          <w:color w:val="auto"/>
        </w:rPr>
        <w:t>”) with Clearway Renew LLC (the “</w:t>
      </w:r>
      <w:r>
        <w:rPr>
          <w:rFonts w:ascii="Times New Roman" w:cs="Times New Roman" w:eastAsia="Times New Roman" w:hAnsi="Times New Roman"/>
          <w:sz w:val="18"/>
          <w:szCs w:val="18"/>
          <w:u w:val="single" w:color="auto"/>
          <w:color w:val="auto"/>
        </w:rPr>
        <w:t>Black Rock Seller</w:t>
      </w:r>
      <w:r>
        <w:rPr>
          <w:rFonts w:ascii="Times New Roman" w:cs="Times New Roman" w:eastAsia="Times New Roman" w:hAnsi="Times New Roman"/>
          <w:sz w:val="18"/>
          <w:szCs w:val="18"/>
          <w:color w:val="auto"/>
        </w:rPr>
        <w:t>”), a subsidiary of CEG. Pursuant to the terms of the Black Rock MIPA, the Black Rock Purchaser agreed to acquire 50.01% of the Class B Membership Interests of Black Rock Wind Holding LLC, which owns and is developing the 110 MW Black Rock wind project, located in Grant and Mineral Counties, West Virginia, and is expected to reach commercial operations in the second half of 2021 (the “</w:t>
      </w:r>
      <w:r>
        <w:rPr>
          <w:rFonts w:ascii="Times New Roman" w:cs="Times New Roman" w:eastAsia="Times New Roman" w:hAnsi="Times New Roman"/>
          <w:sz w:val="18"/>
          <w:szCs w:val="18"/>
          <w:u w:val="single" w:color="auto"/>
          <w:color w:val="auto"/>
        </w:rPr>
        <w:t>Black Rock Transaction</w:t>
      </w:r>
      <w:r>
        <w:rPr>
          <w:rFonts w:ascii="Times New Roman" w:cs="Times New Roman" w:eastAsia="Times New Roman" w:hAnsi="Times New Roman"/>
          <w:sz w:val="18"/>
          <w:szCs w:val="18"/>
          <w:color w:val="auto"/>
        </w:rPr>
        <w:t>”). The purchase price for the Black Rock Transaction is expected to be $65 million, subject to certain closing adjustments.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Black Rock MIPA contains customary representations and warranties and covenants made by the parties. Each of the Black Rock Purchaser and the Black Rock Seller is obligated, subject to certain limitations, to indemnify the other for certain customary matters, including breaches of representations and warranties, nonfulfillment or breaches of covenants and for certain liabilities and third-party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color w:val="auto"/>
        </w:rPr>
        <w:t>The closing of the Black Rock Transaction is subject to customary closing conditions, including the occurrence of the commercial operations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the Black Rock Transaction to close in the second half of 2021.</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Black Rock MIPA is not complete and is qualified in its entirety by reference to the full text of the Black Rock MIPA, a copy of which is filed as Exhibit 10.2 to this Current Report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Mesquite Sky Membership Interest Purchase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21, 2020, Lighthouse Renewable Class A LLC (the “</w:t>
      </w:r>
      <w:r>
        <w:rPr>
          <w:rFonts w:ascii="Times New Roman" w:cs="Times New Roman" w:eastAsia="Times New Roman" w:hAnsi="Times New Roman"/>
          <w:sz w:val="18"/>
          <w:szCs w:val="18"/>
          <w:u w:val="single" w:color="auto"/>
          <w:color w:val="auto"/>
        </w:rPr>
        <w:t>Mesquite Sky Purchaser</w:t>
      </w:r>
      <w:r>
        <w:rPr>
          <w:rFonts w:ascii="Times New Roman" w:cs="Times New Roman" w:eastAsia="Times New Roman" w:hAnsi="Times New Roman"/>
          <w:sz w:val="18"/>
          <w:szCs w:val="18"/>
          <w:color w:val="auto"/>
        </w:rPr>
        <w:t>”), a subsidiary of the Company, entered into a Membership Interest Purchase Agreement (the “</w:t>
      </w:r>
      <w:r>
        <w:rPr>
          <w:rFonts w:ascii="Times New Roman" w:cs="Times New Roman" w:eastAsia="Times New Roman" w:hAnsi="Times New Roman"/>
          <w:sz w:val="18"/>
          <w:szCs w:val="18"/>
          <w:u w:val="single" w:color="auto"/>
          <w:color w:val="auto"/>
        </w:rPr>
        <w:t>Mesquite Sky MIPA</w:t>
      </w:r>
      <w:r>
        <w:rPr>
          <w:rFonts w:ascii="Times New Roman" w:cs="Times New Roman" w:eastAsia="Times New Roman" w:hAnsi="Times New Roman"/>
          <w:sz w:val="18"/>
          <w:szCs w:val="18"/>
          <w:color w:val="auto"/>
        </w:rPr>
        <w:t>”) with Clearway Renew LLC (the “</w:t>
      </w:r>
      <w:r>
        <w:rPr>
          <w:rFonts w:ascii="Times New Roman" w:cs="Times New Roman" w:eastAsia="Times New Roman" w:hAnsi="Times New Roman"/>
          <w:sz w:val="18"/>
          <w:szCs w:val="18"/>
          <w:u w:val="single" w:color="auto"/>
          <w:color w:val="auto"/>
        </w:rPr>
        <w:t>Mesquite Sky Seller</w:t>
      </w:r>
      <w:r>
        <w:rPr>
          <w:rFonts w:ascii="Times New Roman" w:cs="Times New Roman" w:eastAsia="Times New Roman" w:hAnsi="Times New Roman"/>
          <w:sz w:val="18"/>
          <w:szCs w:val="18"/>
          <w:color w:val="auto"/>
        </w:rPr>
        <w:t>”), a subsidiary of CEG. Pursuant to the terms of the Mesquite Sky MIPA, the Mesquite Sky Purchaser agreed to acquire 50.01% of the Class B Membership Interests of Mesquite Sky Holding LLC, which owns and is developing the 345 MW Mesquite Sky wind project, located in Callahan County, Texas, and is expected to reach commercial operations in the second half of 2021 (the “</w:t>
      </w:r>
      <w:r>
        <w:rPr>
          <w:rFonts w:ascii="Times New Roman" w:cs="Times New Roman" w:eastAsia="Times New Roman" w:hAnsi="Times New Roman"/>
          <w:sz w:val="18"/>
          <w:szCs w:val="18"/>
          <w:u w:val="single" w:color="auto"/>
          <w:color w:val="auto"/>
        </w:rPr>
        <w:t>Mesquite Sky Transaction</w:t>
      </w:r>
      <w:r>
        <w:rPr>
          <w:rFonts w:ascii="Times New Roman" w:cs="Times New Roman" w:eastAsia="Times New Roman" w:hAnsi="Times New Roman"/>
          <w:sz w:val="18"/>
          <w:szCs w:val="18"/>
          <w:color w:val="auto"/>
        </w:rPr>
        <w:t>”). The purchase price for the Mesquite Sky Transaction is expected to be $77 million, subject to certain closing adjustments.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Mesquite Sky MIPA contains customary representations and warranties and covenants made by the parties. Each of the Mesquite Sky Purchaser and the Mesquite Sky Seller is obligated, subject to certain limitations, to indemnify the other for certain customary matters, including breaches of representations and warranties, nonfulfillment or breaches of covenants and for certain liabilities and third-party claims.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closing of the Mesquite Sky Transaction is subject to customary closing conditions, including the occurrence of the commercial operations date. The Company expects the Mesquite Sky Transaction to close by the second half of 2021.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Mesquite Sky MIPA is not complete and is qualified in its entirety by reference to the full text of the Mesquite Sky MIPA, a copy of which is filed as Exhibit 10.3 to this Current Report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22, 2020, the Company issued a press release announcing the transactions described herein. A copy of the press release is attached as Exhibit 99.1 to this Current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2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(d) Exhibits.</w:t>
            </w:r>
          </w:p>
        </w:tc>
      </w:tr>
      <w:tr>
        <w:trPr>
          <w:trHeight w:val="41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52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jc w:val="right"/>
              <w:ind w:right="230"/>
              <w:spacing w:after="0" w:line="169" w:lineRule="exact"/>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10.1†*</w:t>
              </w:r>
            </w:hyperlink>
          </w:p>
        </w:tc>
        <w:tc>
          <w:tcPr>
            <w:tcW w:w="100" w:type="dxa"/>
            <w:vAlign w:val="bottom"/>
          </w:tcPr>
          <w:p>
            <w:pPr>
              <w:spacing w:after="0"/>
              <w:rPr>
                <w:sz w:val="14"/>
                <w:szCs w:val="14"/>
                <w:color w:val="auto"/>
              </w:rPr>
            </w:pPr>
          </w:p>
        </w:tc>
        <w:tc>
          <w:tcPr>
            <w:tcW w:w="10000" w:type="dxa"/>
            <w:vAlign w:val="bottom"/>
            <w:tcBorders>
              <w:top w:val="single" w:sz="8" w:color="auto"/>
              <w:bottom w:val="single" w:sz="8" w:color="0000EE"/>
            </w:tcBorders>
            <w:gridSpan w:val="3"/>
          </w:tcPr>
          <w:p>
            <w:pPr>
              <w:ind w:left="20"/>
              <w:spacing w:after="0" w:line="169"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Membership Interest Purchase Agreement, dated as of December 21, 2020, by and between Renew Development HoldCo LLC and</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Rosamond Solar Investment LLC.</w:t>
              </w:r>
            </w:hyperlink>
          </w:p>
        </w:tc>
        <w:tc>
          <w:tcPr>
            <w:tcW w:w="7520" w:type="dxa"/>
            <w:vAlign w:val="bottom"/>
          </w:tcPr>
          <w:p>
            <w:pPr>
              <w:spacing w:after="0"/>
              <w:rPr>
                <w:sz w:val="17"/>
                <w:szCs w:val="17"/>
                <w:color w:val="auto"/>
              </w:rPr>
            </w:pPr>
          </w:p>
        </w:tc>
      </w:tr>
      <w:tr>
        <w:trPr>
          <w:trHeight w:val="196"/>
        </w:trPr>
        <w:tc>
          <w:tcPr>
            <w:tcW w:w="1240" w:type="dxa"/>
            <w:vAlign w:val="bottom"/>
            <w:gridSpan w:val="2"/>
          </w:tcPr>
          <w:p>
            <w:pPr>
              <w:jc w:val="right"/>
              <w:ind w:right="420"/>
              <w:spacing w:after="0" w:line="196" w:lineRule="exact"/>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10.2†*</w:t>
              </w:r>
            </w:hyperlink>
          </w:p>
        </w:tc>
        <w:tc>
          <w:tcPr>
            <w:tcW w:w="1000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Membership Interest Purchase Agreement, dated as of December 21, 2020, by and between Clearway Renew LLC and Lighthouse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Renewable Class A LLC.</w:t>
              </w:r>
            </w:hyperlink>
          </w:p>
        </w:tc>
      </w:tr>
      <w:tr>
        <w:trPr>
          <w:trHeight w:val="20"/>
        </w:trPr>
        <w:tc>
          <w:tcPr>
            <w:tcW w:w="1240" w:type="dxa"/>
            <w:vAlign w:val="bottom"/>
            <w:gridSpan w:val="2"/>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196"/>
        </w:trPr>
        <w:tc>
          <w:tcPr>
            <w:tcW w:w="1240" w:type="dxa"/>
            <w:vAlign w:val="bottom"/>
            <w:gridSpan w:val="2"/>
          </w:tcPr>
          <w:p>
            <w:pPr>
              <w:jc w:val="right"/>
              <w:ind w:right="420"/>
              <w:spacing w:after="0" w:line="196" w:lineRule="exact"/>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10.3†*</w:t>
              </w:r>
            </w:hyperlink>
          </w:p>
        </w:tc>
        <w:tc>
          <w:tcPr>
            <w:tcW w:w="1000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Membership Interest Purchase Agreement, dated as of December 21, 2020, by and between Clearway Renew LLC and Lighthouse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Renewable Class A LLC.</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237"/>
        </w:trPr>
        <w:tc>
          <w:tcPr>
            <w:tcW w:w="1140" w:type="dxa"/>
            <w:vAlign w:val="bottom"/>
          </w:tcPr>
          <w:p>
            <w:pPr>
              <w:jc w:val="right"/>
              <w:ind w:right="310"/>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99.1</w:t>
              </w:r>
            </w:hyperlink>
          </w:p>
        </w:tc>
        <w:tc>
          <w:tcPr>
            <w:tcW w:w="100" w:type="dxa"/>
            <w:vAlign w:val="bottom"/>
          </w:tcPr>
          <w:p>
            <w:pPr>
              <w:spacing w:after="0"/>
              <w:rPr>
                <w:sz w:val="20"/>
                <w:szCs w:val="20"/>
                <w:color w:val="auto"/>
              </w:rPr>
            </w:pPr>
          </w:p>
        </w:tc>
        <w:tc>
          <w:tcPr>
            <w:tcW w:w="10000" w:type="dxa"/>
            <w:vAlign w:val="bottom"/>
            <w:gridSpan w:val="3"/>
          </w:tcPr>
          <w:p>
            <w:pPr>
              <w:ind w:left="20"/>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Press Release, dated as of December 22, 2020.</w:t>
              </w:r>
            </w:hyperlink>
          </w:p>
        </w:tc>
      </w:tr>
    </w:tbl>
    <w:p>
      <w:pPr>
        <w:ind w:left="1260" w:hanging="820"/>
        <w:spacing w:after="0"/>
        <w:tabs>
          <w:tab w:leader="none" w:pos="12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33" w:lineRule="exact"/>
        <w:rPr>
          <w:rFonts w:ascii="Times New Roman" w:cs="Times New Roman" w:eastAsia="Times New Roman" w:hAnsi="Times New Roman"/>
          <w:sz w:val="18"/>
          <w:szCs w:val="18"/>
          <w:color w:val="auto"/>
        </w:rPr>
      </w:pPr>
    </w:p>
    <w:p>
      <w:pPr>
        <w:ind w:left="560" w:hanging="444"/>
        <w:spacing w:after="0" w:line="261"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jc w:val="both"/>
        <w:ind w:left="560" w:hanging="444"/>
        <w:spacing w:after="0" w:line="255"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Rosie TargetCo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Renew Development HoldCo LLC, as Seller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Rosamond Solar Investment LLC, as Purchaser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December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822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20" w:type="dxa"/>
            <w:vAlign w:val="bottom"/>
          </w:tcPr>
          <w:p>
            <w:pPr>
              <w:spacing w:after="0"/>
              <w:rPr>
                <w:sz w:val="20"/>
                <w:szCs w:val="20"/>
                <w:color w:val="auto"/>
              </w:rPr>
            </w:pPr>
          </w:p>
        </w:tc>
      </w:tr>
      <w:tr>
        <w:trPr>
          <w:trHeight w:val="459"/>
        </w:trPr>
        <w:tc>
          <w:tcPr>
            <w:tcW w:w="100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4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PRINCIPLES OF INTERPRETATION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Rules of Interpretation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SALE OF MEMBERSHIP INTERESTS AND CLOSING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Purchase and Sale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Payment of Purchase Price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Closing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Adjusted Purchase Price Amount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Representations and Warranties with respect to Seller, the Company and the Rosie Entities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Representations and Warranties with Respect to Purchaser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CONDITIONS PRECEDENT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Closing Date Conditions Precedent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CERTAIN COVENANTS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Purchaser’s Substitute Support Obligations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Tax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Seller Parent Guaranty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Purchaser Parent Guaranty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INDEMNIFICATION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Indemnification by Seller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Indemnification by Purchaser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Survival of Representations, Warranties, Covenants and Agreements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Limitations on Claims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Procedure for Indemnification of Third Party Claims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Rights of the Indemnifying Party in the Defense of Third Party Claims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Direct Claims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Exclusive Remedy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Mitigations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Indemnity Treatment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GENERAL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Notices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7060" w:type="dxa"/>
            <w:vAlign w:val="bottom"/>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38"/>
        </w:trPr>
        <w:tc>
          <w:tcPr>
            <w:tcW w:w="9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060" w:type="dxa"/>
            <w:vAlign w:val="bottom"/>
          </w:tcPr>
          <w:p>
            <w:pPr>
              <w:jc w:val="right"/>
              <w:ind w:right="5090"/>
              <w:spacing w:after="0"/>
              <w:rPr>
                <w:sz w:val="20"/>
                <w:szCs w:val="20"/>
                <w:color w:val="auto"/>
              </w:rPr>
            </w:pPr>
            <w:r>
              <w:rPr>
                <w:rFonts w:ascii="Times New Roman" w:cs="Times New Roman" w:eastAsia="Times New Roman" w:hAnsi="Times New Roman"/>
                <w:sz w:val="18"/>
                <w:szCs w:val="18"/>
                <w:b w:val="1"/>
                <w:bCs w:val="1"/>
                <w:color w:val="auto"/>
              </w:rPr>
              <w:t>(continued)</w:t>
            </w:r>
          </w:p>
        </w:tc>
      </w:tr>
      <w:tr>
        <w:trPr>
          <w:trHeight w:val="48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Entire Agreement</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Specific Performance</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Time of the Essence</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Confidentiality; Disclosures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Waiver</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Amendment</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No Third Party Beneficiary</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Assignment</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Governing Law</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Consent to Jurisdiction</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Waiver of Jury Trial</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Limitation on Certain Damages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Disclosures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PDF Signature; Counterparts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20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Base Case Model</w:t>
            </w:r>
          </w:p>
        </w:tc>
        <w:tc>
          <w:tcPr>
            <w:tcW w:w="706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Officer’s Certificate of Seller</w:t>
            </w:r>
          </w:p>
        </w:tc>
        <w:tc>
          <w:tcPr>
            <w:tcW w:w="70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Secretary’s Certificate of Seller</w:t>
            </w:r>
          </w:p>
        </w:tc>
        <w:tc>
          <w:tcPr>
            <w:tcW w:w="70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 Certificate of Purchaser</w:t>
            </w:r>
          </w:p>
        </w:tc>
        <w:tc>
          <w:tcPr>
            <w:tcW w:w="70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Secretary’s Certificate of Purchaser</w:t>
            </w:r>
          </w:p>
        </w:tc>
        <w:tc>
          <w:tcPr>
            <w:tcW w:w="70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 of Membership Interests</w:t>
            </w:r>
          </w:p>
        </w:tc>
        <w:tc>
          <w:tcPr>
            <w:tcW w:w="70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Seller Parent Guaranty</w:t>
            </w:r>
          </w:p>
        </w:tc>
        <w:tc>
          <w:tcPr>
            <w:tcW w:w="70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Purchaser Parent Guaranty</w:t>
            </w:r>
          </w:p>
        </w:tc>
        <w:tc>
          <w:tcPr>
            <w:tcW w:w="706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Schedules:</w:t>
      </w:r>
    </w:p>
    <w:p>
      <w:pPr>
        <w:spacing w:after="0" w:line="229"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color w:val="auto"/>
        </w:rPr>
        <w:t>Schedule 6.01(b)</w:t>
      </w:r>
      <w:r>
        <w:rPr>
          <w:sz w:val="20"/>
          <w:szCs w:val="20"/>
          <w:color w:val="auto"/>
        </w:rPr>
        <w:tab/>
      </w:r>
      <w:r>
        <w:rPr>
          <w:rFonts w:ascii="Times New Roman" w:cs="Times New Roman" w:eastAsia="Times New Roman" w:hAnsi="Times New Roman"/>
          <w:sz w:val="17"/>
          <w:szCs w:val="17"/>
          <w:color w:val="auto"/>
        </w:rPr>
        <w:t>Certain Indemnification Matters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Schedules: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1.01</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Liens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3.01(c)</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Seller Consents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3.01(e)</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Seller Approvals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3.01(f)</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3.01(g)</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Business Jurisdictions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Equity Encumbrances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3.01(i)(iv)</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and Officers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3.01(i)(vi)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Options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3.01(i)(vii)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Additional Investments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3.01(i)(viii)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Additional Business Operations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3.01(i)(x)</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Liens on Acquired Interests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3.01(j)</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3.01(k)</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3.01(m)(i)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Contracts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3.01(m)(iii)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Contracts Defaults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3.01(n)(i)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Property Rights and Land</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3.01(n)(ii)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Real Property Agreements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3.01(n)(iii)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 I – Permitted Real Property Rights Agreements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3.01(n)(iii)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 II – Permitted Absent Real Property Rights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3.01(p)(i)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Law Non-Compliance</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3.01(p)(iii)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Permits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3.01(q)(i)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3.01(q)(ii)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Noncompliance</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3.01(r)</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 Transactions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3.01(s)(i)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3.01(t)</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3.01(v)</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Absence of Changes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3.01(w)</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Accounts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3.01(y)</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Support Obligations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3.02(c)</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Purchaser Consents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3.02(e)</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3.02(h)</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Brokers</w:t>
            </w: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3.02(i)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Purchaser Approvals</w:t>
            </w:r>
          </w:p>
        </w:tc>
      </w:tr>
      <w:tr>
        <w:trPr>
          <w:trHeight w:val="648"/>
        </w:trPr>
        <w:tc>
          <w:tcPr>
            <w:tcW w:w="168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8"/>
                <w:szCs w:val="18"/>
                <w:color w:val="auto"/>
              </w:rPr>
              <w:t>iii</w:t>
            </w: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MEMBERSHIP INTEREST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December 21, 2020 (the “</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is entered into by and between Renew Development HoldCo LLC, a Delaware limited liability company (“</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and Rosamond Solar Investment LLC, a Delaware limited liability company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Purchaser and Seller are referred to,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xml:space="preserve">.” Capitalized terms not otherwise defined herein shall have the meaning given them in </w:t>
      </w:r>
      <w:r>
        <w:rPr>
          <w:rFonts w:ascii="Times New Roman" w:cs="Times New Roman" w:eastAsia="Times New Roman" w:hAnsi="Times New Roman"/>
          <w:sz w:val="18"/>
          <w:szCs w:val="18"/>
          <w:i w:val="1"/>
          <w:iCs w:val="1"/>
          <w:color w:val="auto"/>
        </w:rPr>
        <w:t>Section 1.01</w:t>
      </w:r>
      <w:r>
        <w:rPr>
          <w:rFonts w:ascii="Times New Roman" w:cs="Times New Roman" w:eastAsia="Times New Roman" w:hAnsi="Times New Roman"/>
          <w:sz w:val="18"/>
          <w:szCs w:val="18"/>
          <w:color w:val="auto"/>
        </w:rPr>
        <w:t xml:space="preserve">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jc w:val="both"/>
        <w:ind w:firstLine="656"/>
        <w:spacing w:after="0" w:line="258" w:lineRule="auto"/>
        <w:tabs>
          <w:tab w:leader="none" w:pos="12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owns one hundred percent (100%) of the Class A Units (as defined in the Existing Rosie A&amp;R LLCA) (the “</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of Rosie TargetCo LLC,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 Lighthouse LLC, a Delaware limited liability company (“</w:t>
      </w:r>
      <w:r>
        <w:rPr>
          <w:rFonts w:ascii="Times New Roman" w:cs="Times New Roman" w:eastAsia="Times New Roman" w:hAnsi="Times New Roman"/>
          <w:sz w:val="18"/>
          <w:szCs w:val="18"/>
          <w:i w:val="1"/>
          <w:iCs w:val="1"/>
          <w:color w:val="auto"/>
        </w:rPr>
        <w:t>HASI</w:t>
      </w:r>
      <w:r>
        <w:rPr>
          <w:rFonts w:ascii="Times New Roman" w:cs="Times New Roman" w:eastAsia="Times New Roman" w:hAnsi="Times New Roman"/>
          <w:sz w:val="18"/>
          <w:szCs w:val="18"/>
          <w:color w:val="auto"/>
        </w:rPr>
        <w:t>”) owns one hundred percent (100%) of the Class B Units (as defined in the Existing Rosie A&amp;R LLCA) in the Company, and Clearway Renew LLC, a Delaware limited liability company (the “</w:t>
      </w:r>
      <w:r>
        <w:rPr>
          <w:rFonts w:ascii="Times New Roman" w:cs="Times New Roman" w:eastAsia="Times New Roman" w:hAnsi="Times New Roman"/>
          <w:sz w:val="18"/>
          <w:szCs w:val="18"/>
          <w:i w:val="1"/>
          <w:iCs w:val="1"/>
          <w:color w:val="auto"/>
        </w:rPr>
        <w:t>Class C Member</w:t>
      </w:r>
      <w:r>
        <w:rPr>
          <w:rFonts w:ascii="Times New Roman" w:cs="Times New Roman" w:eastAsia="Times New Roman" w:hAnsi="Times New Roman"/>
          <w:sz w:val="18"/>
          <w:szCs w:val="18"/>
          <w:color w:val="auto"/>
        </w:rPr>
        <w:t>”) owns one hundred percent (100%) of the Class C Units (as defined in the Existing Rosie A&amp;R LLCA) in the Company.</w:t>
      </w:r>
    </w:p>
    <w:p>
      <w:pPr>
        <w:spacing w:after="0" w:line="18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sole member and one hundred percent (100%) owner of Rosie Class B LLC, a Delaware limited liability company (“</w:t>
      </w:r>
      <w:r>
        <w:rPr>
          <w:rFonts w:ascii="Times New Roman" w:cs="Times New Roman" w:eastAsia="Times New Roman" w:hAnsi="Times New Roman"/>
          <w:sz w:val="18"/>
          <w:szCs w:val="18"/>
          <w:i w:val="1"/>
          <w:iCs w:val="1"/>
          <w:color w:val="auto"/>
        </w:rPr>
        <w:t>TE Class B Member</w:t>
      </w:r>
      <w:r>
        <w:rPr>
          <w:rFonts w:ascii="Times New Roman" w:cs="Times New Roman" w:eastAsia="Times New Roman" w:hAnsi="Times New Roman"/>
          <w:sz w:val="18"/>
          <w:szCs w:val="18"/>
          <w:color w:val="auto"/>
        </w:rPr>
        <w:t>”), which is the owner of one hundred percent (100%) of the Class B Units (as defined in the Tax Equity Agreement) of Rosie TE HoldCo LLC, a Delaware limited liability company (“</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 and Morgan Stanley Renewables Inc. (the “</w:t>
      </w:r>
      <w:r>
        <w:rPr>
          <w:rFonts w:ascii="Times New Roman" w:cs="Times New Roman" w:eastAsia="Times New Roman" w:hAnsi="Times New Roman"/>
          <w:sz w:val="18"/>
          <w:szCs w:val="18"/>
          <w:i w:val="1"/>
          <w:iCs w:val="1"/>
          <w:color w:val="auto"/>
        </w:rPr>
        <w:t>Tax Equity Investor</w:t>
      </w:r>
      <w:r>
        <w:rPr>
          <w:rFonts w:ascii="Times New Roman" w:cs="Times New Roman" w:eastAsia="Times New Roman" w:hAnsi="Times New Roman"/>
          <w:sz w:val="18"/>
          <w:szCs w:val="18"/>
          <w:color w:val="auto"/>
        </w:rPr>
        <w:t>”) is the owner of one hundred percent (100%) of the Class A Units (as defined in the Tax Equity Agreement) of TE HoldCo.</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 HoldCo is the sole member and one hundred percent (100%) owner of Rosie Project HoldCo LLC, a Delaware limited liability company (“</w:t>
      </w:r>
      <w:r>
        <w:rPr>
          <w:rFonts w:ascii="Times New Roman" w:cs="Times New Roman" w:eastAsia="Times New Roman" w:hAnsi="Times New Roman"/>
          <w:sz w:val="18"/>
          <w:szCs w:val="18"/>
          <w:i w:val="1"/>
          <w:iCs w:val="1"/>
          <w:color w:val="auto"/>
        </w:rPr>
        <w:t>Project HoldCo</w:t>
      </w:r>
      <w:r>
        <w:rPr>
          <w:rFonts w:ascii="Times New Roman" w:cs="Times New Roman" w:eastAsia="Times New Roman" w:hAnsi="Times New Roman"/>
          <w:sz w:val="18"/>
          <w:szCs w:val="18"/>
          <w:color w:val="auto"/>
        </w:rPr>
        <w:t>”), which is the sole member and one hundred percent (100%) owner of Golden Fields Solar III, LLC, a Delaware limited liability company (the “</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and together with TE Class B Member, TE HoldCo and Project HoldCo, the “</w:t>
      </w:r>
      <w:r>
        <w:rPr>
          <w:rFonts w:ascii="Times New Roman" w:cs="Times New Roman" w:eastAsia="Times New Roman" w:hAnsi="Times New Roman"/>
          <w:sz w:val="18"/>
          <w:szCs w:val="18"/>
          <w:i w:val="1"/>
          <w:iCs w:val="1"/>
          <w:color w:val="auto"/>
        </w:rPr>
        <w:t>Rosie Entities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i w:val="1"/>
          <w:iCs w:val="1"/>
          <w:color w:val="auto"/>
        </w:rPr>
        <w:t>Rosie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4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Company owns and operates an approximately 192 MW AC ground-mounted solar photovoltaic generating facility and associated infrastructure located in Kern County, California (the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and sells electric power therefrom.</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subject to the satisfaction or waiver of the applicable conditions precedent set forth herein, the Acquired Interests will be sold to Purchaser for the Purchase Price as provided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covenants, representations and warranties set forth herein, and intending to be legally bound hereby,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PRINCIPLES OF INTERPRETATION</w:t>
      </w:r>
    </w:p>
    <w:p>
      <w:pPr>
        <w:spacing w:after="0" w:line="20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As used in this Agreement, the following defined terms have the meanings indicated below:</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 or Proceeding</w:t>
      </w:r>
      <w:r>
        <w:rPr>
          <w:rFonts w:ascii="Times New Roman" w:cs="Times New Roman" w:eastAsia="Times New Roman" w:hAnsi="Times New Roman"/>
          <w:sz w:val="18"/>
          <w:szCs w:val="18"/>
          <w:color w:val="auto"/>
        </w:rPr>
        <w:t>” means any action, suit, proceeding, arbitration or investigation by or before any Governmental Authority.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Model</w:t>
      </w:r>
      <w:r>
        <w:rPr>
          <w:rFonts w:ascii="Times New Roman" w:cs="Times New Roman" w:eastAsia="Times New Roman" w:hAnsi="Times New Roman"/>
          <w:sz w:val="18"/>
          <w:szCs w:val="18"/>
          <w:color w:val="auto"/>
        </w:rPr>
        <w:t>” means the Base Case Model, with the following cells updated by Seller prior to the Substantial Completion Capital Contribution Date, in each case on the basis of the Pricing Adjustments:</w:t>
      </w:r>
    </w:p>
    <w:p>
      <w:pPr>
        <w:spacing w:after="0" w:line="160" w:lineRule="exact"/>
        <w:rPr>
          <w:sz w:val="20"/>
          <w:szCs w:val="20"/>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C9;</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C24;</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C25;</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C31;</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C32:C33;</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C43:C54;</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P45:BC45;</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P43:WQ43;</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C100:C103, C187:C191 and C201:C205;</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P155:SA160;</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H143:H183;</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P397:BC397;</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E463:E502;</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G463:G502;</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C563;</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Depreciation, Input Reference U295:BC295;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1920" w:hanging="616"/>
        <w:spacing w:after="0"/>
        <w:tabs>
          <w:tab w:leader="none" w:pos="1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Scenario, Input Reference I8:L8.</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 specified Person means any other Person that directly or indirectly through one or more intermediaries Controls, is Controlled by or is under common Control with the Person specified. For the purposes of this Agreement, Clearway Energy Group LLC and its direct or indirect subsidiaries, including Seller, the Company and the Rosie Entities shall not be considered “Affiliates” of Clearway Energy, Inc. and its direct or indirect subsidiaries, including Purchaser.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Assignment of Membership Interests</w:t>
      </w:r>
      <w:r>
        <w:rPr>
          <w:rFonts w:ascii="Times New Roman" w:cs="Times New Roman" w:eastAsia="Times New Roman" w:hAnsi="Times New Roman"/>
          <w:sz w:val="18"/>
          <w:szCs w:val="18"/>
          <w:color w:val="auto"/>
        </w:rPr>
        <w:t xml:space="preserve">” means the Assignment and Assumption Agreement, in substantially the form of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attached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Case Model</w:t>
      </w:r>
      <w:r>
        <w:rPr>
          <w:rFonts w:ascii="Times New Roman" w:cs="Times New Roman" w:eastAsia="Times New Roman" w:hAnsi="Times New Roman"/>
          <w:sz w:val="18"/>
          <w:szCs w:val="18"/>
          <w:color w:val="auto"/>
        </w:rPr>
        <w:t xml:space="preserve">” means the financial projections with respect to the Project in file “Rosamond Central – CE Vehicle – External CWEN 12112020.xlsb”, and attached as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Saturday, Sunday or any day on which banks located in the State of New York or the State of New Jersey are authorized or obligated to close.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CAISO</w:t>
      </w:r>
      <w:r>
        <w:rPr>
          <w:rFonts w:ascii="Times New Roman" w:cs="Times New Roman" w:eastAsia="Times New Roman" w:hAnsi="Times New Roman"/>
          <w:sz w:val="18"/>
          <w:szCs w:val="18"/>
          <w:color w:val="auto"/>
        </w:rPr>
        <w:t>” means the California Independent System Operator,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Contribution Date</w:t>
      </w:r>
      <w:r>
        <w:rPr>
          <w:rFonts w:ascii="Times New Roman" w:cs="Times New Roman" w:eastAsia="Times New Roman" w:hAnsi="Times New Roman"/>
          <w:sz w:val="18"/>
          <w:szCs w:val="18"/>
          <w:color w:val="auto"/>
        </w:rPr>
        <w:t>” means the Capital Contribution Date as defined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Member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3.01(m)(i)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7.15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Constitutive Documents</w:t>
      </w:r>
      <w:r>
        <w:rPr>
          <w:rFonts w:ascii="Times New Roman" w:cs="Times New Roman" w:eastAsia="Times New Roman" w:hAnsi="Times New Roman"/>
          <w:sz w:val="18"/>
          <w:szCs w:val="18"/>
          <w:color w:val="auto"/>
        </w:rPr>
        <w:t>” means the certificate of formation and the limited liability company agreement or partnership agreement of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CPUC</w:t>
      </w:r>
      <w:r>
        <w:rPr>
          <w:rFonts w:ascii="Times New Roman" w:cs="Times New Roman" w:eastAsia="Times New Roman" w:hAnsi="Times New Roman"/>
          <w:sz w:val="18"/>
          <w:szCs w:val="18"/>
          <w:color w:val="auto"/>
        </w:rPr>
        <w:t>” means the California Public Utilities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Schedules</w:t>
      </w:r>
      <w:r>
        <w:rPr>
          <w:rFonts w:ascii="Times New Roman" w:cs="Times New Roman" w:eastAsia="Times New Roman" w:hAnsi="Times New Roman"/>
          <w:sz w:val="18"/>
          <w:szCs w:val="18"/>
          <w:color w:val="auto"/>
        </w:rPr>
        <w:t>” means the schedules to Seller’s and Purchaser’s representations and warranties of even date herewith delivered in connection with the execution and delivery of this Agreement.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 Plan</w:t>
      </w:r>
      <w:r>
        <w:rPr>
          <w:rFonts w:ascii="Times New Roman" w:cs="Times New Roman" w:eastAsia="Times New Roman" w:hAnsi="Times New Roman"/>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the Company or the Rosie Entities or any ERISA Affiliate.</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Attributes</w:t>
      </w:r>
      <w:r>
        <w:rPr>
          <w:rFonts w:ascii="Times New Roman" w:cs="Times New Roman" w:eastAsia="Times New Roman" w:hAnsi="Times New Roman"/>
          <w:sz w:val="18"/>
          <w:szCs w:val="18"/>
          <w:color w:val="auto"/>
        </w:rPr>
        <w:t>” means all environmental air quality credits, green credits, carbon credits, emissions reduction credits, certificates, tags, offsets, allowances, or similar products or rights, howsoever entitled,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resulting from the avoidance of the emission of any gas, chemical or other substance, including mercury, nitrogen oxide, sulfur dioxide, carbon dioxide, carbon monoxide, particulate matter or similar pollutants or contaminants of air, water, or soil, gas, chemical, or other substance,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attributable to the generation, purchase, sale or use of renewable energy generated or use of renewable generation technologies by the Project, or otherwise attributable to the Project, including any renewable energy credits (“</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 w:name="page14"/>
    <w:bookmarkEnd w:id="1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 Affiliate</w:t>
      </w:r>
      <w:r>
        <w:rPr>
          <w:rFonts w:ascii="Times New Roman" w:cs="Times New Roman" w:eastAsia="Times New Roman" w:hAnsi="Times New Roman"/>
          <w:sz w:val="18"/>
          <w:szCs w:val="18"/>
          <w:color w:val="auto"/>
        </w:rPr>
        <w:t xml:space="preserve">” means any entity, trade or business that is a member of a group described in Section 414(b), (c), (m) or (o) of the Code or Section 4001(b)(1) of ERISA that includes Seller, the Company or the Rosie Entities or that is a member of the same “controlled group” as Seller pursuant to Section 4001(a)(14) of ERISA;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and the Rosie Entities shall not be considered to be ERISA Affiliates from and after the Closing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Rosie A&amp;R LLCA</w:t>
      </w:r>
      <w:r>
        <w:rPr>
          <w:rFonts w:ascii="Times New Roman" w:cs="Times New Roman" w:eastAsia="Times New Roman" w:hAnsi="Times New Roman"/>
          <w:sz w:val="18"/>
          <w:szCs w:val="18"/>
          <w:color w:val="auto"/>
        </w:rPr>
        <w:t>” means that certain Amended and Restated Limited Liability Company Agreement of the Company, dated as of November 20, 2020, by and among Seller, HASI and the Class C Member.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FERC</w:t>
      </w:r>
      <w:r>
        <w:rPr>
          <w:rFonts w:ascii="Times New Roman" w:cs="Times New Roman" w:eastAsia="Times New Roman" w:hAnsi="Times New Roman"/>
          <w:sz w:val="18"/>
          <w:szCs w:val="18"/>
          <w:color w:val="auto"/>
        </w:rPr>
        <w:t>” means the Federal Energy Regulatory Commission.</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Agreement</w:t>
      </w:r>
      <w:r>
        <w:rPr>
          <w:rFonts w:ascii="Times New Roman" w:cs="Times New Roman" w:eastAsia="Times New Roman" w:hAnsi="Times New Roman"/>
          <w:sz w:val="18"/>
          <w:szCs w:val="18"/>
          <w:color w:val="auto"/>
        </w:rPr>
        <w:t>” means that certain Amended and Restated Financing Agreement, dated as of February 25, 2020, by and among TE Class B Member, Rosie DevCo LLC, a Delaware limited liability company, Norddeutsche Landesbank Girozentrale, New York Branch, CIT Bank, N.A., Zions Bancorporation, N.A. and the lenders party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Documents</w:t>
      </w:r>
      <w:r>
        <w:rPr>
          <w:rFonts w:ascii="Times New Roman" w:cs="Times New Roman" w:eastAsia="Times New Roman" w:hAnsi="Times New Roman"/>
          <w:sz w:val="18"/>
          <w:szCs w:val="18"/>
          <w:color w:val="auto"/>
        </w:rPr>
        <w:t>” means the Financing Documents (as defined in the Financing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FPA</w:t>
      </w:r>
      <w:r>
        <w:rPr>
          <w:rFonts w:ascii="Times New Roman" w:cs="Times New Roman" w:eastAsia="Times New Roman" w:hAnsi="Times New Roman"/>
          <w:sz w:val="18"/>
          <w:szCs w:val="18"/>
          <w:color w:val="auto"/>
        </w:rPr>
        <w:t>” means the Federal Power Act and all rules and regulations adopted thereunder.</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Fraudulent Action</w:t>
      </w:r>
      <w:r>
        <w:rPr>
          <w:rFonts w:ascii="Times New Roman" w:cs="Times New Roman" w:eastAsia="Times New Roman" w:hAnsi="Times New Roman"/>
          <w:sz w:val="18"/>
          <w:szCs w:val="18"/>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 throughout the relevant periods.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Approval</w:t>
      </w:r>
      <w:r>
        <w:rPr>
          <w:rFonts w:ascii="Times New Roman" w:cs="Times New Roman" w:eastAsia="Times New Roman" w:hAnsi="Times New Roman"/>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CAISO, and each Regional Entity, or any court or governmental tribunal.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HASI</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Hazardous Substances</w:t>
      </w:r>
      <w:r>
        <w:rPr>
          <w:rFonts w:ascii="Times New Roman" w:cs="Times New Roman" w:eastAsia="Times New Roman" w:hAnsi="Times New Roman"/>
          <w:sz w:val="18"/>
          <w:szCs w:val="18"/>
          <w:color w:val="auto"/>
        </w:rPr>
        <w:t>” means any substance, element, compound or mixture, whether solid, liquid or gaseous: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which is defined as “hazardous waste” or “hazardous substance” or “pollutant” or “contaminant” under any Environmental Law;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which is otherwise hazardous and is subject to regulation by any Governmental Authority;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petroleum hydrocarbons (other than naturally occurring petroleum hydrocarbons);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polychlorinated biphenyls (PCBs);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asbestos-containing materials (other than naturally occurring asbestos); or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radioactive materials (other than naturally occurring radioactive materials).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4" w:name="page15"/>
    <w:bookmarkEnd w:id="14"/>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all obligations of a Person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borrowed money,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evidenced by notes, bonds, debentures or similar instruments,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for the deferred purchase price of goods or services (other than trade payables or accruals incurred in the ordinary course of business and not past due),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under capital leases,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secured by a Lien on the assets of such Person, whether or not such obligation has been assumed by such Person,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with respect to reimbursement obligations for letters of credit and other similar instruments (whether or not drawn),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respect of any other amount properly characterized as indebtedness in accordance with GAAP.</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 xml:space="preserve">” means any Person claiming indemnification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Indemnifying Party</w:t>
      </w:r>
      <w:r>
        <w:rPr>
          <w:rFonts w:ascii="Times New Roman" w:cs="Times New Roman" w:eastAsia="Times New Roman" w:hAnsi="Times New Roman"/>
          <w:sz w:val="18"/>
          <w:szCs w:val="18"/>
          <w:color w:val="auto"/>
        </w:rPr>
        <w:t xml:space="preserve">” means any Person against whom a claim for indemnification is being asserted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Capital Contribution Date</w:t>
      </w:r>
      <w:r>
        <w:rPr>
          <w:rFonts w:ascii="Times New Roman" w:cs="Times New Roman" w:eastAsia="Times New Roman" w:hAnsi="Times New Roman"/>
          <w:sz w:val="18"/>
          <w:szCs w:val="18"/>
          <w:color w:val="auto"/>
        </w:rPr>
        <w:t>” means Initial Capital Contribution Date as defined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Knowledge</w:t>
      </w:r>
      <w:r>
        <w:rPr>
          <w:rFonts w:ascii="Times New Roman" w:cs="Times New Roman" w:eastAsia="Times New Roman" w:hAnsi="Times New Roman"/>
          <w:sz w:val="18"/>
          <w:szCs w:val="18"/>
          <w:color w:val="auto"/>
        </w:rPr>
        <w:t>” means the actual knowledge of [***], after reasonable inquiry of their direct reports.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3.01(n)(i)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means any liability, Indebtedness, obligation, commitment, or expense, in each case, requiring either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payment of a monetary amount,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type or fulfillment of an obligation, and in each case whether accrued, absolute, contingent, asserted, matured, unmatured, secured or unsecured.</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 w:name="page16"/>
    <w:bookmarkEnd w:id="1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 the Company or the Rosie Entities, individually or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economic change generally affecting the international, national or regional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electric generating industry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wholesale markets for electric power;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economic change in markets for commodities or supplies, including electric power, as applicable, used in connection with the Company or the Rosie Entities;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any change in any Laws (including Environmental Laws), industry standards generally affecting the industry or markets in which the Company or the Rosie Entities operate or GAAP;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any change in the financial condition of the Company or the Rosie Entities caused by the transactions contemplated by this Agreement;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any actions to be taken pursuant to or in accordance with this Agreement; or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the announcement or pendency of the transactions contemplated hereby, including any labor union activities or disputes;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fact, event, circumstance, condition, change or effect resulting from clauses (a) through (f) shall nonetheless be taken into consideration in determining whether a Material Adverse Effect has occurred to the extent such changes, events, effects or occurrences have a materially disproportionate impact on the Company or the Rosie Entities, taken as whole, as compared to similarly situated businesses in the same industry and in the same geographical area, which shall be deemed to include the State of California.</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MBR Authorization</w:t>
      </w:r>
      <w:r>
        <w:rPr>
          <w:rFonts w:ascii="Times New Roman" w:cs="Times New Roman" w:eastAsia="Times New Roman" w:hAnsi="Times New Roman"/>
          <w:sz w:val="18"/>
          <w:szCs w:val="18"/>
          <w:color w:val="auto"/>
        </w:rPr>
        <w:t>” means a final order issued by FERC (a) authorizing the wholesale sale of electric energy, capacity and specified ancillary services at market-based rates pursuant to Section 205 of the FPA, (b) accepting a tariff pertaining to such sales, and (c)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MW</w:t>
      </w:r>
      <w:r>
        <w:rPr>
          <w:rFonts w:ascii="Times New Roman" w:cs="Times New Roman" w:eastAsia="Times New Roman" w:hAnsi="Times New Roman"/>
          <w:sz w:val="18"/>
          <w:szCs w:val="18"/>
          <w:color w:val="auto"/>
        </w:rPr>
        <w:t>” means megawatt (alternating current).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NERC</w:t>
      </w:r>
      <w:r>
        <w:rPr>
          <w:rFonts w:ascii="Times New Roman" w:cs="Times New Roman" w:eastAsia="Times New Roman" w:hAnsi="Times New Roman"/>
          <w:sz w:val="18"/>
          <w:szCs w:val="18"/>
          <w:color w:val="auto"/>
        </w:rPr>
        <w:t>” means the North American Electric Reliability Corporation.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 w:name="page17"/>
    <w:bookmarkEnd w:id="1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(ii)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8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means any writ, judgment, injunction, ruling, decision, order or similar direction of any Governmental Authority, whether preliminary or final.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w:t>
      </w:r>
      <w:r>
        <w:rPr>
          <w:rFonts w:ascii="Times New Roman" w:cs="Times New Roman" w:eastAsia="Times New Roman" w:hAnsi="Times New Roman"/>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Equity Encumbrances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those restrictions on transfer imposed by applicable securities laws,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or restrictions imposed on transfers set forth in the Constitutive Documents of the Company or any Rosie Entity,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in the case of the equity interests in, and assets of, TE HoldCo, Project HoldCo or the Project Company, Liens created pursuant to, and securing any Indebtedness under, the Financing Documents, and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Liens or restrictions imposed on transfers set forth in the Tax Equity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Exceptions</w:t>
      </w:r>
      <w:r>
        <w:rPr>
          <w:rFonts w:ascii="Times New Roman" w:cs="Times New Roman" w:eastAsia="Times New Roman" w:hAnsi="Times New Roman"/>
          <w:sz w:val="18"/>
          <w:szCs w:val="18"/>
          <w:color w:val="auto"/>
        </w:rPr>
        <w:t>” means, with respect to the Real Property Rights, the following:</w:t>
      </w:r>
    </w:p>
    <w:p>
      <w:pPr>
        <w:spacing w:after="0" w:line="225" w:lineRule="exact"/>
        <w:rPr>
          <w:sz w:val="20"/>
          <w:szCs w:val="20"/>
          <w:color w:val="auto"/>
        </w:rPr>
      </w:pPr>
    </w:p>
    <w:p>
      <w:pPr>
        <w:jc w:val="both"/>
        <w:ind w:firstLine="1304"/>
        <w:spacing w:after="0" w:line="267" w:lineRule="auto"/>
        <w:tabs>
          <w:tab w:leader="none" w:pos="19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for Taxes, which are not due and payable as of the Closing Date or, if due,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Rosie Entities;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 w:name="page18"/>
    <w:bookmarkEnd w:id="17"/>
    <w:p>
      <w:pPr>
        <w:jc w:val="both"/>
        <w:ind w:right="20" w:firstLine="1304"/>
        <w:spacing w:after="0" w:line="266" w:lineRule="auto"/>
        <w:tabs>
          <w:tab w:leader="none" w:pos="19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1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mechanic’s and materialmen’s liens for construction in progress and workmen’s, repairmen’s, warehousemen’s and carrier’s liens arising in the ordinary course of business of the Company or the Rosie Entities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to which there is no existing default on the part of the Company or the Rosie Entities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are being contested in good faith through appropriate proceedings and as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Rosie Entities.</w:t>
      </w:r>
    </w:p>
    <w:p>
      <w:pPr>
        <w:spacing w:after="0" w:line="17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mechanic’s, laborer’s, workmen’s, repairmen’s and carrier’s Liens, including all statutory Liens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relating to obligations as to which there is no existing default on the part of the Company or the Rosie Entities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Seller is contesting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Rosie Entities, as applicable;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for Taxes, assessments and other governmental charges not yet due and payable or, if due,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Rosie Entities;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good faith deposits in connection with bids, tenders, leases, contracts or other agreements, including rent security deposits;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pledges or deposits to secure public or statutory obligations or appeal bonds;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in the case of personal property owned or held by the Company or the Rosie Entities, covenants and other restrictions in the Company Contracts;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xml:space="preserve">) any Liens relating to or arising from the Financing Documents; and (g) any other Liens set forth on </w:t>
      </w:r>
      <w:r>
        <w:rPr>
          <w:rFonts w:ascii="Times New Roman" w:cs="Times New Roman" w:eastAsia="Times New Roman" w:hAnsi="Times New Roman"/>
          <w:sz w:val="18"/>
          <w:szCs w:val="18"/>
          <w:i w:val="1"/>
          <w:iCs w:val="1"/>
          <w:color w:val="auto"/>
        </w:rPr>
        <w:t xml:space="preserve">Schedule 1.01 </w:t>
      </w:r>
      <w:r>
        <w:rPr>
          <w:rFonts w:ascii="Times New Roman" w:cs="Times New Roman" w:eastAsia="Times New Roman" w:hAnsi="Times New Roman"/>
          <w:sz w:val="18"/>
          <w:szCs w:val="18"/>
          <w:color w:val="auto"/>
        </w:rPr>
        <w:t>of the Disclosure Schedules.</w:t>
      </w:r>
    </w:p>
    <w:p>
      <w:pPr>
        <w:spacing w:after="0" w:line="18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Pricing Adjustments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3.01(aa)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Prudent Industry Practices</w:t>
      </w:r>
      <w:r>
        <w:rPr>
          <w:rFonts w:ascii="Times New Roman" w:cs="Times New Roman" w:eastAsia="Times New Roman" w:hAnsi="Times New Roman"/>
          <w:sz w:val="18"/>
          <w:szCs w:val="18"/>
          <w:color w:val="auto"/>
        </w:rPr>
        <w:t>” means those practices, methods, standards and procedures as are commonly used by a significant portion of those providing operating services on solar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PUHCA</w:t>
      </w:r>
      <w:r>
        <w:rPr>
          <w:rFonts w:ascii="Times New Roman" w:cs="Times New Roman" w:eastAsia="Times New Roman" w:hAnsi="Times New Roman"/>
          <w:sz w:val="18"/>
          <w:szCs w:val="18"/>
          <w:color w:val="auto"/>
        </w:rPr>
        <w:t>” means the Public Utility Holding Company Act of 2005 and the implementing regulations of the FERC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Indemnified Parties</w:t>
      </w:r>
      <w:r>
        <w:rPr>
          <w:rFonts w:ascii="Times New Roman" w:cs="Times New Roman" w:eastAsia="Times New Roman" w:hAnsi="Times New Roman"/>
          <w:sz w:val="18"/>
          <w:szCs w:val="18"/>
          <w:color w:val="auto"/>
        </w:rPr>
        <w:t>” means Purchaser,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w:t>
      </w:r>
      <w:r>
        <w:rPr>
          <w:rFonts w:ascii="Times New Roman" w:cs="Times New Roman" w:eastAsia="Times New Roman" w:hAnsi="Times New Roman"/>
          <w:sz w:val="18"/>
          <w:szCs w:val="18"/>
          <w:color w:val="auto"/>
        </w:rPr>
        <w:t>” means Clearway Energy Operating LLC, a Delaware limited liability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 Guaranty</w:t>
      </w:r>
      <w:r>
        <w:rPr>
          <w:rFonts w:ascii="Times New Roman" w:cs="Times New Roman" w:eastAsia="Times New Roman" w:hAnsi="Times New Roman"/>
          <w:sz w:val="18"/>
          <w:szCs w:val="18"/>
          <w:color w:val="auto"/>
        </w:rPr>
        <w:t xml:space="preserve">” means that guaranty of Purchaser Parent dated as of the Closing Date and attached hereto as </w:t>
      </w:r>
      <w:r>
        <w:rPr>
          <w:rFonts w:ascii="Times New Roman" w:cs="Times New Roman" w:eastAsia="Times New Roman" w:hAnsi="Times New Roman"/>
          <w:sz w:val="18"/>
          <w:szCs w:val="18"/>
          <w:i w:val="1"/>
          <w:iCs w:val="1"/>
          <w:color w:val="auto"/>
        </w:rPr>
        <w:t>Exhibit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Real Property Rights</w:t>
      </w:r>
      <w:r>
        <w:rPr>
          <w:rFonts w:ascii="Times New Roman" w:cs="Times New Roman" w:eastAsia="Times New Roman" w:hAnsi="Times New Roman"/>
          <w:sz w:val="18"/>
          <w:szCs w:val="18"/>
          <w:color w:val="auto"/>
        </w:rPr>
        <w:t>” means all real property rights and interests of the Company or the Rosie Entities, including all options, leases, easements, land use rights, access easements, transmission line easements, rights to ingress and egress, any and all bids, grants, awards, applications, rights to negotiate, and all other rights relating to the Land.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Regional Entity</w:t>
      </w:r>
      <w:r>
        <w:rPr>
          <w:rFonts w:ascii="Times New Roman" w:cs="Times New Roman" w:eastAsia="Times New Roman" w:hAnsi="Times New Roman"/>
          <w:sz w:val="18"/>
          <w:szCs w:val="18"/>
          <w:color w:val="auto"/>
        </w:rPr>
        <w:t>” means the Western Electricity Coordinating Council.</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means the Environmental Report (as defined in the Tax Equity Agreement), the Independent Engineer Report (as defined in the Tax Equity Agreement), the Transmission Report (as defined in the Tax Equity Agreement) and the Insurance Report (as defined in the Tax Equity Agreement), including any bring downs of such reports delivered pursuant to the Tax Equity Agreement as of the date hereof.</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means with respect to any Person, the officers, directors, employees, counsel, accountants, financing advisors, consultants and agents of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Rosie A&amp;R LLCA</w:t>
      </w:r>
      <w:r>
        <w:rPr>
          <w:rFonts w:ascii="Times New Roman" w:cs="Times New Roman" w:eastAsia="Times New Roman" w:hAnsi="Times New Roman"/>
          <w:sz w:val="18"/>
          <w:szCs w:val="18"/>
          <w:color w:val="auto"/>
        </w:rPr>
        <w:t>” means that certain Second Amended and Restated Limited Liability Company Agreement of the Company, dated as of the date hereof, by and among Purchaser, HASI and the Class C Member.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Rosie Entity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Rosie Entities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Fundamental Representations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Indemnified Parties</w:t>
      </w:r>
      <w:r>
        <w:rPr>
          <w:rFonts w:ascii="Times New Roman" w:cs="Times New Roman" w:eastAsia="Times New Roman" w:hAnsi="Times New Roman"/>
          <w:sz w:val="18"/>
          <w:szCs w:val="18"/>
          <w:color w:val="auto"/>
        </w:rPr>
        <w:t>” means Seller,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Parent</w:t>
      </w:r>
      <w:r>
        <w:rPr>
          <w:rFonts w:ascii="Times New Roman" w:cs="Times New Roman" w:eastAsia="Times New Roman" w:hAnsi="Times New Roman"/>
          <w:sz w:val="18"/>
          <w:szCs w:val="18"/>
          <w:color w:val="auto"/>
        </w:rPr>
        <w:t>” means Clearway Renew LLC, a Delaware limited liability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Parent Guaranty</w:t>
      </w:r>
      <w:r>
        <w:rPr>
          <w:rFonts w:ascii="Times New Roman" w:cs="Times New Roman" w:eastAsia="Times New Roman" w:hAnsi="Times New Roman"/>
          <w:sz w:val="18"/>
          <w:szCs w:val="18"/>
          <w:color w:val="auto"/>
        </w:rPr>
        <w:t xml:space="preserve">” means that guaranty of Seller Parent dated as of the Closing Date and attached hereto as </w:t>
      </w:r>
      <w:r>
        <w:rPr>
          <w:rFonts w:ascii="Times New Roman" w:cs="Times New Roman" w:eastAsia="Times New Roman" w:hAnsi="Times New Roman"/>
          <w:sz w:val="18"/>
          <w:szCs w:val="18"/>
          <w:i w:val="1"/>
          <w:iCs w:val="1"/>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Shared Premises</w:t>
      </w:r>
      <w:r>
        <w:rPr>
          <w:rFonts w:ascii="Times New Roman" w:cs="Times New Roman" w:eastAsia="Times New Roman" w:hAnsi="Times New Roman"/>
          <w:sz w:val="18"/>
          <w:szCs w:val="18"/>
          <w:color w:val="auto"/>
        </w:rPr>
        <w:t>” means “Shared Premises” (as defined in the Shared Facilities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Substantial Completion Capital Contribution Date</w:t>
      </w:r>
      <w:r>
        <w:rPr>
          <w:rFonts w:ascii="Times New Roman" w:cs="Times New Roman" w:eastAsia="Times New Roman" w:hAnsi="Times New Roman"/>
          <w:sz w:val="18"/>
          <w:szCs w:val="18"/>
          <w:color w:val="auto"/>
        </w:rPr>
        <w:t>” means the Substantial Completion Capital Contribution Date as defined in the Tax Equity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Substitute 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0" w:name="page21"/>
    <w:bookmarkEnd w:id="20"/>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Agreement</w:t>
      </w:r>
      <w:r>
        <w:rPr>
          <w:rFonts w:ascii="Times New Roman" w:cs="Times New Roman" w:eastAsia="Times New Roman" w:hAnsi="Times New Roman"/>
          <w:sz w:val="18"/>
          <w:szCs w:val="18"/>
          <w:color w:val="auto"/>
        </w:rPr>
        <w:t>” means that certain Equity Capital Contribution Agreement, dated as of February 25, 2020, by and among TE Class B Member, TE HoldCo, and Morgan Stanley Renewables Inc., a Delaware corporation.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Investor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Model</w:t>
      </w:r>
      <w:r>
        <w:rPr>
          <w:rFonts w:ascii="Times New Roman" w:cs="Times New Roman" w:eastAsia="Times New Roman" w:hAnsi="Times New Roman"/>
          <w:sz w:val="18"/>
          <w:szCs w:val="18"/>
          <w:color w:val="auto"/>
        </w:rPr>
        <w:t>” means the Base Case Model as defined in and updated pursuant to the Tax Equity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Return</w:t>
      </w:r>
      <w:r>
        <w:rPr>
          <w:rFonts w:ascii="Times New Roman" w:cs="Times New Roman" w:eastAsia="Times New Roman" w:hAnsi="Times New Roman"/>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Class B Member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Company</w:t>
      </w:r>
      <w:r>
        <w:rPr>
          <w:rFonts w:ascii="Times New Roman" w:cs="Times New Roman" w:eastAsia="Times New Roman" w:hAnsi="Times New Roman"/>
          <w:sz w:val="18"/>
          <w:szCs w:val="18"/>
          <w:color w:val="auto"/>
        </w:rPr>
        <w:t>” means Stewart Title Guaranty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Policy</w:t>
      </w:r>
      <w:r>
        <w:rPr>
          <w:rFonts w:ascii="Times New Roman" w:cs="Times New Roman" w:eastAsia="Times New Roman" w:hAnsi="Times New Roman"/>
          <w:sz w:val="18"/>
          <w:szCs w:val="18"/>
          <w:color w:val="auto"/>
        </w:rPr>
        <w:t>” means the ALTA 2006 extended coverage owner’s policy of title insurance, issued by the Title Company in favor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Company.</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means the final and temporary regulations promulgated by the U.S. Department of Treasury under the Code.</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i w:val="1"/>
          <w:iCs w:val="1"/>
          <w:color w:val="auto"/>
        </w:rPr>
        <w:t>Rules of Interpretation.</w:t>
      </w:r>
    </w:p>
    <w:p>
      <w:pPr>
        <w:spacing w:after="0" w:line="225" w:lineRule="exact"/>
        <w:rPr>
          <w:sz w:val="20"/>
          <w:szCs w:val="20"/>
          <w:color w:val="auto"/>
        </w:rPr>
      </w:pPr>
    </w:p>
    <w:p>
      <w:pPr>
        <w:ind w:firstLine="1304"/>
        <w:spacing w:after="0" w:line="286" w:lineRule="auto"/>
        <w:tabs>
          <w:tab w:leader="none" w:pos="19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As used herein, the singular shall include the plural, the masculine gender shall include the feminine and neuter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neuter gender shall include the masculine and feminine unless the context otherwise indicates.</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References</w:t>
      </w:r>
      <w:r>
        <w:rPr>
          <w:rFonts w:ascii="Times New Roman" w:cs="Times New Roman" w:eastAsia="Times New Roman" w:hAnsi="Times New Roman"/>
          <w:sz w:val="18"/>
          <w:szCs w:val="18"/>
          <w:color w:val="auto"/>
        </w:rPr>
        <w:t>. References to Articles and Sections are intended to refer to Articles and Sections of this Agreement,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jc w:val="both"/>
        <w:ind w:firstLine="1304"/>
        <w:spacing w:after="0" w:line="259" w:lineRule="auto"/>
        <w:tabs>
          <w:tab w:leader="none" w:pos="20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Terms</w:t>
      </w:r>
      <w:r>
        <w:rPr>
          <w:rFonts w:ascii="Times New Roman" w:cs="Times New Roman" w:eastAsia="Times New Roman" w:hAnsi="Times New Roman"/>
          <w:sz w:val="18"/>
          <w:szCs w:val="18"/>
          <w:color w:val="auto"/>
        </w:rPr>
        <w:t>. As used in this Agreement and in any certificate or other documents made or delivered pursuant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SALE OF MEMBERSHIP INTERESTS AND CLOSING</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2.01. </w:t>
      </w:r>
      <w:r>
        <w:rPr>
          <w:rFonts w:ascii="Times New Roman" w:cs="Times New Roman" w:eastAsia="Times New Roman" w:hAnsi="Times New Roman"/>
          <w:sz w:val="18"/>
          <w:szCs w:val="18"/>
          <w:b w:val="1"/>
          <w:bCs w:val="1"/>
          <w:i w:val="1"/>
          <w:iCs w:val="1"/>
          <w:color w:val="auto"/>
        </w:rPr>
        <w:t>Purchase and Sale</w:t>
      </w:r>
      <w:r>
        <w:rPr>
          <w:rFonts w:ascii="Times New Roman" w:cs="Times New Roman" w:eastAsia="Times New Roman" w:hAnsi="Times New Roman"/>
          <w:sz w:val="18"/>
          <w:szCs w:val="18"/>
          <w:color w:val="auto"/>
        </w:rPr>
        <w:t>. Seller agrees to sell to Purchaser, and Purchaser agrees to purchase from Seller, all of the right, title and interest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in and to the Acquired Interests at the Closing on the terms and subject to the conditions set forth in this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2.02. </w:t>
      </w:r>
      <w:r>
        <w:rPr>
          <w:rFonts w:ascii="Times New Roman" w:cs="Times New Roman" w:eastAsia="Times New Roman" w:hAnsi="Times New Roman"/>
          <w:sz w:val="18"/>
          <w:szCs w:val="18"/>
          <w:b w:val="1"/>
          <w:bCs w:val="1"/>
          <w:i w:val="1"/>
          <w:iCs w:val="1"/>
          <w:color w:val="auto"/>
        </w:rPr>
        <w:t>Payment of Purchase Price</w:t>
      </w:r>
      <w:r>
        <w:rPr>
          <w:rFonts w:ascii="Times New Roman" w:cs="Times New Roman" w:eastAsia="Times New Roman" w:hAnsi="Times New Roman"/>
          <w:sz w:val="18"/>
          <w:szCs w:val="18"/>
          <w:color w:val="auto"/>
        </w:rPr>
        <w:t>. Upon the terms and subject to the conditions hereinafter set forth, in consideration of the delivery by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Acquired Interests, Purchaser, by wire transfer of immediately available United States funds, shall pay to Seller at the Closing an amount equal to Twenty-Three Million Three Hundred Twenty Thousand Two Hundred Seventy-Four Dollars ($23,320,274) (the “</w:t>
      </w:r>
      <w:r>
        <w:rPr>
          <w:rFonts w:ascii="Times New Roman" w:cs="Times New Roman" w:eastAsia="Times New Roman" w:hAnsi="Times New Roman"/>
          <w:sz w:val="18"/>
          <w:szCs w:val="18"/>
          <w:i w:val="1"/>
          <w:iCs w:val="1"/>
          <w:color w:val="auto"/>
        </w:rPr>
        <w:t>Base Purchase Price</w:t>
      </w:r>
      <w:r>
        <w:rPr>
          <w:rFonts w:ascii="Times New Roman" w:cs="Times New Roman" w:eastAsia="Times New Roman" w:hAnsi="Times New Roman"/>
          <w:sz w:val="18"/>
          <w:szCs w:val="18"/>
          <w:color w:val="auto"/>
        </w:rPr>
        <w:t xml:space="preserve">” and, as adjusted pursuant to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304"/>
        <w:spacing w:after="0" w:line="261" w:lineRule="auto"/>
        <w:tabs>
          <w:tab w:leader="none" w:pos="19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closing of the transactions described in </w:t>
      </w:r>
      <w:r>
        <w:rPr>
          <w:rFonts w:ascii="Times New Roman" w:cs="Times New Roman" w:eastAsia="Times New Roman" w:hAnsi="Times New Roman"/>
          <w:sz w:val="18"/>
          <w:szCs w:val="18"/>
          <w:i w:val="1"/>
          <w:iCs w:val="1"/>
          <w:color w:val="auto"/>
        </w:rPr>
        <w:t>Section 2.01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will take place remotely via the electronic exchange of documents and signatures no later than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two (2) Business Days following the fulfillment or waiver of the conditions set forth in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xml:space="preserve"> (other than those conditions that by their nature are to be satisfied on the Closing Date)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such other time as may be determined by mutual agreement of Seller and Purchaser (the day on which the Closing takes place being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following shall occur:</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64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pay the Base Purchase Price by wire transfer of immediately available funds to Seller’s account, which account shall be communicated by Seller to Purchaser in writing no later than two (2) Business Days prior to the Closing;</w:t>
      </w:r>
    </w:p>
    <w:p>
      <w:pPr>
        <w:spacing w:after="0" w:line="161" w:lineRule="exact"/>
        <w:rPr>
          <w:rFonts w:ascii="Times New Roman" w:cs="Times New Roman" w:eastAsia="Times New Roman" w:hAnsi="Times New Roman"/>
          <w:sz w:val="18"/>
          <w:szCs w:val="18"/>
          <w:color w:val="auto"/>
        </w:rPr>
      </w:pPr>
    </w:p>
    <w:p>
      <w:pPr>
        <w:ind w:left="2680" w:hanging="728"/>
        <w:spacing w:after="0"/>
        <w:tabs>
          <w:tab w:leader="none" w:pos="2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deliver, or cause to be delivered, to the other Party the certificates and other deliverables pursuant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ind w:left="660" w:firstLine="1292"/>
        <w:spacing w:after="0" w:line="282" w:lineRule="auto"/>
        <w:tabs>
          <w:tab w:leader="none" w:pos="28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both Parties of the Assignment of Membership Interests and all other agreements, documents, instruments or certificates required to be delivered at or prior to the Closing pursuant to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7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Purchaser a certificate or certificates representing the Acquired Interests, duly endorsed for transfer to Purchaser or accompanied by one or more membership interests powers duly endorsed for transfer to Purchaser.</w:t>
      </w:r>
    </w:p>
    <w:p>
      <w:pPr>
        <w:spacing w:after="0" w:line="15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i w:val="1"/>
          <w:iCs w:val="1"/>
          <w:color w:val="auto"/>
        </w:rPr>
        <w:t>Adjusted Purchase Price Amount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21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as of the Substantial Completion Capital Contribution Date, the Adjusted Purchase Price Amount (as defined below) is positive, the Base Purchase Price shall be increased by the Adjusted Purchase Price Amount and the amount of such increase shall be paid by Purchaser to Seller on the date that is five (5) Business Days after the Substantial Completion Capital Contribution Date. If, as of the Substantial Completion Capital Contribution Date, the Adjusted Purchase Price Amount is negative, the Base Purchase Price shall be decreased by the Adjusted Purchase Price Amount and be paid by Seller to Purchaser on the date that is five (5) Business Days after the Substantial Completion Capital Contribution Date. Any adjustment made under this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xml:space="preserve"> will be treated as an adjustment to the Purchase Price for Tax purposes.</w:t>
      </w:r>
    </w:p>
    <w:p>
      <w:pPr>
        <w:spacing w:after="0" w:line="18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shall equal the number set forth in Tab PP Adj, Cell T9 of the Adjusted Purchase Price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3.01. </w:t>
      </w:r>
      <w:r>
        <w:rPr>
          <w:rFonts w:ascii="Times New Roman" w:cs="Times New Roman" w:eastAsia="Times New Roman" w:hAnsi="Times New Roman"/>
          <w:sz w:val="18"/>
          <w:szCs w:val="18"/>
          <w:b w:val="1"/>
          <w:bCs w:val="1"/>
          <w:i w:val="1"/>
          <w:iCs w:val="1"/>
          <w:color w:val="auto"/>
        </w:rPr>
        <w:t>Representations and Warranties with respect to Seller, the Company and the Rosie Entities</w:t>
      </w:r>
      <w:r>
        <w:rPr>
          <w:rFonts w:ascii="Times New Roman" w:cs="Times New Roman" w:eastAsia="Times New Roman" w:hAnsi="Times New Roman"/>
          <w:sz w:val="18"/>
          <w:szCs w:val="18"/>
          <w:color w:val="auto"/>
        </w:rPr>
        <w:t>. Seller hereby represents and warrants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as of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and expressly stated to be made only as of a specified date shall be made solely as of such date:</w:t>
      </w:r>
    </w:p>
    <w:p>
      <w:pPr>
        <w:spacing w:after="0" w:line="171" w:lineRule="exact"/>
        <w:rPr>
          <w:sz w:val="20"/>
          <w:szCs w:val="20"/>
          <w:color w:val="auto"/>
        </w:rPr>
      </w:pPr>
    </w:p>
    <w:p>
      <w:pPr>
        <w:jc w:val="both"/>
        <w:ind w:firstLine="1304"/>
        <w:spacing w:after="0" w:line="268" w:lineRule="auto"/>
        <w:tabs>
          <w:tab w:leader="none" w:pos="19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color w:val="auto"/>
        </w:rPr>
        <w:t>. Seller is a limited liability company duly formed, validly existing and in good standing under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Seller has full power and authority to execute and deliver this Agreement and any other agreements to be executed and delivered by Seller hereunder, and to perform its obligations hereunder and thereunder and to consummate the transactions contemplated hereby and thereby.</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All actions or proceedings necessary to authorize the execution and delivery by Seller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1304"/>
        <w:spacing w:after="0" w:line="259" w:lineRule="auto"/>
        <w:tabs>
          <w:tab w:leader="none" w:pos="19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(the “</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and except as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79" w:lineRule="exact"/>
        <w:rPr>
          <w:rFonts w:ascii="Times New Roman" w:cs="Times New Roman" w:eastAsia="Times New Roman" w:hAnsi="Times New Roman"/>
          <w:sz w:val="18"/>
          <w:szCs w:val="18"/>
          <w:color w:val="auto"/>
        </w:rPr>
      </w:pPr>
    </w:p>
    <w:p>
      <w:pPr>
        <w:jc w:val="both"/>
        <w:ind w:firstLine="1304"/>
        <w:spacing w:after="0" w:line="257" w:lineRule="auto"/>
        <w:tabs>
          <w:tab w:leader="none" w:pos="1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color w:val="auto"/>
        </w:rPr>
        <w:t>. The execution, delivery and performance of this Agreement by Seller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breach of, or constitute a default under, the Constitutive Documents of Seller or the Company or any material Contract to which Seller, or Company Contract to which the Company or the Rosie Entities,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Acquired Interests or assets or properties of the Company or the Rosie Entities;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Seller, the Company or the Rosie Entities or any rights or benefits are to be received by any Person, under any Contract to which Seller, the Company or the Rosie Entities is a party;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violate in any material respect any applicable Law.</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3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Approval is required on the part of Seller, the Company or the Rosie Entities in connection with the execution, delivery and performance of this Agreement or the consummation of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except for Actions or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respect of Environmental Laws that are governed exclusively by </w:t>
      </w:r>
      <w:r>
        <w:rPr>
          <w:rFonts w:ascii="Times New Roman" w:cs="Times New Roman" w:eastAsia="Times New Roman" w:hAnsi="Times New Roman"/>
          <w:sz w:val="18"/>
          <w:szCs w:val="18"/>
          <w:i w:val="1"/>
          <w:iCs w:val="1"/>
          <w:color w:val="auto"/>
        </w:rPr>
        <w:t>Section 3.01(p)(ii)</w:t>
      </w:r>
      <w:r>
        <w:rPr>
          <w:rFonts w:ascii="Times New Roman" w:cs="Times New Roman" w:eastAsia="Times New Roman" w:hAnsi="Times New Roman"/>
          <w:sz w:val="18"/>
          <w:szCs w:val="18"/>
          <w:color w:val="auto"/>
        </w:rPr>
        <w:t>, there are no Actions or Proceedings pending or, to the Knowledge of Seller, threatened, as of the date of this Agreement against Seller, the Company or the Rosie Entities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affect Seller, the Company or the Rosie Entities or any of their assets or properties (including the Project), except, solely in respect of Seller, which would not reasonably be expected to have a material adverse effect on Seller’s ability to perform under this Agreement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would reasonably be expected to result in the issuance of an Order restraining, enjoining or otherwise prohibiting or making illegal the consummation of any of the transactions contemplated by this Agreement. None of Seller, the Company or the Rosie Entities is subject to any Order which materially restricts the operation of its business or which would reasonably be expected to have a Material Adverse Effect.</w:t>
      </w:r>
    </w:p>
    <w:p>
      <w:pPr>
        <w:spacing w:after="0" w:line="18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0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Person has any claim against the Seller,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 Rosie Entities for a finder’s fee, brokerage commission or similar payment directly or indirectly in connection with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Neither Seller, the Company nor the Rosie Entities is or, to the Knowledge of Seller, has been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past six (6) years in material violation of any material Law or Order applicable to the Company, the Rosie Entities or the Project or by which any of the Acquired Interests are bound or subject. Notwithstanding the foregoing, compliance with Environmental Laws is exclusively and solely governed by </w:t>
      </w:r>
      <w:r>
        <w:rPr>
          <w:rFonts w:ascii="Times New Roman" w:cs="Times New Roman" w:eastAsia="Times New Roman" w:hAnsi="Times New Roman"/>
          <w:sz w:val="18"/>
          <w:szCs w:val="18"/>
          <w:i w:val="1"/>
          <w:iCs w:val="1"/>
          <w:color w:val="auto"/>
        </w:rPr>
        <w:t xml:space="preserve">Section 3.01(p) </w:t>
      </w:r>
      <w:r>
        <w:rPr>
          <w:rFonts w:ascii="Times New Roman" w:cs="Times New Roman" w:eastAsia="Times New Roman" w:hAnsi="Times New Roman"/>
          <w:sz w:val="18"/>
          <w:szCs w:val="18"/>
          <w:color w:val="auto"/>
        </w:rPr>
        <w:t>hereof. None of Seller, the Company nor the Rosie Entities has received notice from any Governmental Authority of any material violation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such Law.</w:t>
      </w:r>
    </w:p>
    <w:p>
      <w:pPr>
        <w:spacing w:after="0" w:line="179"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and the Rosie Entities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7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Rosie Entities are limited liability companies validly existing and in good standing under the Laws of Delaware, and each has full power and authority to conduct its business as and to the extent now conducted and to own, use and lease its assets. The Company and the Rosie Entities are duly qualified, licensed or admitted to do business and are in good standing in those jurisdictions specified in </w:t>
      </w:r>
      <w:r>
        <w:rPr>
          <w:rFonts w:ascii="Times New Roman" w:cs="Times New Roman" w:eastAsia="Times New Roman" w:hAnsi="Times New Roman"/>
          <w:sz w:val="18"/>
          <w:szCs w:val="18"/>
          <w:i w:val="1"/>
          <w:iCs w:val="1"/>
          <w:color w:val="auto"/>
        </w:rPr>
        <w:t>Schedule 3.01(i)</w:t>
      </w:r>
      <w:r>
        <w:rPr>
          <w:rFonts w:ascii="Times New Roman" w:cs="Times New Roman" w:eastAsia="Times New Roman" w:hAnsi="Times New Roman"/>
          <w:sz w:val="18"/>
          <w:szCs w:val="18"/>
          <w:color w:val="auto"/>
        </w:rPr>
        <w:t xml:space="preserve"> of the Disclosure Schedules, which are the only jurisdictions in which the ownership, use or leasing of the Company’s assets and the Rosie Entities’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18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Permitted Equity Encumbrances and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w:t>
      </w:r>
    </w:p>
    <w:p>
      <w:pPr>
        <w:spacing w:after="0" w:line="227" w:lineRule="exact"/>
        <w:rPr>
          <w:rFonts w:ascii="Times New Roman" w:cs="Times New Roman" w:eastAsia="Times New Roman" w:hAnsi="Times New Roman"/>
          <w:sz w:val="18"/>
          <w:szCs w:val="18"/>
          <w:color w:val="auto"/>
        </w:rPr>
      </w:pPr>
    </w:p>
    <w:p>
      <w:pPr>
        <w:ind w:left="3420" w:hanging="820"/>
        <w:spacing w:after="0"/>
        <w:tabs>
          <w:tab w:leader="none" w:pos="34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Acquired Interests are owned directly, beneficially and of record by Seller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and clear of all Liens;</w:t>
      </w:r>
    </w:p>
    <w:p>
      <w:pPr>
        <w:spacing w:after="0" w:line="206" w:lineRule="exact"/>
        <w:rPr>
          <w:rFonts w:ascii="Times New Roman" w:cs="Times New Roman" w:eastAsia="Times New Roman" w:hAnsi="Times New Roman"/>
          <w:sz w:val="18"/>
          <w:szCs w:val="18"/>
          <w:color w:val="auto"/>
        </w:rPr>
      </w:pPr>
    </w:p>
    <w:p>
      <w:pPr>
        <w:ind w:left="1300" w:firstLine="1300"/>
        <w:spacing w:after="0" w:line="282" w:lineRule="auto"/>
        <w:tabs>
          <w:tab w:leader="none" w:pos="3371"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equity interests of TE Class B Member are owned directly, beneficially and of record by the Company, free and clear of all Liens;</w:t>
      </w:r>
    </w:p>
    <w:p>
      <w:pPr>
        <w:spacing w:after="0" w:line="161"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3416"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Class B Units (as defined in the Tax Equity Agreement) of TE HoldCo are owned directly, beneficially and of record by TE Class B Member, free and clear of all Liens;</w:t>
      </w:r>
    </w:p>
    <w:p>
      <w:pPr>
        <w:spacing w:after="0" w:line="161" w:lineRule="exact"/>
        <w:rPr>
          <w:rFonts w:ascii="Times New Roman" w:cs="Times New Roman" w:eastAsia="Times New Roman" w:hAnsi="Times New Roman"/>
          <w:sz w:val="18"/>
          <w:szCs w:val="18"/>
          <w:color w:val="auto"/>
        </w:rPr>
      </w:pPr>
    </w:p>
    <w:p>
      <w:pPr>
        <w:ind w:left="1300" w:firstLine="1300"/>
        <w:spacing w:after="0" w:line="282" w:lineRule="auto"/>
        <w:tabs>
          <w:tab w:leader="none" w:pos="3435"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equity interests of Project HoldCo are owned directly, beneficially and of record by TE HoldCo, free and clear of all Liens; and</w:t>
      </w:r>
    </w:p>
    <w:p>
      <w:pPr>
        <w:spacing w:after="0" w:line="161" w:lineRule="exact"/>
        <w:rPr>
          <w:rFonts w:ascii="Times New Roman" w:cs="Times New Roman" w:eastAsia="Times New Roman" w:hAnsi="Times New Roman"/>
          <w:sz w:val="18"/>
          <w:szCs w:val="18"/>
          <w:color w:val="auto"/>
        </w:rPr>
      </w:pPr>
    </w:p>
    <w:p>
      <w:pPr>
        <w:ind w:left="1300" w:firstLine="1300"/>
        <w:spacing w:after="0" w:line="282" w:lineRule="auto"/>
        <w:tabs>
          <w:tab w:leader="none" w:pos="3379"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equity interests of the Project Company are owned directly, beneficially and of record by Project HoldCo, free and clear of all Liens.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73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equity interests of the Company and the Rosie Entities have been duly authorized, validly issued and are fully paid and non-assessable and have been issued in compliance with federal and state securities laws.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70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each director and officer (or similar positions) of the Company and the Rosie Entities, and the position with the Company or the Rosie Entities held by each, are listed in </w:t>
      </w:r>
      <w:r>
        <w:rPr>
          <w:rFonts w:ascii="Times New Roman" w:cs="Times New Roman" w:eastAsia="Times New Roman" w:hAnsi="Times New Roman"/>
          <w:sz w:val="18"/>
          <w:szCs w:val="18"/>
          <w:i w:val="1"/>
          <w:iCs w:val="1"/>
          <w:color w:val="auto"/>
        </w:rPr>
        <w:t>Schedule 3.01(i)(iv)</w:t>
      </w:r>
      <w:r>
        <w:rPr>
          <w:rFonts w:ascii="Times New Roman" w:cs="Times New Roman" w:eastAsia="Times New Roman" w:hAnsi="Times New Roman"/>
          <w:sz w:val="18"/>
          <w:szCs w:val="18"/>
          <w:color w:val="auto"/>
        </w:rPr>
        <w:t xml:space="preserve"> of the Disclosure Schedules.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258" w:gutter="0" w:footer="0" w:header="0"/>
        </w:sectPr>
      </w:pPr>
    </w:p>
    <w:bookmarkStart w:id="24" w:name="page25"/>
    <w:bookmarkEnd w:id="24"/>
    <w:p>
      <w:pPr>
        <w:ind w:left="660" w:right="20" w:firstLine="1292"/>
        <w:spacing w:after="0" w:line="282" w:lineRule="auto"/>
        <w:tabs>
          <w:tab w:leader="none" w:pos="313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prior to the execution of this Agreement, delivered to Purchaser true and complete copies of the Constitutive Documents of the Company and the Rosie Entities as in effect on the date hereof.</w:t>
      </w:r>
    </w:p>
    <w:p>
      <w:pPr>
        <w:spacing w:after="0" w:line="159"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9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Part I of </w:t>
      </w:r>
      <w:r>
        <w:rPr>
          <w:rFonts w:ascii="Times New Roman" w:cs="Times New Roman" w:eastAsia="Times New Roman" w:hAnsi="Times New Roman"/>
          <w:sz w:val="18"/>
          <w:szCs w:val="18"/>
          <w:i w:val="1"/>
          <w:iCs w:val="1"/>
          <w:color w:val="auto"/>
        </w:rPr>
        <w:t>Schedule 3.01(i)(vi)</w:t>
      </w:r>
      <w:r>
        <w:rPr>
          <w:rFonts w:ascii="Times New Roman" w:cs="Times New Roman" w:eastAsia="Times New Roman" w:hAnsi="Times New Roman"/>
          <w:sz w:val="18"/>
          <w:szCs w:val="18"/>
          <w:color w:val="auto"/>
        </w:rPr>
        <w:t xml:space="preserve"> of the Disclosure Schedules, there are no outstanding Options issued or granted by, or binding upon, the Company or the Rosie Entities for any Person to purchase or sell or otherwise acquire or dispose of any equity interest or other security or interest in the Company or the Rosie Entities other than as set forth under this Agreement, the Financing Documents, the Tax Equity Agreement or the Constitutive Documents of the Company and the Rosie Entities. Except as set forth in Part II of </w:t>
      </w:r>
      <w:r>
        <w:rPr>
          <w:rFonts w:ascii="Times New Roman" w:cs="Times New Roman" w:eastAsia="Times New Roman" w:hAnsi="Times New Roman"/>
          <w:sz w:val="18"/>
          <w:szCs w:val="18"/>
          <w:i w:val="1"/>
          <w:iCs w:val="1"/>
          <w:color w:val="auto"/>
        </w:rPr>
        <w:t xml:space="preserve">Schedule 3.01(i)(vi) </w:t>
      </w:r>
      <w:r>
        <w:rPr>
          <w:rFonts w:ascii="Times New Roman" w:cs="Times New Roman" w:eastAsia="Times New Roman" w:hAnsi="Times New Roman"/>
          <w:sz w:val="18"/>
          <w:szCs w:val="18"/>
          <w:color w:val="auto"/>
        </w:rPr>
        <w:t>of the Disclosure Schedules, none of the Acquired Interests or the membership interests of the Rosie Entities are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voting trust or voting trust agreement, voting agreement, pledge agreement, buy-sell agreement, right of first refusal, preemptive right or proxy other than as set forth under the Financing Documents, the Tax Equity Agreement or the Constitutive Documents of the Company and the Rosie Entities.</w:t>
      </w:r>
    </w:p>
    <w:p>
      <w:pPr>
        <w:spacing w:after="0" w:line="184"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i w:val="1"/>
          <w:iCs w:val="1"/>
          <w:color w:val="auto"/>
        </w:rPr>
        <w:t>Section 3.01(i)(ii)</w:t>
      </w:r>
      <w:r>
        <w:rPr>
          <w:rFonts w:ascii="Times New Roman" w:cs="Times New Roman" w:eastAsia="Times New Roman" w:hAnsi="Times New Roman"/>
          <w:sz w:val="18"/>
          <w:szCs w:val="18"/>
          <w:color w:val="auto"/>
        </w:rPr>
        <w:t xml:space="preserve"> and as set forth on </w:t>
      </w:r>
      <w:r>
        <w:rPr>
          <w:rFonts w:ascii="Times New Roman" w:cs="Times New Roman" w:eastAsia="Times New Roman" w:hAnsi="Times New Roman"/>
          <w:sz w:val="18"/>
          <w:szCs w:val="18"/>
          <w:i w:val="1"/>
          <w:iCs w:val="1"/>
          <w:color w:val="auto"/>
        </w:rPr>
        <w:t>Schedule 3.01(i)(vii)</w:t>
      </w:r>
      <w:r>
        <w:rPr>
          <w:rFonts w:ascii="Times New Roman" w:cs="Times New Roman" w:eastAsia="Times New Roman" w:hAnsi="Times New Roman"/>
          <w:sz w:val="18"/>
          <w:szCs w:val="18"/>
          <w:color w:val="auto"/>
        </w:rPr>
        <w:t xml:space="preserve"> of the Disclosure Schedules, neither the Company nor the Rosie Entities have any subsidiaries, equity interests, interests in joint ventures or general or limited partnerships or other investment or portfolio assets of a similar nature.</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3.01(i)(viii)</w:t>
      </w:r>
      <w:r>
        <w:rPr>
          <w:rFonts w:ascii="Times New Roman" w:cs="Times New Roman" w:eastAsia="Times New Roman" w:hAnsi="Times New Roman"/>
          <w:sz w:val="18"/>
          <w:szCs w:val="18"/>
          <w:color w:val="auto"/>
        </w:rPr>
        <w:t xml:space="preserve"> of the Disclosure Schedules, neither the Company nor the Rosie Entities conduct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business other than the development, ownership, operation and management of the Project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any operations other than those incidental to the ownership, operation, and management of the Project.</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records of the Company and the Rosie Entities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all material respects, accurate and complete and have been maintained in accordance with good business practices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state in reasonable detail and accurately and fairly reflect the activities and transactions of the Company and the Rosie Entities.</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305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execution and delivery by Seller of the Assignment of Membership Interests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other than Permitted Equity Encumbrances and except as set forth in </w:t>
      </w:r>
      <w:r>
        <w:rPr>
          <w:rFonts w:ascii="Times New Roman" w:cs="Times New Roman" w:eastAsia="Times New Roman" w:hAnsi="Times New Roman"/>
          <w:sz w:val="18"/>
          <w:szCs w:val="18"/>
          <w:i w:val="1"/>
          <w:iCs w:val="1"/>
          <w:color w:val="auto"/>
        </w:rPr>
        <w:t>Schedule 3.01(i)(x)</w:t>
      </w:r>
      <w:r>
        <w:rPr>
          <w:rFonts w:ascii="Times New Roman" w:cs="Times New Roman" w:eastAsia="Times New Roman" w:hAnsi="Times New Roman"/>
          <w:sz w:val="18"/>
          <w:szCs w:val="18"/>
          <w:color w:val="auto"/>
        </w:rPr>
        <w:t xml:space="preserve"> of the Disclosure Schedules.</w:t>
      </w:r>
    </w:p>
    <w:p>
      <w:pPr>
        <w:spacing w:after="0" w:line="177" w:lineRule="exact"/>
        <w:rPr>
          <w:rFonts w:ascii="Times New Roman" w:cs="Times New Roman" w:eastAsia="Times New Roman" w:hAnsi="Times New Roman"/>
          <w:sz w:val="18"/>
          <w:szCs w:val="18"/>
          <w:color w:val="auto"/>
        </w:rPr>
      </w:pPr>
    </w:p>
    <w:p>
      <w:pPr>
        <w:jc w:val="both"/>
        <w:ind w:firstLine="1304"/>
        <w:spacing w:after="0" w:line="259" w:lineRule="auto"/>
        <w:tabs>
          <w:tab w:leader="none" w:pos="25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Undisclosed Liabilities</w:t>
      </w:r>
      <w:r>
        <w:rPr>
          <w:rFonts w:ascii="Times New Roman" w:cs="Times New Roman" w:eastAsia="Times New Roman" w:hAnsi="Times New Roman"/>
          <w:sz w:val="18"/>
          <w:szCs w:val="18"/>
          <w:color w:val="auto"/>
        </w:rPr>
        <w:t>. Neither the Company nor the Rosie Entities has any liability or obligation that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disclosed on a balance sheet prepared in accordance with GAAP, except for the liabilities and obligations of the Company or the Rosie Entities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incurred in the ordinary course of business consistent with past practice,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that do not and are not individually or in the aggregate reasonably expected to have a Material Adverse Effect,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that constitute amounts payable under the Company Contracts expressly provided for under existing Company Contracts that have not arisen from a breach thereof or thereunder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i w:val="1"/>
          <w:iCs w:val="1"/>
          <w:color w:val="auto"/>
        </w:rPr>
        <w:t>Schedule 3.01(j)</w:t>
      </w:r>
      <w:r>
        <w:rPr>
          <w:rFonts w:ascii="Times New Roman" w:cs="Times New Roman" w:eastAsia="Times New Roman" w:hAnsi="Times New Roman"/>
          <w:sz w:val="18"/>
          <w:szCs w:val="18"/>
          <w:color w:val="auto"/>
        </w:rPr>
        <w:t xml:space="preserve"> of the Disclosure Schedules.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firstLine="1304"/>
        <w:spacing w:after="0" w:line="286" w:lineRule="auto"/>
        <w:tabs>
          <w:tab w:leader="none" w:pos="22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since the date of formation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Rosie Entities, as applicable:</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74" w:lineRule="auto"/>
        <w:tabs>
          <w:tab w:leader="none" w:pos="2922"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federal and all other material Tax Returns required to be filed by or with respect to the Company or the Rosie Entities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the Company or the Rosie Entities (or income attributable thereto), and Seller, Affiliates of Seller, the Company and the Rosie Entities have paid, or made adequate provisions for the payment of, all Taxes, assessments and other charges due or claimed to be due (regardless of whether shown on any Tax Return) from the Company or the Rosie Entities or for which the Company, Rosie Entities or the Purchaser could be held liable.</w:t>
      </w:r>
    </w:p>
    <w:p>
      <w:pPr>
        <w:spacing w:after="0" w:line="172" w:lineRule="exact"/>
        <w:rPr>
          <w:rFonts w:ascii="Times New Roman" w:cs="Times New Roman" w:eastAsia="Times New Roman" w:hAnsi="Times New Roman"/>
          <w:sz w:val="17"/>
          <w:szCs w:val="17"/>
          <w:color w:val="auto"/>
        </w:rPr>
      </w:pPr>
    </w:p>
    <w:p>
      <w:pPr>
        <w:jc w:val="both"/>
        <w:ind w:left="660" w:firstLine="1292"/>
        <w:spacing w:after="0" w:line="253" w:lineRule="auto"/>
        <w:tabs>
          <w:tab w:leader="none" w:pos="281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(i) Actions or Proceedings currently pending or threatened in writing against the Company or the Rosie Entities or related to their business operations, by any Governmental Authority for the assessment or collection of Taxes, (ii) audits or other examinations of any Tax Return of the Company or the Rosie Entities (or income attributable thereto) in progress nor has Seller, any Affiliate of Seller, the Company or the Rosie Entities been notified in writing of any request for examination with respect to the Company or the Rosie Entities, (iii) claims for assessment or collection of Taxes that have been asserted in writing against Seller or any Affiliate of Seller with respect to the Company or the Rosie Entities, the Company or the Rosie Entities (or the income attributable thereto) or (iv) matters under discussion with any Governmental Authority regarding claims for assessment or collection of Taxes against the Company or the Rosie Entities (or income attributable thereto). There are no outstanding agreements, waivers or consents extending the statutory period of limitations applicable to any Tax of the Company or the Rosie Entities, and, except as set forth on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color w:val="auto"/>
        </w:rPr>
        <w:t xml:space="preserve"> of the Disclosure Schedules, neither the Company nor the Rosie Entities has requested any extensions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189" w:lineRule="exact"/>
        <w:rPr>
          <w:rFonts w:ascii="Times New Roman" w:cs="Times New Roman" w:eastAsia="Times New Roman" w:hAnsi="Times New Roman"/>
          <w:sz w:val="18"/>
          <w:szCs w:val="18"/>
          <w:color w:val="auto"/>
        </w:rPr>
      </w:pPr>
    </w:p>
    <w:p>
      <w:pPr>
        <w:ind w:left="660" w:firstLine="1292"/>
        <w:spacing w:after="0" w:line="282" w:lineRule="auto"/>
        <w:tabs>
          <w:tab w:leader="none" w:pos="293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not, and its owner for U.S. federal income tax purposes is not, a “foreign person” within the meaning of Code Sections 1445(b)(2) and 1446(f).</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7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Rosie Entities have been properly classified for federal and state income Tax purposes as disregarded entities or partnerships under Treasury Regulations Section 301.7701-2 and -3 and neither Seller nor any Affiliate of Seller has made or caused to be made any election for any Tax purposes to classify the Company or the Rosie Entities as other than a disregarded entity or partnership.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ind w:left="660" w:firstLine="1292"/>
        <w:spacing w:after="0" w:line="266" w:lineRule="auto"/>
        <w:tabs>
          <w:tab w:leader="none" w:pos="283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Rosie Entities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30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Rosie Entities, nor Seller or any Affiliate of Seller with respect to the assets or operations of the Company or the Rosie Entities, is or has ever entered into or been a party to any “listed transaction,” as defined in Section 1.6011-4(b)(2) of the Treasury Regulations.</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92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property owned by either the Company or the Rosie Entities is “tax exempt use property” within the meaning of Section 168(h) of the Code or “tax exempt bond financed property” within the meaning of Code Section 168(g)(5).</w:t>
      </w:r>
    </w:p>
    <w:p>
      <w:pPr>
        <w:spacing w:after="0" w:line="157" w:lineRule="exact"/>
        <w:rPr>
          <w:rFonts w:ascii="Times New Roman" w:cs="Times New Roman" w:eastAsia="Times New Roman" w:hAnsi="Times New Roman"/>
          <w:sz w:val="18"/>
          <w:szCs w:val="18"/>
          <w:color w:val="auto"/>
        </w:rPr>
      </w:pPr>
    </w:p>
    <w:p>
      <w:pPr>
        <w:ind w:right="20" w:firstLine="1304"/>
        <w:spacing w:after="0" w:line="286" w:lineRule="auto"/>
        <w:tabs>
          <w:tab w:leader="none" w:pos="24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Neither the Company nor the Rosie Entities has, nor has ever had, any employees or any liability, actual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with respect to any Employee Plan.</w:t>
      </w:r>
    </w:p>
    <w:p>
      <w:pPr>
        <w:spacing w:after="0" w:line="154"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Contracts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3.01(m)(i) </w:t>
      </w:r>
      <w:r>
        <w:rPr>
          <w:rFonts w:ascii="Times New Roman" w:cs="Times New Roman" w:eastAsia="Times New Roman" w:hAnsi="Times New Roman"/>
          <w:sz w:val="18"/>
          <w:szCs w:val="18"/>
          <w:color w:val="auto"/>
        </w:rPr>
        <w:t>of the Disclosure Schedules contains a true, correct and complete list of all material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amendments, modifications and supplements thereto, to which the Company or the Rosie Entities is a party or by which the Company, the Rosie Entities or any of their assets or properties are bound (collectively, the “</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which includes:</w:t>
      </w:r>
    </w:p>
    <w:p>
      <w:pPr>
        <w:spacing w:after="0" w:line="175" w:lineRule="exact"/>
        <w:rPr>
          <w:rFonts w:ascii="Times New Roman" w:cs="Times New Roman" w:eastAsia="Times New Roman" w:hAnsi="Times New Roman"/>
          <w:sz w:val="18"/>
          <w:szCs w:val="18"/>
          <w:color w:val="auto"/>
        </w:rPr>
      </w:pPr>
    </w:p>
    <w:p>
      <w:pPr>
        <w:ind w:left="3880" w:hanging="1280"/>
        <w:spacing w:after="0"/>
        <w:tabs>
          <w:tab w:leader="none" w:pos="38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purchase, exchange or sale of electric power, capacity, ancillary services 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Attributes;</w:t>
      </w:r>
    </w:p>
    <w:p>
      <w:pPr>
        <w:spacing w:after="0" w:line="206" w:lineRule="exact"/>
        <w:rPr>
          <w:rFonts w:ascii="Times New Roman" w:cs="Times New Roman" w:eastAsia="Times New Roman" w:hAnsi="Times New Roman"/>
          <w:sz w:val="18"/>
          <w:szCs w:val="18"/>
          <w:color w:val="auto"/>
        </w:rPr>
      </w:pPr>
    </w:p>
    <w:p>
      <w:pPr>
        <w:ind w:left="3460" w:hanging="860"/>
        <w:spacing w:after="0"/>
        <w:tabs>
          <w:tab w:leader="none" w:pos="34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transmission of electric power;</w:t>
      </w:r>
    </w:p>
    <w:p>
      <w:pPr>
        <w:spacing w:after="0" w:line="225" w:lineRule="exact"/>
        <w:rPr>
          <w:rFonts w:ascii="Times New Roman" w:cs="Times New Roman" w:eastAsia="Times New Roman" w:hAnsi="Times New Roman"/>
          <w:sz w:val="18"/>
          <w:szCs w:val="18"/>
          <w:color w:val="auto"/>
        </w:rPr>
      </w:pPr>
    </w:p>
    <w:p>
      <w:pPr>
        <w:ind w:left="3460" w:hanging="860"/>
        <w:spacing w:after="0"/>
        <w:tabs>
          <w:tab w:leader="none" w:pos="34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interconnection Contracts for electricity;</w:t>
      </w:r>
    </w:p>
    <w:p>
      <w:pPr>
        <w:spacing w:after="0" w:line="225" w:lineRule="exact"/>
        <w:rPr>
          <w:rFonts w:ascii="Times New Roman" w:cs="Times New Roman" w:eastAsia="Times New Roman" w:hAnsi="Times New Roman"/>
          <w:sz w:val="18"/>
          <w:szCs w:val="18"/>
          <w:color w:val="auto"/>
        </w:rPr>
      </w:pPr>
    </w:p>
    <w:p>
      <w:pPr>
        <w:ind w:left="3480" w:hanging="880"/>
        <w:spacing w:after="0"/>
        <w:tabs>
          <w:tab w:leader="none" w:pos="34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Seller, HASI or any of their respective Affiliates; and</w:t>
      </w:r>
    </w:p>
    <w:p>
      <w:pPr>
        <w:spacing w:after="0" w:line="225" w:lineRule="exact"/>
        <w:rPr>
          <w:rFonts w:ascii="Times New Roman" w:cs="Times New Roman" w:eastAsia="Times New Roman" w:hAnsi="Times New Roman"/>
          <w:sz w:val="18"/>
          <w:szCs w:val="18"/>
          <w:color w:val="auto"/>
        </w:rPr>
      </w:pPr>
    </w:p>
    <w:p>
      <w:pPr>
        <w:ind w:left="3760" w:hanging="1160"/>
        <w:spacing w:after="0"/>
        <w:tabs>
          <w:tab w:leader="none" w:pos="37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Acquired Interests or membership interests of the Company or the Rosie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8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has provided Purchaser with, or access to, true, correct and complete copies of all the Company Contracts and the agreements described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and all amendments, modifications and supplements thereto. Each Company Contract constitutes the legal, valid, binding and enforceable obligation of the Company or the Rosie Entities party thereto and to the Knowledge of Seller, the other parties thereto, except as may be limited by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bankruptcy, insolvency, reorganization, moratorium and other similar laws of general application affecting the rights and remedies of creditors,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general principles of equity (regardless of whether such enforcement is considered in a proceeding in equity or at law). Each Company Contract is in full force and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left="660" w:firstLine="1292"/>
        <w:spacing w:after="0" w:line="267" w:lineRule="auto"/>
        <w:tabs>
          <w:tab w:leader="none" w:pos="30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i w:val="1"/>
          <w:iCs w:val="1"/>
          <w:color w:val="auto"/>
        </w:rPr>
        <w:t>Schedule 3.01(m)(iii)</w:t>
      </w:r>
      <w:r>
        <w:rPr>
          <w:rFonts w:ascii="Times New Roman" w:cs="Times New Roman" w:eastAsia="Times New Roman" w:hAnsi="Times New Roman"/>
          <w:sz w:val="18"/>
          <w:szCs w:val="18"/>
          <w:color w:val="auto"/>
        </w:rPr>
        <w:t xml:space="preserve"> of the Disclosure Schedules, neither the Company nor the Rosie Entities or, to the Knowledge of Seller, the other parties thereto, is in material violation or material breach of or material default under any Company Contract to which it is a party.</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325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the Company or any of the Rosie Entities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17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3.01(n)(i) </w:t>
      </w:r>
      <w:r>
        <w:rPr>
          <w:rFonts w:ascii="Times New Roman" w:cs="Times New Roman" w:eastAsia="Times New Roman" w:hAnsi="Times New Roman"/>
          <w:sz w:val="18"/>
          <w:szCs w:val="18"/>
          <w:color w:val="auto"/>
        </w:rPr>
        <w:t>of the Disclosure Schedules lists all Real Property Rights of the Company and the Rosie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real property in which the Company and the Rosie Entities have Real Property Rights, and appurtenances thereto (collectively, the “</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The Land is free and clear of all Liens except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Permitted Exceptions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as disclosed in the Title Policy.</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3.01(n)(ii)</w:t>
      </w:r>
      <w:r>
        <w:rPr>
          <w:rFonts w:ascii="Times New Roman" w:cs="Times New Roman" w:eastAsia="Times New Roman" w:hAnsi="Times New Roman"/>
          <w:sz w:val="18"/>
          <w:szCs w:val="18"/>
          <w:color w:val="auto"/>
        </w:rPr>
        <w:t xml:space="preserve"> of the Disclosure Schedules, neither the Company nor the Rosie Entities has entered into any assignment, lease, license, sublease, easement or other agreement granting to any Person any right to the possession, use, occupancy or enjoyment of the Land.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6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the Rosie Entities has caused or suffered to exist any easement, right-of-way, covenant, condition, restriction, reservation, license, agreement or other similar matter that would materially interfere with the operation of the Project or the business of the Company or the Rosie Entities in respect of the Real Property Rights, except as set forth on Part 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or in the Title Policy.</w:t>
      </w:r>
    </w:p>
    <w:p>
      <w:pPr>
        <w:spacing w:after="0" w:line="177" w:lineRule="exact"/>
        <w:rPr>
          <w:rFonts w:ascii="Times New Roman" w:cs="Times New Roman" w:eastAsia="Times New Roman" w:hAnsi="Times New Roman"/>
          <w:sz w:val="18"/>
          <w:szCs w:val="18"/>
          <w:color w:val="auto"/>
        </w:rPr>
      </w:pPr>
    </w:p>
    <w:p>
      <w:pPr>
        <w:ind w:left="660" w:right="20" w:firstLine="1292"/>
        <w:spacing w:after="0" w:line="284" w:lineRule="auto"/>
        <w:tabs>
          <w:tab w:leader="none" w:pos="2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Part II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the Real Property Rights are all the real property rights necessary for the Company and the Rosie Entities to develop, construct, own and operate the Project.</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94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the Company or the Rosie Entities has received any written notice of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condemnation, eminent domain or similar governmental proceeding materially affecting, individually or in the aggregate, the Project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zoning, ordinance, building, fire, health, or safety code violations materially affecting the Project.</w:t>
      </w:r>
    </w:p>
    <w:p>
      <w:pPr>
        <w:spacing w:after="0" w:line="171"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7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Title Policy</w:t>
      </w:r>
      <w:r>
        <w:rPr>
          <w:rFonts w:ascii="Times New Roman" w:cs="Times New Roman" w:eastAsia="Times New Roman" w:hAnsi="Times New Roman"/>
          <w:sz w:val="18"/>
          <w:szCs w:val="18"/>
          <w:color w:val="auto"/>
        </w:rPr>
        <w:t>. Seller has provided to Purchaser a true and correct copy of the Title Policy covering the Real Property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Real Property Rights are subject only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Permitted Exceptions,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matters disclosed in the Title Policy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matters consented to in writing by Purchaser.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8" w:name="page29"/>
    <w:bookmarkEnd w:id="28"/>
    <w:p>
      <w:pPr>
        <w:ind w:left="1120" w:hanging="936"/>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83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3.01(p)(i)</w:t>
      </w:r>
      <w:r>
        <w:rPr>
          <w:rFonts w:ascii="Times New Roman" w:cs="Times New Roman" w:eastAsia="Times New Roman" w:hAnsi="Times New Roman"/>
          <w:sz w:val="18"/>
          <w:szCs w:val="18"/>
          <w:color w:val="auto"/>
        </w:rPr>
        <w:t xml:space="preserve"> of the Disclosure Schedules, the Company and the Rosie Entities are in compliance with all Environmental Laws, except to the extent that any such material non-compliance would not reasonably be expected to have a Material Adverse Effect. There is no material violation of any Environmental Law or other material liability arising under any Environmental Law with respect to the Project or the Land.</w:t>
      </w:r>
    </w:p>
    <w:p>
      <w:pPr>
        <w:spacing w:after="0" w:line="181"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or Proceedings pending or, to the Knowledge of Seller, threatened, as of the date of this Agreement against Seller, the Company or the Rosie Entities relating to any material violation of Environmental Law. None of Seller, the Company or the Rosie Entities has received notice from any Governmental Authority of any material violation of any Environmental Law.</w:t>
      </w:r>
    </w:p>
    <w:p>
      <w:pPr>
        <w:spacing w:after="0" w:line="173"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21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3.01(p)(iii) </w:t>
      </w:r>
      <w:r>
        <w:rPr>
          <w:rFonts w:ascii="Times New Roman" w:cs="Times New Roman" w:eastAsia="Times New Roman" w:hAnsi="Times New Roman"/>
          <w:sz w:val="18"/>
          <w:szCs w:val="18"/>
          <w:color w:val="auto"/>
        </w:rPr>
        <w:t>of the Disclosure Schedules sets forth all material Permits required pursuant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Environmental Law to be acquired or held by or for the benefit of Seller, the Company or the Rosie Entities for the development, construction, ownership, use or operation of the Land or the business of the Company and the Rosie Entities as currently conducted. Except as set forth in </w:t>
      </w:r>
      <w:r>
        <w:rPr>
          <w:rFonts w:ascii="Times New Roman" w:cs="Times New Roman" w:eastAsia="Times New Roman" w:hAnsi="Times New Roman"/>
          <w:sz w:val="18"/>
          <w:szCs w:val="18"/>
          <w:i w:val="1"/>
          <w:iCs w:val="1"/>
          <w:color w:val="auto"/>
        </w:rPr>
        <w:t xml:space="preserve">Schedule 3.01(p)(iii) </w:t>
      </w:r>
      <w:r>
        <w:rPr>
          <w:rFonts w:ascii="Times New Roman" w:cs="Times New Roman" w:eastAsia="Times New Roman" w:hAnsi="Times New Roman"/>
          <w:sz w:val="18"/>
          <w:szCs w:val="18"/>
          <w:color w:val="auto"/>
        </w:rPr>
        <w:t>of the Disclosure Schedules, such Permits have been obtained in a timely manner and are presently maintained in full force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effect in the name of the Company or the Rosie Entities.</w:t>
      </w:r>
    </w:p>
    <w:p>
      <w:pPr>
        <w:spacing w:after="0" w:line="185"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the Company and the Rosie Entities as currently conducted that would be reasonably expected to trigger any obligation of Seller, the Company or the Rosie Entities under Environmental Laws to report, investigate, remove or remediate such Release.</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70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made available to Purchaser all material environmental reports, assessments and documents that are in the possession of Seller, the Company or the Rosie Entities and that relate to actual or potential material liabilities or obligations under Environmental Laws with respect to the Project or the Land.</w:t>
      </w:r>
    </w:p>
    <w:p>
      <w:pPr>
        <w:spacing w:after="0" w:line="171" w:lineRule="exact"/>
        <w:rPr>
          <w:rFonts w:ascii="Times New Roman" w:cs="Times New Roman" w:eastAsia="Times New Roman" w:hAnsi="Times New Roman"/>
          <w:sz w:val="18"/>
          <w:szCs w:val="18"/>
          <w:color w:val="auto"/>
        </w:rPr>
      </w:pPr>
    </w:p>
    <w:p>
      <w:pPr>
        <w:ind w:left="1120" w:hanging="936"/>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60" w:firstLine="1292"/>
        <w:spacing w:after="0" w:line="257" w:lineRule="auto"/>
        <w:tabs>
          <w:tab w:leader="none" w:pos="180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3.01(q)(i) </w:t>
      </w:r>
      <w:r>
        <w:rPr>
          <w:rFonts w:ascii="Times New Roman" w:cs="Times New Roman" w:eastAsia="Times New Roman" w:hAnsi="Times New Roman"/>
          <w:sz w:val="18"/>
          <w:szCs w:val="18"/>
          <w:color w:val="auto"/>
        </w:rPr>
        <w:t>of the Disclosure Schedules sets forth all material Permits required pursuant to any Law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or held by or for the benefit of Seller, the Company or the Rosie Entities in connection with the development, construction, ownership, maintenance, or operation of the Project, except for those required by the Environmental Laws, which are exclusively and solely governed by </w:t>
      </w:r>
      <w:r>
        <w:rPr>
          <w:rFonts w:ascii="Times New Roman" w:cs="Times New Roman" w:eastAsia="Times New Roman" w:hAnsi="Times New Roman"/>
          <w:sz w:val="18"/>
          <w:szCs w:val="18"/>
          <w:i w:val="1"/>
          <w:iCs w:val="1"/>
          <w:color w:val="auto"/>
        </w:rPr>
        <w:t xml:space="preserve">Section 3.01(p) </w:t>
      </w:r>
      <w:r>
        <w:rPr>
          <w:rFonts w:ascii="Times New Roman" w:cs="Times New Roman" w:eastAsia="Times New Roman" w:hAnsi="Times New Roman"/>
          <w:sz w:val="18"/>
          <w:szCs w:val="18"/>
          <w:color w:val="auto"/>
        </w:rPr>
        <w:t>hereof, or those of a type that are routinely granted on application and for which none of Seller, the Company or the Rosie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has reason to believe will not be obtained in due course. Except as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the Company or the Rosie Entities.</w:t>
      </w:r>
    </w:p>
    <w:p>
      <w:pPr>
        <w:spacing w:after="0" w:line="40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9" w:name="page30"/>
    <w:bookmarkEnd w:id="29"/>
    <w:p>
      <w:pPr>
        <w:jc w:val="both"/>
        <w:ind w:left="660" w:firstLine="1292"/>
        <w:spacing w:after="0" w:line="254" w:lineRule="auto"/>
        <w:tabs>
          <w:tab w:leader="none" w:pos="2985"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3.01(q)(ii)</w:t>
      </w:r>
      <w:r>
        <w:rPr>
          <w:rFonts w:ascii="Times New Roman" w:cs="Times New Roman" w:eastAsia="Times New Roman" w:hAnsi="Times New Roman"/>
          <w:sz w:val="18"/>
          <w:szCs w:val="18"/>
          <w:color w:val="auto"/>
        </w:rPr>
        <w:t xml:space="preserve"> of the Disclosure Schedules, and except as relates to compliance with Environmental Laws which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hereof, Seller, the Company and the Rosie Entities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not in full force and effect,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subject to any Action or Proceeding or unsatisfied condition, in each case of clause (i) and</w:t>
      </w:r>
    </w:p>
    <w:p>
      <w:pPr>
        <w:spacing w:after="0" w:line="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not been remedied or resolved.</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855"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proceedings pending or, to the Knowledge of Seller, threatened which would reasonably be expected to result in the modification, revocation or termination of any material Permit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w:t>
      </w:r>
    </w:p>
    <w:p>
      <w:pPr>
        <w:spacing w:after="0" w:line="157" w:lineRule="exact"/>
        <w:rPr>
          <w:rFonts w:ascii="Times New Roman" w:cs="Times New Roman" w:eastAsia="Times New Roman" w:hAnsi="Times New Roman"/>
          <w:sz w:val="18"/>
          <w:szCs w:val="18"/>
          <w:color w:val="auto"/>
        </w:rPr>
      </w:pPr>
    </w:p>
    <w:p>
      <w:pPr>
        <w:jc w:val="both"/>
        <w:ind w:right="20" w:firstLine="1304"/>
        <w:spacing w:after="0" w:line="268" w:lineRule="auto"/>
        <w:tabs>
          <w:tab w:leader="none" w:pos="257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Affiliate Transactions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or under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and except for this Agreement, there are no existing or pending transactions, Contracts or Liabilities between or among the Company or the Rosie Entity on the one hand, and Seller or any of Seller’s Affiliates on the other hand.</w:t>
      </w:r>
    </w:p>
    <w:p>
      <w:pPr>
        <w:spacing w:after="0" w:line="170"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90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Seller, except as set forth in </w:t>
      </w:r>
      <w:r>
        <w:rPr>
          <w:rFonts w:ascii="Times New Roman" w:cs="Times New Roman" w:eastAsia="Times New Roman" w:hAnsi="Times New Roman"/>
          <w:sz w:val="18"/>
          <w:szCs w:val="18"/>
          <w:i w:val="1"/>
          <w:iCs w:val="1"/>
          <w:color w:val="auto"/>
        </w:rPr>
        <w:t>Schedule 3.01(s)(i)</w:t>
      </w:r>
      <w:r>
        <w:rPr>
          <w:rFonts w:ascii="Times New Roman" w:cs="Times New Roman" w:eastAsia="Times New Roman" w:hAnsi="Times New Roman"/>
          <w:sz w:val="18"/>
          <w:szCs w:val="18"/>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Company or the Rosie Entities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Company or the Rosie Entities and which is owned by any third party and which, in each case, would reasonably be expected to have a Material Adverse Effect.</w:t>
      </w:r>
    </w:p>
    <w:p>
      <w:pPr>
        <w:spacing w:after="0" w:line="185" w:lineRule="exact"/>
        <w:rPr>
          <w:sz w:val="20"/>
          <w:szCs w:val="20"/>
          <w:color w:val="auto"/>
        </w:rPr>
      </w:pPr>
    </w:p>
    <w:p>
      <w:pPr>
        <w:jc w:val="both"/>
        <w:ind w:left="660" w:firstLine="1292"/>
        <w:spacing w:after="0" w:line="261" w:lineRule="auto"/>
        <w:tabs>
          <w:tab w:leader="none" w:pos="30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Rosie Entities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99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Company or the Rosie Entities that would reasonably be expected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0" w:name="page31"/>
    <w:bookmarkEnd w:id="30"/>
    <w:p>
      <w:pPr>
        <w:jc w:val="both"/>
        <w:ind w:firstLine="1304"/>
        <w:spacing w:after="0" w:line="253" w:lineRule="auto"/>
        <w:tabs>
          <w:tab w:leader="none" w:pos="22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contains a true, correct and complete list of all insurance policies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date of this Agreement that insure the assets and properties and business of the Company or the Rosie Entities or affect or relate to the ownership of any of the assets and properties the Company or the Rosie Entities. Seller has delivered to Purchaser detailed summaries of all the insurance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all of which are in full force and effect. None of Seller, the Company or the Rosie Entities has received any notice with respect to the assets and properties and business of the Company or the Rosie Entities from any insurer under any insurance policy applicable to the assets and properties and business of the Company or the Rosie Entities disclaiming coverage, reserving rights with respect to a particular claim or such policy in general or canceling any such policy. All premiums due and payable under all such policies have been paid and the terms of such policies have been complied with by Seller, the Company and the Rosie Entities, as applicable, in all material respects. The insurance maintained by or on behalf of the Company or the Rosie Entities is adequate to comply with all Laws and Company Contracts. Except as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spacing w:after="0" w:line="187" w:lineRule="exact"/>
        <w:rPr>
          <w:rFonts w:ascii="Times New Roman" w:cs="Times New Roman" w:eastAsia="Times New Roman" w:hAnsi="Times New Roman"/>
          <w:sz w:val="18"/>
          <w:szCs w:val="18"/>
          <w:color w:val="auto"/>
        </w:rPr>
      </w:pPr>
    </w:p>
    <w:p>
      <w:pPr>
        <w:jc w:val="both"/>
        <w:ind w:firstLine="1304"/>
        <w:spacing w:after="0" w:line="257" w:lineRule="auto"/>
        <w:tabs>
          <w:tab w:leader="none" w:pos="22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Balance Sheet</w:t>
      </w:r>
      <w:r>
        <w:rPr>
          <w:rFonts w:ascii="Times New Roman" w:cs="Times New Roman" w:eastAsia="Times New Roman" w:hAnsi="Times New Roman"/>
          <w:sz w:val="18"/>
          <w:szCs w:val="18"/>
          <w:color w:val="auto"/>
        </w:rPr>
        <w:t>. Seller has previously delivered to Purchaser true, correct and complete copies of the most recent 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(the “</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of the Company and the Rosie Entities on a consolidated basis for the quarter ended September 30, 2020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Sheet Date</w:t>
      </w:r>
      <w:r>
        <w:rPr>
          <w:rFonts w:ascii="Times New Roman" w:cs="Times New Roman" w:eastAsia="Times New Roman" w:hAnsi="Times New Roman"/>
          <w:sz w:val="18"/>
          <w:szCs w:val="18"/>
          <w:color w:val="auto"/>
        </w:rPr>
        <w:t>”). The Balance Sheet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fairly presents, in all material respects, the consolidated financial position and consolidated results of operations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Rosie Entities, as of the Balance Sheet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has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been prepared from the books and records of the Company and the Rosie Entities.</w:t>
      </w:r>
    </w:p>
    <w:p>
      <w:pPr>
        <w:spacing w:after="0" w:line="182" w:lineRule="exact"/>
        <w:rPr>
          <w:rFonts w:ascii="Times New Roman" w:cs="Times New Roman" w:eastAsia="Times New Roman" w:hAnsi="Times New Roman"/>
          <w:sz w:val="18"/>
          <w:szCs w:val="18"/>
          <w:color w:val="auto"/>
        </w:rPr>
      </w:pPr>
    </w:p>
    <w:p>
      <w:pPr>
        <w:ind w:firstLine="1304"/>
        <w:spacing w:after="0" w:line="286" w:lineRule="auto"/>
        <w:tabs>
          <w:tab w:leader="none" w:pos="23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Absence of Changes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since the Balance Sheet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indicated in subparagraph (vii) below) until the date of this Agreement, there has not been:</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8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repurchase, redemption or other acquisition of any equity interests of the Company or the Rosie Entities or any interests convertible into equity interests of the Company or the Rosie Entities or any other change in the capitalization or ownership of the Company or the Rosie Entities;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the Company or the Rosie Entities into or with any other Person, consolidation of the Company or the Rosie Entities with any other Person or acquisition by the Company or the Rosie Entities of all or substantially all of the business or assets of any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both"/>
        <w:ind w:left="660" w:firstLine="1292"/>
        <w:spacing w:after="0" w:line="266" w:lineRule="auto"/>
        <w:tabs>
          <w:tab w:leader="none" w:pos="292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by the Company or the Rosie Entities or any commitment entered into by any member of the Company or the Rosie Entities with respect to or in contemplation of any liquidation, dissolution, recapitalization, reorganization or other winding up of its business or operations;</w:t>
      </w:r>
    </w:p>
    <w:p>
      <w:pPr>
        <w:spacing w:after="0" w:line="17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307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accounting policies or practices (including any change in depreciation or amortization policies) of the Company or the Rosie Entities, except as required under GAAP;</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4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(as lessor), transfer or other disposal of (including any transfers to any of its Affiliates), or mortgage or pledge, or imposition of any Lien on, any of its assets or properties, or interests therein, other than (x) inventory and personal property sold or otherwise disposed of in the ordinary course of business, and (y) Permitted Liens;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320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or</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9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circumstance, condition or change relating or with respect to the Company or the Rosie Entities that would reasonably be expected to have, individually or in the aggregate, a Material Adverse Effect.</w:t>
      </w:r>
    </w:p>
    <w:p>
      <w:pPr>
        <w:spacing w:after="0" w:line="157"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6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 Accounts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the names and locations of banks, trust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financial institutions at which the Company or the Rosie Entities maintain bank accounts or safe deposit boxes, in each case listing the type of account, the account number, and the names of all Persons authorized to draw thereupon or who have access thereto.</w:t>
      </w:r>
    </w:p>
    <w:p>
      <w:pPr>
        <w:spacing w:after="0" w:line="170"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Status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firstLine="1292"/>
        <w:spacing w:after="0" w:line="282" w:lineRule="auto"/>
        <w:tabs>
          <w:tab w:leader="none" w:pos="307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Company is an “exempt wholesale generator,” as such term is defined in PUHCA. As an “exempt wholesale generator,” the Project Company is exempt from PUHCA to the extent provided for in 18 C.F.R. § 366.7(e).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303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each of the Rosie Entities other than the Project Company is a “holding company,” as defined in PUHCA, solely with respect to its direct or indirect, as applicable, ownership of the Project Company and, therefore, Company and each of the Rosie Entities other than the Project Company is entitled to the exemptions and waivers set forth in at 18 C.F.R. § 366.3(a). The Project Company is not a “holding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left="660" w:firstLine="1292"/>
        <w:spacing w:after="0" w:line="261" w:lineRule="auto"/>
        <w:tabs>
          <w:tab w:leader="none" w:pos="29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Purchaser, solely by virtue of its indirect ownership of the Project Company, will not be subject to, or will not lose the exemption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FERC regulation as an “electric utility company,” a “public-utility company,” or a “holding company,” or an “affiliate” or “subsidiary company” as defined under PUHCA, or as “public utility” under the FPA,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CPUC regulation as a “public utility” or an “electrical corporation.”</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302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Rosie Entities other than the Project Company is subject to regulation as a “public utility” as that term is defined under FPA Section 201(e). The Project Company has received MBR Authorization. Neither the Company nor any of the Rosie Entities is subject to regulation by the CPUC as a “public utility” or, other than the Project Company, an “electrical corporation.”</w:t>
      </w:r>
    </w:p>
    <w:p>
      <w:pPr>
        <w:spacing w:after="0" w:line="175" w:lineRule="exact"/>
        <w:rPr>
          <w:rFonts w:ascii="Times New Roman" w:cs="Times New Roman" w:eastAsia="Times New Roman" w:hAnsi="Times New Roman"/>
          <w:sz w:val="18"/>
          <w:szCs w:val="18"/>
          <w:color w:val="auto"/>
        </w:rPr>
      </w:pPr>
    </w:p>
    <w:p>
      <w:pPr>
        <w:ind w:left="2400" w:hanging="1096"/>
        <w:spacing w:after="0"/>
        <w:tabs>
          <w:tab w:leader="none" w:pos="2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Support Obligations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a true and complete list of all the Support</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w:t>
      </w:r>
    </w:p>
    <w:p>
      <w:pPr>
        <w:spacing w:after="0" w:line="202" w:lineRule="exact"/>
        <w:rPr>
          <w:rFonts w:ascii="Times New Roman" w:cs="Times New Roman" w:eastAsia="Times New Roman" w:hAnsi="Times New Roman"/>
          <w:sz w:val="18"/>
          <w:szCs w:val="18"/>
          <w:color w:val="auto"/>
        </w:rPr>
      </w:pPr>
    </w:p>
    <w:p>
      <w:pPr>
        <w:jc w:val="both"/>
        <w:ind w:firstLine="1304"/>
        <w:spacing w:after="0" w:line="259" w:lineRule="auto"/>
        <w:tabs>
          <w:tab w:leader="none" w:pos="24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Disclosures</w:t>
      </w:r>
      <w:r>
        <w:rPr>
          <w:rFonts w:ascii="Times New Roman" w:cs="Times New Roman" w:eastAsia="Times New Roman" w:hAnsi="Times New Roman"/>
          <w:sz w:val="18"/>
          <w:szCs w:val="18"/>
          <w:color w:val="auto"/>
        </w:rPr>
        <w:t>. To the Knowledge of Seller, no representation or warranty by Seller contained in this Agreement,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contained in the Disclosure Schedules or any other document, certificate or other instrument delivered to or to be delivered by or on behalf of Seller, the Company or the Rosie Entities contains, or will contain any untrue statement of a material fact or omits or will omit to state any material fact necessary, in light of the circumstances under which it was or will be made, in order to make the statements herein or therein not misleading when taken as a whole.</w:t>
      </w:r>
    </w:p>
    <w:p>
      <w:pPr>
        <w:spacing w:after="0" w:line="179" w:lineRule="exact"/>
        <w:rPr>
          <w:sz w:val="20"/>
          <w:szCs w:val="20"/>
          <w:color w:val="auto"/>
        </w:rPr>
      </w:pPr>
    </w:p>
    <w:p>
      <w:pPr>
        <w:ind w:firstLine="1304"/>
        <w:spacing w:after="0" w:line="286" w:lineRule="auto"/>
        <w:tabs>
          <w:tab w:leader="none" w:pos="23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Seller has made available to Purchaser true, complete and correct copies of all Reports delivered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Equity Agreement as of the Closing Date.</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22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Seller has prepared the financial projections for the Company and the Rosie Entities, which are reflected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Case Model (the “</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in good faith. To the Knowledge of Seller, the Projections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are based on reasonable assumptions,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are consistent in all material respects with Prudent Industry Practices,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reflect all material payments to be made by the Company or the Rosie Entities to Sellers or its Affiliates.</w:t>
      </w:r>
    </w:p>
    <w:p>
      <w:pPr>
        <w:spacing w:after="0" w:line="176"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Other Warranties</w:t>
      </w:r>
      <w:r>
        <w:rPr>
          <w:rFonts w:ascii="Times New Roman" w:cs="Times New Roman" w:eastAsia="Times New Roman" w:hAnsi="Times New Roman"/>
          <w:sz w:val="18"/>
          <w:szCs w:val="18"/>
          <w:color w:val="auto"/>
        </w:rPr>
        <w:t>. EXCEPT FOR THE WARRANTIES SET FORTH HEREIN, THE ACQUIRED INTERESTS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BEING SOLD HEREUNDER ON AN “AS IS,” “WHERE IS” BASIS. THE WARRANTIES SET FORTH HEREIN ARE EXCLUSIVE AND ARE IN LIEU OF ALL OTHER WARRANTIES, WHETHER STATUTORY, WRITTEN OR ORAL, EXPRESS OR IMPLIED; SELLER PROVIDES NO OTHER WARRANTIES WITH RESPECT TO THE ACQUIRED INTERESTS, THE COMPANY, THE PROJECT, THE ROSIE ENTITIES, THE ASSETS OF THE COMPANY, OR THE ASSETS OF THE ROSIE ENTITIES, INCLUDING IMPLIED WARRANTIES OF MERCHANTABILITY AND FITNESS FOR A PARTICULAR PURPOSE, AND WARRANTIES ARISING FROM COURSE OF DEALING OR USAGE OF TRADE, ALL OF WHICH ARE EXPRESSLY DISCLAIMED. EXCEPT AS EXPRESSLY SET FORTH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SELLER MAKES NO REPRESENTATION OR WARRANTY TO PURCHASER WITH RESPECT TO ANY FINANCIAL PROJECTIONS, FORECASTS OR FORWARD LOOKING STATEMENTS OF ANY KIND OR NATURE WHATSOEVER RELATING TO THE COMPANY, THE PROJECT, THE ROSIE ENTITIES, THE ASSETS OF THE COMPANY, THE ASSETS OF THE ROSIE ENTITIES OR THE ACQUIRED INTERESTS.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3.02. </w:t>
      </w:r>
      <w:r>
        <w:rPr>
          <w:rFonts w:ascii="Times New Roman" w:cs="Times New Roman" w:eastAsia="Times New Roman" w:hAnsi="Times New Roman"/>
          <w:sz w:val="18"/>
          <w:szCs w:val="18"/>
          <w:b w:val="1"/>
          <w:bCs w:val="1"/>
          <w:i w:val="1"/>
          <w:iCs w:val="1"/>
          <w:color w:val="auto"/>
        </w:rPr>
        <w:t>Representations and Warranties with Respect to Purchaser</w:t>
      </w:r>
      <w:r>
        <w:rPr>
          <w:rFonts w:ascii="Times New Roman" w:cs="Times New Roman" w:eastAsia="Times New Roman" w:hAnsi="Times New Roman"/>
          <w:sz w:val="18"/>
          <w:szCs w:val="18"/>
          <w:color w:val="auto"/>
        </w:rPr>
        <w:t>. Purchaser hereby represents to Seller as of the Closing Date, as follows;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representation and warranty set forth in this</w:t>
      </w:r>
      <w:r>
        <w:rPr>
          <w:rFonts w:ascii="Times New Roman" w:cs="Times New Roman" w:eastAsia="Times New Roman" w:hAnsi="Times New Roman"/>
          <w:sz w:val="18"/>
          <w:szCs w:val="18"/>
          <w:i w:val="1"/>
          <w:iCs w:val="1"/>
          <w:color w:val="auto"/>
        </w:rPr>
        <w:t xml:space="preserve"> Section 3.02 </w:t>
      </w:r>
      <w:r>
        <w:rPr>
          <w:rFonts w:ascii="Times New Roman" w:cs="Times New Roman" w:eastAsia="Times New Roman" w:hAnsi="Times New Roman"/>
          <w:sz w:val="18"/>
          <w:szCs w:val="18"/>
          <w:color w:val="auto"/>
        </w:rPr>
        <w:t>and expressly stated to be made only as of a specified date shall be made solely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such date:</w:t>
      </w:r>
    </w:p>
    <w:p>
      <w:pPr>
        <w:spacing w:after="0" w:line="171" w:lineRule="exact"/>
        <w:rPr>
          <w:sz w:val="20"/>
          <w:szCs w:val="20"/>
          <w:color w:val="auto"/>
        </w:rPr>
      </w:pPr>
    </w:p>
    <w:p>
      <w:pPr>
        <w:jc w:val="both"/>
        <w:ind w:firstLine="1304"/>
        <w:spacing w:after="0" w:line="262" w:lineRule="auto"/>
        <w:tabs>
          <w:tab w:leader="none" w:pos="22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is a limited liability company duly formed,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23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actions or proceedings necessary to authorize the execution and delivery by Purchaser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22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except as would not, individually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2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of this Agreement by Purchaser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result in a breach of, or constitute a default under, Purchaser’s Constitutive Documents, or any material Contract to which Purchaser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assets or properties of Purchaser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22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 and Filings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Permit is required on the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ind w:firstLine="1304"/>
        <w:spacing w:after="0" w:line="262" w:lineRule="auto"/>
        <w:tabs>
          <w:tab w:leader="none" w:pos="23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There are no Actions or Proceedings pending or, to the knowledge of Purchaser, threatened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76" w:lineRule="exact"/>
        <w:rPr>
          <w:rFonts w:ascii="Times New Roman" w:cs="Times New Roman" w:eastAsia="Times New Roman" w:hAnsi="Times New Roman"/>
          <w:sz w:val="18"/>
          <w:szCs w:val="18"/>
          <w:color w:val="auto"/>
        </w:rPr>
      </w:pPr>
    </w:p>
    <w:p>
      <w:pPr>
        <w:jc w:val="both"/>
        <w:ind w:firstLine="1304"/>
        <w:spacing w:after="0" w:line="255" w:lineRule="auto"/>
        <w:tabs>
          <w:tab w:leader="none" w:pos="24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Purchaser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acquiring the Acquired Interests for its own account and not with a view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an “accredited investor” as such term is defined in Rule 501(a) under the Securities Act of 1933,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sufficient knowledge and experience in financial and business matters so as to be able to evaluate the merits and risk of an investment in the Acquired Interests and is able financially to bear the risks thereof, and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84" w:lineRule="exact"/>
        <w:rPr>
          <w:rFonts w:ascii="Times New Roman" w:cs="Times New Roman" w:eastAsia="Times New Roman" w:hAnsi="Times New Roman"/>
          <w:sz w:val="18"/>
          <w:szCs w:val="18"/>
          <w:color w:val="auto"/>
        </w:rPr>
      </w:pPr>
    </w:p>
    <w:p>
      <w:pPr>
        <w:ind w:right="20" w:firstLine="1304"/>
        <w:spacing w:after="0" w:line="286" w:lineRule="auto"/>
        <w:tabs>
          <w:tab w:leader="none" w:pos="22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Person has any claim against Purchaser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finder’s fee, brokerage commission or similar payment directly or indirectly in connection with the transactions contemplated by this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or which have already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no Governmental Approval is required on the part of Purchaser in connection with the execution, delivery and performance of this Agreement or the consummation of the transactions contemplated hereby.</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229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Purchaser is not in material violation of any Law except where any such material violation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 the aggregate reasonably be expected to have a material adverse effect on Purchaser’s ability to satisfy its obligations under this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57" w:lineRule="auto"/>
        <w:tabs>
          <w:tab w:leader="none" w:pos="23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Purchaser, or its Representatives, have had the opportunity to conduct all such due diligence investigations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Acquired Interests, the Company, the Rosie Entities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IN MAKING ITS DECISION TO ACQUIRE THE ACQUIRED INTERESTS AND HAS NOT RELIED ON ANY OTHER STATEMENTS OR ADVICE FROM SELLER OR ITS REPRESENTATIVES.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4.01. </w:t>
      </w:r>
      <w:r>
        <w:rPr>
          <w:rFonts w:ascii="Times New Roman" w:cs="Times New Roman" w:eastAsia="Times New Roman" w:hAnsi="Times New Roman"/>
          <w:sz w:val="18"/>
          <w:szCs w:val="18"/>
          <w:b w:val="1"/>
          <w:bCs w:val="1"/>
          <w:i w:val="1"/>
          <w:iCs w:val="1"/>
          <w:color w:val="auto"/>
        </w:rPr>
        <w:t>Closing Date Conditions Precedent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obligations of the Parties to sell and purchase, respectively, the Acquired Interests are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fulfillment (or waiver by the applicable Party), at or before the Closing, by the applicable Party of each of the following conditions:</w:t>
      </w:r>
    </w:p>
    <w:p>
      <w:pPr>
        <w:spacing w:after="0" w:line="155" w:lineRule="exact"/>
        <w:rPr>
          <w:sz w:val="20"/>
          <w:szCs w:val="20"/>
          <w:color w:val="auto"/>
        </w:rPr>
      </w:pPr>
    </w:p>
    <w:p>
      <w:pPr>
        <w:ind w:left="2260" w:hanging="956"/>
        <w:spacing w:after="0"/>
        <w:tabs>
          <w:tab w:leader="none" w:pos="2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Equity Financing</w:t>
      </w:r>
      <w:r>
        <w:rPr>
          <w:rFonts w:ascii="Times New Roman" w:cs="Times New Roman" w:eastAsia="Times New Roman" w:hAnsi="Times New Roman"/>
          <w:sz w:val="18"/>
          <w:szCs w:val="18"/>
          <w:color w:val="auto"/>
        </w:rPr>
        <w:t>. The Initial Capital Contribution Date under the Tax Equity Agreement shall have occurred.</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3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Approvals/Consents</w:t>
      </w:r>
      <w:r>
        <w:rPr>
          <w:rFonts w:ascii="Times New Roman" w:cs="Times New Roman" w:eastAsia="Times New Roman" w:hAnsi="Times New Roman"/>
          <w:sz w:val="18"/>
          <w:szCs w:val="18"/>
          <w:color w:val="auto"/>
        </w:rPr>
        <w:t>. All consents of Purchaser specified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all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Purchaser specified in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color w:val="auto"/>
        </w:rPr>
        <w:t xml:space="preserve"> of the Disclosure Schedules shall have been obtained by the Purchaser; and all Seller Approvals and Seller Consents shall have been obtained by the Seller and shall in each case be in full force and effect.</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26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No Order shall have been entered which restrains, enjoins or otherwise prohibits or makes illegal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223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Seller Representations and Warranties</w:t>
      </w:r>
      <w:r>
        <w:rPr>
          <w:rFonts w:ascii="Times New Roman" w:cs="Times New Roman" w:eastAsia="Times New Roman" w:hAnsi="Times New Roman"/>
          <w:sz w:val="18"/>
          <w:szCs w:val="18"/>
          <w:color w:val="auto"/>
        </w:rPr>
        <w:t>. The representations and warranties made by Seller in this Agreement shall be true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correct in all material respects (except for any of such representations and warranties that are qualified by materiality, including by reference to Material Adverse Effect,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79" w:lineRule="exact"/>
        <w:rPr>
          <w:rFonts w:ascii="Times New Roman" w:cs="Times New Roman" w:eastAsia="Times New Roman" w:hAnsi="Times New Roman"/>
          <w:sz w:val="18"/>
          <w:szCs w:val="18"/>
          <w:color w:val="auto"/>
        </w:rPr>
      </w:pPr>
    </w:p>
    <w:p>
      <w:pPr>
        <w:ind w:firstLine="1304"/>
        <w:spacing w:after="0" w:line="286" w:lineRule="auto"/>
        <w:tabs>
          <w:tab w:leader="none" w:pos="22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Seller Covenants</w:t>
      </w:r>
      <w:r>
        <w:rPr>
          <w:rFonts w:ascii="Times New Roman" w:cs="Times New Roman" w:eastAsia="Times New Roman" w:hAnsi="Times New Roman"/>
          <w:sz w:val="18"/>
          <w:szCs w:val="18"/>
          <w:color w:val="auto"/>
        </w:rPr>
        <w:t>. The covenants and obligations required by this Agreement to be performed or complied with by Seller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before the Closing Date have been duly performed or complied with in all material respects.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5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There will not exist on the Closing Date any condition or fact that, individually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has or would reasonably be expected to result in a Material Adverse Effect.</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24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Representations and Warranties</w:t>
      </w:r>
      <w:r>
        <w:rPr>
          <w:rFonts w:ascii="Times New Roman" w:cs="Times New Roman" w:eastAsia="Times New Roman" w:hAnsi="Times New Roman"/>
          <w:sz w:val="18"/>
          <w:szCs w:val="18"/>
          <w:color w:val="auto"/>
        </w:rPr>
        <w:t>. The representations and warranties made by Purchaser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true and correct in all material respects (except for any of such representations and warranties that are qualified by materiality,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ind w:firstLine="1304"/>
        <w:spacing w:after="0" w:line="286" w:lineRule="auto"/>
        <w:tabs>
          <w:tab w:leader="none" w:pos="240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Covenants</w:t>
      </w:r>
      <w:r>
        <w:rPr>
          <w:rFonts w:ascii="Times New Roman" w:cs="Times New Roman" w:eastAsia="Times New Roman" w:hAnsi="Times New Roman"/>
          <w:sz w:val="18"/>
          <w:szCs w:val="18"/>
          <w:color w:val="auto"/>
        </w:rPr>
        <w:t>. The covenants and obligations required by this Agreement to be performed or complied with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at or before the Closing Date have been duly performed or complied with in all material respects.</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37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Certificate</w:t>
      </w:r>
      <w:r>
        <w:rPr>
          <w:rFonts w:ascii="Times New Roman" w:cs="Times New Roman" w:eastAsia="Times New Roman" w:hAnsi="Times New Roman"/>
          <w:sz w:val="18"/>
          <w:szCs w:val="18"/>
          <w:color w:val="auto"/>
        </w:rPr>
        <w:t>. The Seller shall have delivered to the Purchaser a certificate in form and substance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to the Purchaser, certifying that the transactions contemplated by this Agreement are exempt from withholding under Code Sections 1445 and 1446(f).</w:t>
      </w:r>
    </w:p>
    <w:p>
      <w:pPr>
        <w:spacing w:after="0" w:line="170" w:lineRule="exact"/>
        <w:rPr>
          <w:rFonts w:ascii="Times New Roman" w:cs="Times New Roman" w:eastAsia="Times New Roman" w:hAnsi="Times New Roman"/>
          <w:sz w:val="18"/>
          <w:szCs w:val="18"/>
          <w:color w:val="auto"/>
        </w:rPr>
      </w:pPr>
    </w:p>
    <w:p>
      <w:pPr>
        <w:ind w:right="20" w:firstLine="1304"/>
        <w:spacing w:after="0" w:line="286" w:lineRule="auto"/>
        <w:tabs>
          <w:tab w:leader="none" w:pos="237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Rosie A&amp;R LLCA</w:t>
      </w:r>
      <w:r>
        <w:rPr>
          <w:rFonts w:ascii="Times New Roman" w:cs="Times New Roman" w:eastAsia="Times New Roman" w:hAnsi="Times New Roman"/>
          <w:sz w:val="18"/>
          <w:szCs w:val="18"/>
          <w:color w:val="auto"/>
        </w:rPr>
        <w:t>. Each of HASI, Purchaser and the Class C Member shall have delivered executed counterparts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Rosie A&amp;R LLCA in escrow to be released concurrently with the Closing.</w:t>
      </w:r>
    </w:p>
    <w:p>
      <w:pPr>
        <w:spacing w:after="0" w:line="154"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Certificates; Other Ancillary Documents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5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have delivered to Purchaser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a certificate, dated as of the Closing Date and executed by an authorized officer of Seller, substantially in the form and to the effect of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 certificate, dated as of the Closing Date and executed by the Secretary of Seller, substantially in the form and to the effect of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delivered to Seller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a certificate, dated as of the Closing Date and executed by an authorized officer of Purchaser, substantially in the form and to the effect of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 certificate, dated as of the Closing Date and executed by the Secretary of Purchaser substantially in the form and to the effect of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60" w:type="dxa"/>
            <w:vAlign w:val="bottom"/>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rPr>
              <w:t>ARTICLE 5</w:t>
            </w:r>
          </w:p>
        </w:tc>
      </w:tr>
      <w:tr>
        <w:trPr>
          <w:trHeight w:val="238"/>
        </w:trPr>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60" w:type="dxa"/>
            <w:vAlign w:val="bottom"/>
          </w:tcPr>
          <w:p>
            <w:pPr>
              <w:jc w:val="center"/>
              <w:ind w:right="2230"/>
              <w:spacing w:after="0"/>
              <w:rPr>
                <w:sz w:val="20"/>
                <w:szCs w:val="20"/>
                <w:color w:val="auto"/>
              </w:rPr>
            </w:pPr>
            <w:r>
              <w:rPr>
                <w:rFonts w:ascii="Times New Roman" w:cs="Times New Roman" w:eastAsia="Times New Roman" w:hAnsi="Times New Roman"/>
                <w:sz w:val="18"/>
                <w:szCs w:val="18"/>
                <w:b w:val="1"/>
                <w:bCs w:val="1"/>
                <w:color w:val="auto"/>
                <w:w w:val="98"/>
              </w:rPr>
              <w:t>CERTAIN COVENANTS</w:t>
            </w:r>
          </w:p>
        </w:tc>
      </w:tr>
      <w:tr>
        <w:trPr>
          <w:trHeight w:val="432"/>
        </w:trPr>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4"/>
              </w:rPr>
              <w:t>5.01.</w:t>
            </w: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Purchaser’s Substitute Support Obligations</w:t>
            </w:r>
            <w:r>
              <w:rPr>
                <w:rFonts w:ascii="Times New Roman" w:cs="Times New Roman" w:eastAsia="Times New Roman" w:hAnsi="Times New Roman"/>
                <w:sz w:val="18"/>
                <w:szCs w:val="18"/>
                <w:color w:val="auto"/>
              </w:rPr>
              <w:t>.</w:t>
            </w:r>
          </w:p>
        </w:tc>
      </w:tr>
      <w:tr>
        <w:trPr>
          <w:trHeight w:val="432"/>
        </w:trPr>
        <w:tc>
          <w:tcPr>
            <w:tcW w:w="500" w:type="dxa"/>
            <w:vAlign w:val="bottom"/>
          </w:tcPr>
          <w:p>
            <w:pPr>
              <w:spacing w:after="0"/>
              <w:rPr>
                <w:sz w:val="24"/>
                <w:szCs w:val="24"/>
                <w:color w:val="auto"/>
              </w:rPr>
            </w:pP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8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Purchaser acknowledges that Seller and certain Affiliates have provided certain credit support pursuant to the</w:t>
            </w:r>
          </w:p>
        </w:tc>
      </w:tr>
    </w:tbl>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support obligations and related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From the Closing Date and continuing until the replacement and/or release of each Support Obligation, Purchaser shall use commercially reasonable efforts to negotiate a replacement of each Support Obligations (each, a “</w:t>
      </w:r>
      <w:r>
        <w:rPr>
          <w:rFonts w:ascii="Times New Roman" w:cs="Times New Roman" w:eastAsia="Times New Roman" w:hAnsi="Times New Roman"/>
          <w:sz w:val="18"/>
          <w:szCs w:val="18"/>
          <w:i w:val="1"/>
          <w:iCs w:val="1"/>
          <w:color w:val="auto"/>
        </w:rPr>
        <w:t>Substitute Support Obligation</w:t>
      </w:r>
      <w:r>
        <w:rPr>
          <w:rFonts w:ascii="Times New Roman" w:cs="Times New Roman" w:eastAsia="Times New Roman" w:hAnsi="Times New Roman"/>
          <w:sz w:val="18"/>
          <w:szCs w:val="18"/>
          <w:color w:val="auto"/>
        </w:rPr>
        <w:t>”) with the beneficiary thereof and/or to effect the complete and unconditional release of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Closing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ind w:firstLine="1304"/>
        <w:spacing w:after="0" w:line="256" w:lineRule="auto"/>
        <w:tabs>
          <w:tab w:leader="none" w:pos="25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Closing Date and continuing until the earlier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effective date of the applicable Substitute Support Obligation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date such Support Obligation is no longer required to be maintained under the applicable Company Contract, Seller shall, and shall cause its Affiliates to,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maintain each Support Obligation in full force and effect in accordance with the requirements under the applicable Company Contract,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perform all of its obligations under each Support Obligation and (</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 xml:space="preserve">) not amend, modify, grant a waiver in respect of, cancel or consent to the termination of such Support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solely to the extent that a Support Obligation cannot be released, terminated or replaced by Purchaser at or prior to the Closing (a “</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i w:val="1"/>
          <w:iCs w:val="1"/>
          <w:color w:val="auto"/>
        </w:rPr>
        <w:t>Section 5.01(c)</w:t>
      </w:r>
      <w:r>
        <w:rPr>
          <w:rFonts w:ascii="Times New Roman" w:cs="Times New Roman" w:eastAsia="Times New Roman" w:hAnsi="Times New Roman"/>
          <w:sz w:val="18"/>
          <w:szCs w:val="18"/>
          <w:color w:val="auto"/>
        </w:rPr>
        <w:t xml:space="preserve"> below, Seller shall, and shall cause its Affiliates to, perform its obligations with respect to such Retained Support Obligation.</w:t>
      </w:r>
    </w:p>
    <w:p>
      <w:pPr>
        <w:spacing w:after="0" w:line="182"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there is a Retained Support Obligation, Purchaser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the Company or the Rosie Entities conducted, existing or arising after the Closing (including as a result of any draw or demand for or making of any payment by Seller or any such Affiliate of Seller under any Support Obligation),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diligently continue to seek the release, termination and replacement of such Support Obligation,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reimburse Seller or its Affiliates (as applicable) for the actual out-of-pocket costs of, and fees paid by, Seller or its Affiliates in maintaining such Retained Support Obligation accruing at any time after the Closing and until such time as such Retained Support Obligation is replaced;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indemnification obligations under clause (i) shall not affect Seller’s indemnification obligations under </w:t>
      </w:r>
      <w:r>
        <w:rPr>
          <w:rFonts w:ascii="Times New Roman" w:cs="Times New Roman" w:eastAsia="Times New Roman" w:hAnsi="Times New Roman"/>
          <w:sz w:val="18"/>
          <w:szCs w:val="18"/>
          <w:i w:val="1"/>
          <w:iCs w:val="1"/>
          <w:color w:val="auto"/>
        </w:rPr>
        <w:t xml:space="preserve">Section 5.01(d)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Section 6.01</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replacement of a Support Obligation by Purchaser for the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the Company or the Rosie Entities conducted, existing or arising at or prior to the Closing (including as a result of any draw or demand for or making of any payment by Purchaser or any such Affiliate of Purchaser under any Substitute Support Obligation).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8" w:name="page39"/>
    <w:bookmarkEnd w:id="38"/>
    <w:p>
      <w:pPr>
        <w:spacing w:after="0" w:line="71"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5.02.</w:t>
      </w:r>
      <w:r>
        <w:rPr>
          <w:sz w:val="20"/>
          <w:szCs w:val="20"/>
          <w:color w:val="auto"/>
        </w:rPr>
        <w:tab/>
      </w:r>
      <w:r>
        <w:rPr>
          <w:rFonts w:ascii="Times New Roman" w:cs="Times New Roman" w:eastAsia="Times New Roman" w:hAnsi="Times New Roman"/>
          <w:sz w:val="17"/>
          <w:szCs w:val="17"/>
          <w:b w:val="1"/>
          <w:bCs w:val="1"/>
          <w:i w:val="1"/>
          <w:iCs w:val="1"/>
          <w:color w:val="auto"/>
        </w:rPr>
        <w:t>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2" w:lineRule="auto"/>
        <w:tabs>
          <w:tab w:leader="none" w:pos="22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Taxes, personal property Taxes and similar obligations of the Company and Rosie Entities imposed by any Governmental Authority that are due or become due for Tax periods within which the Closing Date occurs shall be apportioned between Seller for the pre-Closing Date period (which shall include the Closing Date), on the one hand, and the Company (or the applicable Rosie Entity) for the post-Closing Date period, on the other hand, as of the Closing Date, based upon the actual number of days of the Tax period that have elapsed before and after the Closing Date, and all income Taxes imposed on the Company and the Rosie Entities shall be allocated between the pre-Closing Date period and the post-Closing Date period as though a taxable year of the Company and the Rosie Entities (as applicable) has ended on (and includes) the Closing Date (collectively, the “</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Seller shall be responsible for the portion of such Apportioned Obligations attributable to the period ending on (and including) the Closing Date. The Company (or the applicable Rosie Entity)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Company (or the applicable Rosie Entity) pursuant to the preceding sentence shall be paid by the Company (or the applicable Rosie Entity). If any refund, rebate or similar payment is received by the Company or the Rosie Entities for any real property Taxes, personal property Taxes or similar obligations referred to above that are Apportioned Obligations, such refund shall be apportioned between Seller and the Company (or the applicable Rosie Entity) as aforesaid on the basis of the obligations of the Company and the Rosie Entities during the applicable Tax period. Any refund, rebate or similar payment received by the Company or a Rosie Entity for any income Tax attributable to the pre-Closing Date period, as determined above, shall be for the benefit of Seller; and any such refund, rebate or similar payment attributable to the post-Closing Date period, as determined above, shall be for the benefit of the Company (or the applicable Rosie Entity).</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241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Taxes with respect to which the taxable period of the Company or the Rosie Entities (as applicable) ends on or before the Closing Date, Seller shall, at its sole cost and expense, timely prepare and file with the appropriate authorities all Tax Returns required to be filed by the Company and the Rosie Entities (as applicable), and pay or cause to be paid all Taxes shown to be due thereon. After the Closing Date, the Company shall, at its sole cost and expense, timely prepare and file, or cause to be timely prepared and filed, with the appropriate authorities all other Tax Returns required to be filed by the Company and the Rosie Entities, as applicable, and pay all Taxes shown to be due thereon.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and Purchaser shall reasonably cooperate, and shall cause their respective Affiliates, employees and agents reasonably to cooperate, in preparing and filing all Tax Returns of the Company and applicable Rosie Entities, including maintaining and making available to each other all records that are necessary for the preparation of any Tax Returns that the Party is required to file under this </w:t>
      </w:r>
      <w:r>
        <w:rPr>
          <w:rFonts w:ascii="Times New Roman" w:cs="Times New Roman" w:eastAsia="Times New Roman" w:hAnsi="Times New Roman"/>
          <w:sz w:val="18"/>
          <w:szCs w:val="18"/>
          <w:i w:val="1"/>
          <w:iCs w:val="1"/>
          <w:color w:val="auto"/>
        </w:rPr>
        <w:t>Section 5.02</w:t>
      </w:r>
      <w:r>
        <w:rPr>
          <w:rFonts w:ascii="Times New Roman" w:cs="Times New Roman" w:eastAsia="Times New Roman" w:hAnsi="Times New Roman"/>
          <w:sz w:val="18"/>
          <w:szCs w:val="18"/>
          <w:color w:val="auto"/>
        </w:rPr>
        <w:t>, and in resolving all Actions or Proceedings, and audits or examinations with respect to such Tax Returns.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5.03. </w:t>
      </w:r>
      <w:r>
        <w:rPr>
          <w:rFonts w:ascii="Times New Roman" w:cs="Times New Roman" w:eastAsia="Times New Roman" w:hAnsi="Times New Roman"/>
          <w:sz w:val="18"/>
          <w:szCs w:val="18"/>
          <w:b w:val="1"/>
          <w:bCs w:val="1"/>
          <w:i w:val="1"/>
          <w:iCs w:val="1"/>
          <w:color w:val="auto"/>
        </w:rPr>
        <w:t>Seller Parent Guaranty</w:t>
      </w:r>
      <w:r>
        <w:rPr>
          <w:rFonts w:ascii="Times New Roman" w:cs="Times New Roman" w:eastAsia="Times New Roman" w:hAnsi="Times New Roman"/>
          <w:sz w:val="18"/>
          <w:szCs w:val="18"/>
          <w:color w:val="auto"/>
        </w:rPr>
        <w:t>. Seller shall, concurrently with the execution and delivery of this Agreement, cause to be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Purchaser the Seller Parent Guaranty.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5.04. </w:t>
      </w:r>
      <w:r>
        <w:rPr>
          <w:rFonts w:ascii="Times New Roman" w:cs="Times New Roman" w:eastAsia="Times New Roman" w:hAnsi="Times New Roman"/>
          <w:sz w:val="18"/>
          <w:szCs w:val="18"/>
          <w:b w:val="1"/>
          <w:bCs w:val="1"/>
          <w:i w:val="1"/>
          <w:iCs w:val="1"/>
          <w:color w:val="auto"/>
        </w:rPr>
        <w:t>Purchaser Parent Guaranty</w:t>
      </w:r>
      <w:r>
        <w:rPr>
          <w:rFonts w:ascii="Times New Roman" w:cs="Times New Roman" w:eastAsia="Times New Roman" w:hAnsi="Times New Roman"/>
          <w:sz w:val="18"/>
          <w:szCs w:val="18"/>
          <w:color w:val="auto"/>
        </w:rPr>
        <w:t>. Purchaser shall, concurrently with the execution and delivery of this Agreement, cause to be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Seller the Purchaser Parent Guaranty.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6.01. </w:t>
      </w:r>
      <w:r>
        <w:rPr>
          <w:rFonts w:ascii="Times New Roman" w:cs="Times New Roman" w:eastAsia="Times New Roman" w:hAnsi="Times New Roman"/>
          <w:sz w:val="18"/>
          <w:szCs w:val="18"/>
          <w:b w:val="1"/>
          <w:bCs w:val="1"/>
          <w:i w:val="1"/>
          <w:iCs w:val="1"/>
          <w:color w:val="auto"/>
        </w:rPr>
        <w:t>Indemnification by Seller</w:t>
      </w:r>
      <w:r>
        <w:rPr>
          <w:rFonts w:ascii="Times New Roman" w:cs="Times New Roman" w:eastAsia="Times New Roman" w:hAnsi="Times New Roman"/>
          <w:sz w:val="18"/>
          <w:szCs w:val="18"/>
          <w:color w:val="auto"/>
        </w:rPr>
        <w:t>. Seller hereby indemnifies and holds harmless the Purchaser Indemnified Parties in respect of, and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them harmless from and against, any and all Losses suffered, incurred or sustained by any of them or to which any of them become subject, resulting from, arising out of or related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breach of any representation, warranty, covenant, agreement or obligation made by Seller in this Agreement or any certificate delivered by Seller pursuant to this Agreement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indemnity shall not apply to Losses to the extent caused by the gross negligence or willful misconduct of Purchaser Indemnified Parties or their agents, officers, employees or contractors.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6.02. </w:t>
      </w:r>
      <w:r>
        <w:rPr>
          <w:rFonts w:ascii="Times New Roman" w:cs="Times New Roman" w:eastAsia="Times New Roman" w:hAnsi="Times New Roman"/>
          <w:sz w:val="18"/>
          <w:szCs w:val="18"/>
          <w:b w:val="1"/>
          <w:bCs w:val="1"/>
          <w:i w:val="1"/>
          <w:iCs w:val="1"/>
          <w:color w:val="auto"/>
        </w:rPr>
        <w:t>Indemnification by Purchaser</w:t>
      </w:r>
      <w:r>
        <w:rPr>
          <w:rFonts w:ascii="Times New Roman" w:cs="Times New Roman" w:eastAsia="Times New Roman" w:hAnsi="Times New Roman"/>
          <w:sz w:val="18"/>
          <w:szCs w:val="18"/>
          <w:color w:val="auto"/>
        </w:rPr>
        <w:t>. Purchaser hereby indemnifies and holds harmless the Seller Indemnified Parties in respect of, and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w:t>
      </w:r>
      <w:r>
        <w:rPr>
          <w:rFonts w:ascii="Times New Roman" w:cs="Times New Roman" w:eastAsia="Times New Roman" w:hAnsi="Times New Roman"/>
          <w:sz w:val="18"/>
          <w:szCs w:val="18"/>
          <w:color w:val="auto"/>
        </w:rPr>
        <w:t>r, that the foregoing indemnity shall not apply to Losses to the extent caused by the gross negligence or willful misconduct of Seller Indemnified Parties or their agents, officers, employees or contractors.</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6.03. </w:t>
      </w:r>
      <w:r>
        <w:rPr>
          <w:rFonts w:ascii="Times New Roman" w:cs="Times New Roman" w:eastAsia="Times New Roman" w:hAnsi="Times New Roman"/>
          <w:sz w:val="18"/>
          <w:szCs w:val="18"/>
          <w:b w:val="1"/>
          <w:bCs w:val="1"/>
          <w:i w:val="1"/>
          <w:iCs w:val="1"/>
          <w:color w:val="auto"/>
        </w:rPr>
        <w:t>Survival of Representations, Warranties, Covenants and Agreements</w:t>
      </w:r>
      <w:r>
        <w:rPr>
          <w:rFonts w:ascii="Times New Roman" w:cs="Times New Roman" w:eastAsia="Times New Roman" w:hAnsi="Times New Roman"/>
          <w:sz w:val="18"/>
          <w:szCs w:val="18"/>
          <w:color w:val="auto"/>
        </w:rPr>
        <w:t>. The representations, warranties, covenants,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of Seller and Purchaser contained in this Agreement are material, were relied on by such Parties, and will survive the Closing Date as provided in this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 xml:space="preserve">. Subject to the limitations and other provisions of this Agreement, the representations and warranties contained herein shall survive the Closing for twelve (12) months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i w:val="1"/>
          <w:iCs w:val="1"/>
          <w:color w:val="auto"/>
        </w:rPr>
        <w:t>Section 3.01(a)</w:t>
      </w:r>
      <w:r>
        <w:rPr>
          <w:rFonts w:ascii="Times New Roman" w:cs="Times New Roman" w:eastAsia="Times New Roman" w:hAnsi="Times New Roman"/>
          <w:sz w:val="18"/>
          <w:szCs w:val="18"/>
          <w:color w:val="auto"/>
        </w:rPr>
        <w:t xml:space="preserve"> (Existence), </w:t>
      </w:r>
      <w:r>
        <w:rPr>
          <w:rFonts w:ascii="Times New Roman" w:cs="Times New Roman" w:eastAsia="Times New Roman" w:hAnsi="Times New Roman"/>
          <w:sz w:val="18"/>
          <w:szCs w:val="18"/>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3.01(b) </w:t>
      </w:r>
      <w:r>
        <w:rPr>
          <w:rFonts w:ascii="Times New Roman" w:cs="Times New Roman" w:eastAsia="Times New Roman" w:hAnsi="Times New Roman"/>
          <w:sz w:val="18"/>
          <w:szCs w:val="18"/>
          <w:color w:val="auto"/>
        </w:rPr>
        <w:t>(Authority),</w:t>
      </w:r>
      <w:r>
        <w:rPr>
          <w:rFonts w:ascii="Times New Roman" w:cs="Times New Roman" w:eastAsia="Times New Roman" w:hAnsi="Times New Roman"/>
          <w:sz w:val="18"/>
          <w:szCs w:val="18"/>
          <w:i w:val="1"/>
          <w:iCs w:val="1"/>
          <w:color w:val="auto"/>
        </w:rPr>
        <w:t xml:space="preserve"> Section 3.01(g) </w:t>
      </w:r>
      <w:r>
        <w:rPr>
          <w:rFonts w:ascii="Times New Roman" w:cs="Times New Roman" w:eastAsia="Times New Roman" w:hAnsi="Times New Roman"/>
          <w:sz w:val="18"/>
          <w:szCs w:val="18"/>
          <w:color w:val="auto"/>
        </w:rPr>
        <w:t>(Brokers),</w:t>
      </w:r>
      <w:r>
        <w:rPr>
          <w:rFonts w:ascii="Times New Roman" w:cs="Times New Roman" w:eastAsia="Times New Roman" w:hAnsi="Times New Roman"/>
          <w:sz w:val="18"/>
          <w:szCs w:val="18"/>
          <w:i w:val="1"/>
          <w:iCs w:val="1"/>
          <w:color w:val="auto"/>
        </w:rPr>
        <w:t xml:space="preserve"> Sections 3.01(i)(i)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(ii), (vi) and (x) </w:t>
      </w:r>
      <w:r>
        <w:rPr>
          <w:rFonts w:ascii="Times New Roman" w:cs="Times New Roman" w:eastAsia="Times New Roman" w:hAnsi="Times New Roman"/>
          <w:sz w:val="18"/>
          <w:szCs w:val="18"/>
          <w:color w:val="auto"/>
        </w:rPr>
        <w:t>(Company and Rosie Entities),</w:t>
      </w:r>
      <w:r>
        <w:rPr>
          <w:rFonts w:ascii="Times New Roman" w:cs="Times New Roman" w:eastAsia="Times New Roman" w:hAnsi="Times New Roman"/>
          <w:sz w:val="18"/>
          <w:szCs w:val="18"/>
          <w:i w:val="1"/>
          <w:iCs w:val="1"/>
          <w:color w:val="auto"/>
        </w:rPr>
        <w:t xml:space="preserve"> Section 3.02(a) </w:t>
      </w:r>
      <w:r>
        <w:rPr>
          <w:rFonts w:ascii="Times New Roman" w:cs="Times New Roman" w:eastAsia="Times New Roman" w:hAnsi="Times New Roman"/>
          <w:sz w:val="18"/>
          <w:szCs w:val="18"/>
          <w:color w:val="auto"/>
        </w:rPr>
        <w:t>(Existence),</w:t>
      </w:r>
      <w:r>
        <w:rPr>
          <w:rFonts w:ascii="Times New Roman" w:cs="Times New Roman" w:eastAsia="Times New Roman" w:hAnsi="Times New Roman"/>
          <w:sz w:val="18"/>
          <w:szCs w:val="18"/>
          <w:i w:val="1"/>
          <w:iCs w:val="1"/>
          <w:color w:val="auto"/>
        </w:rPr>
        <w:t xml:space="preserve"> Section</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3.02(b) </w:t>
      </w:r>
      <w:r>
        <w:rPr>
          <w:rFonts w:ascii="Times New Roman" w:cs="Times New Roman" w:eastAsia="Times New Roman" w:hAnsi="Times New Roman"/>
          <w:sz w:val="18"/>
          <w:szCs w:val="18"/>
          <w:color w:val="auto"/>
        </w:rPr>
        <w:t>(Authority) and</w:t>
      </w:r>
      <w:r>
        <w:rPr>
          <w:rFonts w:ascii="Times New Roman" w:cs="Times New Roman" w:eastAsia="Times New Roman" w:hAnsi="Times New Roman"/>
          <w:sz w:val="18"/>
          <w:szCs w:val="18"/>
          <w:i w:val="1"/>
          <w:iCs w:val="1"/>
          <w:color w:val="auto"/>
        </w:rPr>
        <w:t xml:space="preserve"> Section 3.02(h) </w:t>
      </w:r>
      <w:r>
        <w:rPr>
          <w:rFonts w:ascii="Times New Roman" w:cs="Times New Roman" w:eastAsia="Times New Roman" w:hAnsi="Times New Roman"/>
          <w:sz w:val="18"/>
          <w:szCs w:val="18"/>
          <w:color w:val="auto"/>
        </w:rPr>
        <w:t>(Brokers) (the “</w:t>
      </w:r>
      <w:r>
        <w:rPr>
          <w:rFonts w:ascii="Times New Roman" w:cs="Times New Roman" w:eastAsia="Times New Roman" w:hAnsi="Times New Roman"/>
          <w:sz w:val="18"/>
          <w:szCs w:val="18"/>
          <w:i w:val="1"/>
          <w:iCs w:val="1"/>
          <w:color w:val="auto"/>
        </w:rPr>
        <w:t>Seller Fundamental Representations</w:t>
      </w:r>
      <w:r>
        <w:rPr>
          <w:rFonts w:ascii="Times New Roman" w:cs="Times New Roman" w:eastAsia="Times New Roman" w:hAnsi="Times New Roman"/>
          <w:sz w:val="18"/>
          <w:szCs w:val="18"/>
          <w:color w:val="auto"/>
        </w:rPr>
        <w:t>”) shall survive the Closing for five (5) years after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representations and warranties in </w:t>
      </w:r>
      <w:r>
        <w:rPr>
          <w:rFonts w:ascii="Times New Roman" w:cs="Times New Roman" w:eastAsia="Times New Roman" w:hAnsi="Times New Roman"/>
          <w:sz w:val="18"/>
          <w:szCs w:val="18"/>
          <w:i w:val="1"/>
          <w:iCs w:val="1"/>
          <w:color w:val="auto"/>
        </w:rPr>
        <w:t>Section 3.01(k)</w:t>
      </w:r>
      <w:r>
        <w:rPr>
          <w:rFonts w:ascii="Times New Roman" w:cs="Times New Roman" w:eastAsia="Times New Roman" w:hAnsi="Times New Roman"/>
          <w:sz w:val="18"/>
          <w:szCs w:val="18"/>
          <w:color w:val="auto"/>
        </w:rPr>
        <w:t xml:space="preserve"> (Taxes) shall survive the Closing until thirty (30) days after the expiration of the applicable Tax statute of limitations. The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 w:cs="Times New Roman" w:eastAsia="Times New Roman" w:hAnsi="Times New Roman"/>
          <w:sz w:val="18"/>
          <w:szCs w:val="18"/>
          <w:i w:val="1"/>
          <w:iCs w:val="1"/>
          <w:color w:val="auto"/>
        </w:rPr>
        <w:t xml:space="preserve">Section 6.01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Section 6.02</w:t>
      </w:r>
      <w:r>
        <w:rPr>
          <w:rFonts w:ascii="Times New Roman" w:cs="Times New Roman" w:eastAsia="Times New Roman" w:hAnsi="Times New Roman"/>
          <w:sz w:val="18"/>
          <w:szCs w:val="18"/>
          <w:color w:val="auto"/>
        </w:rPr>
        <w:t>, a written notice of claim prior to the applicable survival expiration date;</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if written notice for a claim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indemnification has been provided by the Indemnified Party pursuant to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 xml:space="preserve"> on or prior to the applicable survival expiration date, then the obligation of the Indemnifying Party to indemnify the Indemnified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shall survive with respect to such claim until such claim is finally resolved.</w:t>
      </w:r>
    </w:p>
    <w:p>
      <w:pPr>
        <w:spacing w:after="0" w:line="19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6.04.</w:t>
      </w:r>
      <w:r>
        <w:rPr>
          <w:sz w:val="20"/>
          <w:szCs w:val="20"/>
          <w:color w:val="auto"/>
        </w:rPr>
        <w:tab/>
      </w:r>
      <w:r>
        <w:rPr>
          <w:rFonts w:ascii="Times New Roman" w:cs="Times New Roman" w:eastAsia="Times New Roman" w:hAnsi="Times New Roman"/>
          <w:sz w:val="18"/>
          <w:szCs w:val="18"/>
          <w:b w:val="1"/>
          <w:bCs w:val="1"/>
          <w:i w:val="1"/>
          <w:iCs w:val="1"/>
          <w:color w:val="auto"/>
        </w:rPr>
        <w:t>Limitations on Claims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1" w:lineRule="auto"/>
        <w:tabs>
          <w:tab w:leader="none" w:pos="20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equal or exceed [***] of the Purchase Price (the “</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in which event the Indemnifying Party shall be liable for Losses only to the extent they are in excess of the Deductible;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Deductible shall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Fraudulent Action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w:t>
      </w:r>
    </w:p>
    <w:p>
      <w:pPr>
        <w:sectPr>
          <w:pgSz w:w="11900" w:h="16909" w:orient="portrait"/>
          <w:cols w:equalWidth="0" w:num="1">
            <w:col w:w="11240"/>
          </w:cols>
          <w:pgMar w:left="320" w:top="684" w:right="339" w:bottom="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40" w:name="page41"/>
    <w:bookmarkEnd w:id="40"/>
    <w:p>
      <w:pPr>
        <w:jc w:val="both"/>
        <w:ind w:firstLine="1304"/>
        <w:spacing w:after="0" w:line="255" w:lineRule="auto"/>
        <w:tabs>
          <w:tab w:leader="none" w:pos="19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liability of the Seller Indemnifying Parties and the Purchaser Indemnifying Parties under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resulting from any claims under any breaches of representations or warranties herein and in any certificates delivered pursuant hereto, shall be limited to an amount equal to [***] of the Purchase Price (the “</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Cap shall not apply to Losses resulting from, arising out of or relating to (i) any Fraudulent Action or (ii) a breach of the Seller Fundamental Representations;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aggregate liability of the Seller Indemnifying Parties resulting from the Seller Fundamental Representations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other Losses resulting from any claims under breaches of representations or warranties herein and in any certificates delivered pursuant hereto shall be limited to an amount equal to the Purchase Price. For the avoidance of doubt, the foregoing limitation will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breach of any covenant, agreement or obligation made herein or any certificate delivered pursuant hereto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payment shall not exceed the amount of the indemnity payment.</w:t>
      </w:r>
    </w:p>
    <w:p>
      <w:pPr>
        <w:spacing w:after="0" w:line="18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6.05.</w:t>
      </w:r>
      <w:r>
        <w:rPr>
          <w:sz w:val="20"/>
          <w:szCs w:val="20"/>
          <w:color w:val="auto"/>
        </w:rPr>
        <w:tab/>
      </w:r>
      <w:r>
        <w:rPr>
          <w:rFonts w:ascii="Times New Roman" w:cs="Times New Roman" w:eastAsia="Times New Roman" w:hAnsi="Times New Roman"/>
          <w:sz w:val="18"/>
          <w:szCs w:val="18"/>
          <w:b w:val="1"/>
          <w:bCs w:val="1"/>
          <w:i w:val="1"/>
          <w:iCs w:val="1"/>
          <w:color w:val="auto"/>
        </w:rPr>
        <w:t>Procedure for Indemnification of Third Party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7" w:lineRule="auto"/>
        <w:tabs>
          <w:tab w:leader="none" w:pos="199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Whenever any claim by a third party shall arise for indemnification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Indemnified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If the Indemnified Party has assumed the defense of any claim by a third party which may give rise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indemnity hereunder pursuant to </w:t>
      </w:r>
      <w:r>
        <w:rPr>
          <w:rFonts w:ascii="Times New Roman" w:cs="Times New Roman" w:eastAsia="Times New Roman" w:hAnsi="Times New Roman"/>
          <w:sz w:val="18"/>
          <w:szCs w:val="18"/>
          <w:i w:val="1"/>
          <w:iCs w:val="1"/>
          <w:color w:val="auto"/>
        </w:rPr>
        <w:t>Section 6.06(c)</w:t>
      </w:r>
      <w:r>
        <w:rPr>
          <w:rFonts w:ascii="Times New Roman" w:cs="Times New Roman" w:eastAsia="Times New Roman" w:hAnsi="Times New Roman"/>
          <w:sz w:val="18"/>
          <w:szCs w:val="18"/>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1" w:name="page42"/>
    <w:bookmarkEnd w:id="41"/>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6.06.</w:t>
      </w:r>
      <w:r>
        <w:rPr>
          <w:sz w:val="20"/>
          <w:szCs w:val="20"/>
          <w:color w:val="auto"/>
        </w:rPr>
        <w:tab/>
      </w:r>
      <w:r>
        <w:rPr>
          <w:rFonts w:ascii="Times New Roman" w:cs="Times New Roman" w:eastAsia="Times New Roman" w:hAnsi="Times New Roman"/>
          <w:sz w:val="17"/>
          <w:szCs w:val="17"/>
          <w:b w:val="1"/>
          <w:bCs w:val="1"/>
          <w:i w:val="1"/>
          <w:iCs w:val="1"/>
          <w:color w:val="auto"/>
        </w:rPr>
        <w:t>Rights of the Indemnifying Party in the Defense of Third Party Claims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2" w:lineRule="auto"/>
        <w:tabs>
          <w:tab w:leader="none" w:pos="19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to Assume the Defense</w:t>
      </w:r>
      <w:r>
        <w:rPr>
          <w:rFonts w:ascii="Times New Roman" w:cs="Times New Roman" w:eastAsia="Times New Roman" w:hAnsi="Times New Roman"/>
          <w:sz w:val="18"/>
          <w:szCs w:val="18"/>
          <w:color w:val="auto"/>
        </w:rPr>
        <w:t>. In connection with any claim by a third party which may give rise to indemnity hereunder,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7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 If the Indemnifying Party assumes the defense of any such claim, the Indemnifying Party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select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acceptable to the Indemnified Party to conduct the defense of such claim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82" w:lineRule="exact"/>
        <w:rPr>
          <w:rFonts w:ascii="Times New Roman" w:cs="Times New Roman" w:eastAsia="Times New Roman" w:hAnsi="Times New Roman"/>
          <w:sz w:val="18"/>
          <w:szCs w:val="18"/>
          <w:color w:val="auto"/>
        </w:rPr>
      </w:pPr>
    </w:p>
    <w:p>
      <w:pPr>
        <w:ind w:firstLine="1304"/>
        <w:spacing w:after="0" w:line="286" w:lineRule="auto"/>
        <w:tabs>
          <w:tab w:leader="none" w:pos="1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The Indemnifying Party shall not consent to a settlement of or the entry of any judgment arising from,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claim or legal proceeding, without the prior written consent of the Indemnified Party (which consent shall not be unreasonably withheld or delayed).</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Decline to Assume the Defense</w:t>
      </w:r>
      <w:r>
        <w:rPr>
          <w:rFonts w:ascii="Times New Roman" w:cs="Times New Roman" w:eastAsia="Times New Roman" w:hAnsi="Times New Roman"/>
          <w:sz w:val="18"/>
          <w:szCs w:val="18"/>
          <w:color w:val="auto"/>
        </w:rPr>
        <w:t>. The Indemnified Party may defend against any such claim, at the sole cost and expense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in such manner as it may deem reasonably appropriate, including settling such claim in accordance with the terms hereof if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Indemnified Party reasonably concludes that the Indemnifying Party is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not diligently defending the Indemnified Party,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not contesting such claim in good faith through appropriate proceedings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6.07. </w:t>
      </w:r>
      <w:r>
        <w:rPr>
          <w:rFonts w:ascii="Times New Roman" w:cs="Times New Roman" w:eastAsia="Times New Roman" w:hAnsi="Times New Roman"/>
          <w:sz w:val="18"/>
          <w:szCs w:val="18"/>
          <w:b w:val="1"/>
          <w:bCs w:val="1"/>
          <w:i w:val="1"/>
          <w:iCs w:val="1"/>
          <w:color w:val="auto"/>
        </w:rPr>
        <w:t>Direct Claims</w:t>
      </w:r>
      <w:r>
        <w:rPr>
          <w:rFonts w:ascii="Times New Roman" w:cs="Times New Roman" w:eastAsia="Times New Roman" w:hAnsi="Times New Roman"/>
          <w:sz w:val="18"/>
          <w:szCs w:val="18"/>
          <w:color w:val="auto"/>
        </w:rPr>
        <w:t>. In the event that any Indemnified Party has a claim against any Indemnifying Party which may give rise to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against the Indemnifying 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6.08. </w:t>
      </w:r>
      <w:r>
        <w:rPr>
          <w:rFonts w:ascii="Times New Roman" w:cs="Times New Roman" w:eastAsia="Times New Roman" w:hAnsi="Times New Roman"/>
          <w:sz w:val="18"/>
          <w:szCs w:val="18"/>
          <w:b w:val="1"/>
          <w:bCs w:val="1"/>
          <w:i w:val="1"/>
          <w:iCs w:val="1"/>
          <w:color w:val="auto"/>
        </w:rPr>
        <w:t>Exclusive Remedy</w:t>
      </w:r>
      <w:r>
        <w:rPr>
          <w:rFonts w:ascii="Times New Roman" w:cs="Times New Roman" w:eastAsia="Times New Roman" w:hAnsi="Times New Roman"/>
          <w:sz w:val="18"/>
          <w:szCs w:val="18"/>
          <w:color w:val="auto"/>
        </w:rPr>
        <w:t>. Absent any Fraudulent Action, the indemnities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exclusive remedies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6.09.</w:t>
      </w:r>
      <w:r>
        <w:rPr>
          <w:sz w:val="20"/>
          <w:szCs w:val="20"/>
          <w:color w:val="auto"/>
        </w:rPr>
        <w:tab/>
      </w:r>
      <w:r>
        <w:rPr>
          <w:rFonts w:ascii="Times New Roman" w:cs="Times New Roman" w:eastAsia="Times New Roman" w:hAnsi="Times New Roman"/>
          <w:sz w:val="18"/>
          <w:szCs w:val="18"/>
          <w:b w:val="1"/>
          <w:bCs w:val="1"/>
          <w:i w:val="1"/>
          <w:iCs w:val="1"/>
          <w:color w:val="auto"/>
        </w:rPr>
        <w:t>Mitigations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82" w:lineRule="auto"/>
        <w:tabs>
          <w:tab w:leader="none" w:pos="1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59" w:lineRule="exact"/>
        <w:rPr>
          <w:rFonts w:ascii="Times New Roman" w:cs="Times New Roman" w:eastAsia="Times New Roman" w:hAnsi="Times New Roman"/>
          <w:sz w:val="18"/>
          <w:szCs w:val="18"/>
          <w:color w:val="auto"/>
        </w:rPr>
      </w:pPr>
    </w:p>
    <w:p>
      <w:pPr>
        <w:jc w:val="both"/>
        <w:ind w:firstLine="1304"/>
        <w:spacing w:after="0" w:line="267" w:lineRule="auto"/>
        <w:tabs>
          <w:tab w:leader="none" w:pos="19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making any payment to the Indemnified Party for any indemnification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i w:val="1"/>
          <w:iCs w:val="1"/>
          <w:color w:val="auto"/>
        </w:rPr>
        <w:t>Indemnity Treatment</w:t>
      </w:r>
      <w:r>
        <w:rPr>
          <w:rFonts w:ascii="Times New Roman" w:cs="Times New Roman" w:eastAsia="Times New Roman" w:hAnsi="Times New Roman"/>
          <w:sz w:val="18"/>
          <w:szCs w:val="18"/>
          <w:color w:val="auto"/>
        </w:rPr>
        <w:t>. Any amount of indemnification payable pursuant to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the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be treated as an adjustment to the Purchase Price (as determined for all relevant Tax purposes).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7.01.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requests and other communications hereunder must be in writing and will be deemed to have been duly given only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personally, by email, by reputable national overnight courier service or by registered or certified mail (postage prepaid) to the Parties at the following addresses or email addresses, as applicable: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If to Purchaser, to:</w:t>
            </w: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Rosamond Solar Investment LLC</w:t>
            </w:r>
          </w:p>
        </w:tc>
      </w:tr>
      <w:tr>
        <w:trPr>
          <w:trHeight w:val="216"/>
        </w:trPr>
        <w:tc>
          <w:tcPr>
            <w:tcW w:w="316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 Clearway Energy, Inc.</w:t>
            </w:r>
          </w:p>
        </w:tc>
      </w:tr>
      <w:tr>
        <w:trPr>
          <w:trHeight w:val="216"/>
        </w:trPr>
        <w:tc>
          <w:tcPr>
            <w:tcW w:w="316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300 Carnegie Center Drive, Suite 300</w:t>
            </w:r>
          </w:p>
        </w:tc>
      </w:tr>
      <w:tr>
        <w:trPr>
          <w:trHeight w:val="216"/>
        </w:trPr>
        <w:tc>
          <w:tcPr>
            <w:tcW w:w="316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Princeton, NJ 08540</w:t>
            </w:r>
          </w:p>
        </w:tc>
      </w:tr>
      <w:tr>
        <w:trPr>
          <w:trHeight w:val="216"/>
        </w:trPr>
        <w:tc>
          <w:tcPr>
            <w:tcW w:w="316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Attn: Christopher Sotos and Kevin Malcarney</w:t>
            </w:r>
          </w:p>
        </w:tc>
      </w:tr>
      <w:tr>
        <w:trPr>
          <w:trHeight w:val="234"/>
        </w:trPr>
        <w:tc>
          <w:tcPr>
            <w:tcW w:w="3160" w:type="dxa"/>
            <w:vAlign w:val="bottom"/>
          </w:tcPr>
          <w:p>
            <w:pPr>
              <w:spacing w:after="0"/>
              <w:rPr>
                <w:sz w:val="20"/>
                <w:szCs w:val="20"/>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Email: christopher.sotos@clearwayenergy.com and kevin.malcarney@clearwayenergy.com</w:t>
            </w:r>
          </w:p>
        </w:tc>
      </w:tr>
      <w:tr>
        <w:trPr>
          <w:trHeight w:val="414"/>
        </w:trPr>
        <w:tc>
          <w:tcPr>
            <w:tcW w:w="31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With a copy to:</w:t>
            </w: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Perkins Coie LLP</w:t>
            </w:r>
          </w:p>
        </w:tc>
      </w:tr>
      <w:tr>
        <w:trPr>
          <w:trHeight w:val="216"/>
        </w:trPr>
        <w:tc>
          <w:tcPr>
            <w:tcW w:w="316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700 13th St. NW</w:t>
            </w:r>
          </w:p>
        </w:tc>
      </w:tr>
      <w:tr>
        <w:trPr>
          <w:trHeight w:val="216"/>
        </w:trPr>
        <w:tc>
          <w:tcPr>
            <w:tcW w:w="316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Washington, DC 20005</w:t>
            </w:r>
          </w:p>
        </w:tc>
      </w:tr>
      <w:tr>
        <w:trPr>
          <w:trHeight w:val="216"/>
        </w:trPr>
        <w:tc>
          <w:tcPr>
            <w:tcW w:w="316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Attn: Eric Dodson Greenberg</w:t>
            </w:r>
          </w:p>
        </w:tc>
      </w:tr>
      <w:tr>
        <w:trPr>
          <w:trHeight w:val="234"/>
        </w:trPr>
        <w:tc>
          <w:tcPr>
            <w:tcW w:w="3160" w:type="dxa"/>
            <w:vAlign w:val="bottom"/>
          </w:tcPr>
          <w:p>
            <w:pPr>
              <w:spacing w:after="0"/>
              <w:rPr>
                <w:sz w:val="20"/>
                <w:szCs w:val="20"/>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Email: egreenberg@perkinscoie.com</w:t>
            </w:r>
          </w:p>
        </w:tc>
      </w:tr>
      <w:tr>
        <w:trPr>
          <w:trHeight w:val="864"/>
        </w:trPr>
        <w:tc>
          <w:tcPr>
            <w:tcW w:w="31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33</w:t>
            </w:r>
          </w:p>
        </w:tc>
      </w:tr>
    </w:tbl>
    <w:p>
      <w:pPr>
        <w:sectPr>
          <w:pgSz w:w="11900" w:h="16838" w:orient="portrait"/>
          <w:cols w:equalWidth="0" w:num="1">
            <w:col w:w="11240"/>
          </w:cols>
          <w:pgMar w:left="320" w:top="684" w:right="339"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17"/>
          <w:szCs w:val="17"/>
          <w:color w:val="auto"/>
        </w:rPr>
        <w:t>If to Seller,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 Clearway Renew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4900 N Scottsdale Road, Suite 5000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Scottsdale, AZ 85251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am@clearwayenergy.com</w:t>
      </w:r>
    </w:p>
    <w:p>
      <w:pPr>
        <w:spacing w:after="0" w:line="200" w:lineRule="exact"/>
        <w:rPr>
          <w:sz w:val="20"/>
          <w:szCs w:val="20"/>
          <w:color w:val="auto"/>
        </w:rPr>
      </w:pPr>
    </w:p>
    <w:p>
      <w:pPr>
        <w:sectPr>
          <w:pgSz w:w="11900" w:h="16838" w:orient="portrait"/>
          <w:cols w:equalWidth="0" w:num="2">
            <w:col w:w="3440" w:space="720"/>
            <w:col w:w="7080"/>
          </w:cols>
          <w:pgMar w:left="320" w:top="688" w:right="339" w:bottom="1440" w:gutter="0" w:footer="0" w:header="0"/>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Clearway Renew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5780 Fleet St., Suite 130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Carlsbad, CA 92008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legal@clearwayenergy.com</w:t>
      </w:r>
    </w:p>
    <w:p>
      <w:pPr>
        <w:spacing w:after="0" w:line="200" w:lineRule="exact"/>
        <w:rPr>
          <w:sz w:val="20"/>
          <w:szCs w:val="20"/>
          <w:color w:val="auto"/>
        </w:rPr>
      </w:pPr>
    </w:p>
    <w:p>
      <w:pPr>
        <w:sectPr>
          <w:pgSz w:w="11900" w:h="16838" w:orient="portrait"/>
          <w:cols w:equalWidth="0" w:num="2">
            <w:col w:w="3440" w:space="720"/>
            <w:col w:w="7080"/>
          </w:cols>
          <w:pgMar w:left="320" w:top="688" w:right="339" w:bottom="1440" w:gutter="0" w:footer="0" w:header="0"/>
          <w:type w:val="continuous"/>
        </w:sectPr>
      </w:pPr>
    </w:p>
    <w:p>
      <w:pPr>
        <w:spacing w:after="0" w:line="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Notices, requests and other communications will be deemed given upon the first to occur of such item having been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delivered personally (or refusal of delivery) to the address provided in this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delivered by confirmed email transmission to the email address provided in this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delivered (or refusal of such delivery) by registered or certified mail (postage prepaid) or by reputable national overnight courier service in the manner described above to the address provided in this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Any Party from time to time may change its address, email address or other information for the purpose of notices to that Party by giving notice specifying such change to the other Party.</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7.02. </w:t>
      </w: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This Agreement and the documents referenced herein supersede all prior discussions and agreements, whether oral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between the Parties with respect to the subject matter hereof, and contains the entire agreement between the Parties with respect to the subject matter 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7.03. </w:t>
      </w:r>
      <w:r>
        <w:rPr>
          <w:rFonts w:ascii="Times New Roman" w:cs="Times New Roman" w:eastAsia="Times New Roman" w:hAnsi="Times New Roman"/>
          <w:sz w:val="18"/>
          <w:szCs w:val="18"/>
          <w:b w:val="1"/>
          <w:bCs w:val="1"/>
          <w:i w:val="1"/>
          <w:iCs w:val="1"/>
          <w:color w:val="auto"/>
        </w:rPr>
        <w:t>Specific Performance</w:t>
      </w:r>
      <w:r>
        <w:rPr>
          <w:rFonts w:ascii="Times New Roman" w:cs="Times New Roman" w:eastAsia="Times New Roman" w:hAnsi="Times New Roman"/>
          <w:sz w:val="18"/>
          <w:szCs w:val="18"/>
          <w:color w:val="auto"/>
        </w:rPr>
        <w:t>. The Parties to this Agreement agree that if any of the provisions of this Agreement were not performed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7.04.</w:t>
      </w:r>
      <w:r>
        <w:rPr>
          <w:sz w:val="20"/>
          <w:szCs w:val="20"/>
          <w:color w:val="auto"/>
        </w:rPr>
        <w:tab/>
      </w:r>
      <w:r>
        <w:rPr>
          <w:rFonts w:ascii="Times New Roman" w:cs="Times New Roman" w:eastAsia="Times New Roman" w:hAnsi="Times New Roman"/>
          <w:sz w:val="17"/>
          <w:szCs w:val="17"/>
          <w:b w:val="1"/>
          <w:bCs w:val="1"/>
          <w:i w:val="1"/>
          <w:iCs w:val="1"/>
          <w:color w:val="auto"/>
        </w:rPr>
        <w:t>Time of the Essence</w:t>
      </w:r>
      <w:r>
        <w:rPr>
          <w:rFonts w:ascii="Times New Roman" w:cs="Times New Roman" w:eastAsia="Times New Roman" w:hAnsi="Times New Roman"/>
          <w:sz w:val="17"/>
          <w:szCs w:val="17"/>
          <w:color w:val="auto"/>
        </w:rPr>
        <w:t>. Time is of the essence with regard to all duties and time periods set forth in this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7.05.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Except as otherwise expressly provided in this Agreement, whether or not the transactions contemplated hereby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each Party will pay its own costs and expenses incurred in connection with the negotiation, execution and performance of this Agreement.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4" w:name="page45"/>
    <w:bookmarkEnd w:id="44"/>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7.06. </w:t>
      </w:r>
      <w:r>
        <w:rPr>
          <w:rFonts w:ascii="Times New Roman" w:cs="Times New Roman" w:eastAsia="Times New Roman" w:hAnsi="Times New Roman"/>
          <w:sz w:val="18"/>
          <w:szCs w:val="18"/>
          <w:b w:val="1"/>
          <w:bCs w:val="1"/>
          <w:i w:val="1"/>
          <w:iCs w:val="1"/>
          <w:color w:val="auto"/>
        </w:rPr>
        <w:t>Confidentiality; Disclosures</w:t>
      </w:r>
      <w:r>
        <w:rPr>
          <w:rFonts w:ascii="Times New Roman" w:cs="Times New Roman" w:eastAsia="Times New Roman" w:hAnsi="Times New Roman"/>
          <w:sz w:val="18"/>
          <w:szCs w:val="18"/>
          <w:color w:val="auto"/>
        </w:rPr>
        <w:t>. This Agreement is confidential, and neither Party shall disclose the terms and conditions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7.07.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Any term or condition of this Agreement may be waived at any time by the Party that is entitled to the benefit thereof, but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waiver shall be effective unless set forth in a written instrument duly executed by or on behalf of the Party waiving such term or condition and delivered pursuant to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7.08.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This Agreement may be amended, supplemented or modified only by a written instrument duly executed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7.09. </w:t>
      </w:r>
      <w:r>
        <w:rPr>
          <w:rFonts w:ascii="Times New Roman" w:cs="Times New Roman" w:eastAsia="Times New Roman" w:hAnsi="Times New Roman"/>
          <w:sz w:val="18"/>
          <w:szCs w:val="18"/>
          <w:b w:val="1"/>
          <w:bCs w:val="1"/>
          <w:i w:val="1"/>
          <w:iCs w:val="1"/>
          <w:color w:val="auto"/>
        </w:rPr>
        <w:t>No Third Party Beneficiary</w:t>
      </w:r>
      <w:r>
        <w:rPr>
          <w:rFonts w:ascii="Times New Roman" w:cs="Times New Roman" w:eastAsia="Times New Roman" w:hAnsi="Times New Roman"/>
          <w:sz w:val="18"/>
          <w:szCs w:val="18"/>
          <w:color w:val="auto"/>
        </w:rPr>
        <w:t>. The terms and provisions of this Agreement are intended solely for the benefit of each Party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7.10. </w:t>
      </w:r>
      <w:r>
        <w:rPr>
          <w:rFonts w:ascii="Times New Roman" w:cs="Times New Roman" w:eastAsia="Times New Roman" w:hAnsi="Times New Roman"/>
          <w:sz w:val="18"/>
          <w:szCs w:val="18"/>
          <w:b w:val="1"/>
          <w:bCs w:val="1"/>
          <w:i w:val="1"/>
          <w:iCs w:val="1"/>
          <w:color w:val="auto"/>
        </w:rPr>
        <w:t>Assignment</w:t>
      </w:r>
      <w:r>
        <w:rPr>
          <w:rFonts w:ascii="Times New Roman" w:cs="Times New Roman" w:eastAsia="Times New Roman" w:hAnsi="Times New Roman"/>
          <w:sz w:val="18"/>
          <w:szCs w:val="18"/>
          <w:color w:val="auto"/>
        </w:rPr>
        <w:t>. The obligations of the Parties under this Agreement are not assignable without the prior written consent of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such Party may withhold in its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 may assign this Agreement, including the right to acquire the Acquired Interests, without the prior written consent of Seller, to (a) any Affiliate of Purchaser, or (b) any financial institution providing purchase money or other financing to Purchaser from time to time as collateral security for such financing, in each case so long as Purchaser remains fully liable for its obligations under this Agreement.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7.11.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any provision of this Agreement is held to be illegal, invalid or unenforceable under any present or future Law, and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or obligations of any Party under this Agreement shall not be materially and adversely affected thereby,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such provision shall be fully severable,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this Agreement shall be construed and enforced as if such illegal, invalid or unenforceable provision had never comprised a part hereof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remaining provisions of this Agreement shall remain in full force and effect and shall not be affected by the illegal, invalid or unenforceable provision or by its severance here from.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7.12.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AGREEMENT AND ALL DISPUTES AND CONTROVERSIES ARISING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ALL RESPECTS IN ACCORDANCE WITH THE LAWS OF THE STATE OF NEW YORK WITHOUT GIVING EFFECT TO THE CONFLICTS OF LAWS PRINCIPLES THEREOF EXCEPT FOR SECTIONS 5-1401 AND 5-1402 OF THE NEW YORK GENERAL OBLIGATIONS LAW.</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7.13.</w:t>
      </w:r>
      <w:r>
        <w:rPr>
          <w:sz w:val="20"/>
          <w:szCs w:val="20"/>
          <w:color w:val="auto"/>
        </w:rPr>
        <w:tab/>
      </w:r>
      <w:r>
        <w:rPr>
          <w:rFonts w:ascii="Times New Roman" w:cs="Times New Roman" w:eastAsia="Times New Roman" w:hAnsi="Times New Roman"/>
          <w:sz w:val="18"/>
          <w:szCs w:val="18"/>
          <w:b w:val="1"/>
          <w:bCs w:val="1"/>
          <w:i w:val="1"/>
          <w:iCs w:val="1"/>
          <w:color w:val="auto"/>
        </w:rPr>
        <w:t>Consent to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5" w:lineRule="auto"/>
        <w:tabs>
          <w:tab w:leader="none" w:pos="19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88"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irrevocably and unconditionally waives, to the fullest extent it may legally and effectively do so:</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46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61"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of an inconvenient forum to the maintenance of such Action or Proceeding in any such court.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irrevocably consents to service of process by registered mail, return receipt requested, as provided in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Nothing in this Agreement will affect the right of any Party hereto to serve process in any other manner permitted by Law.</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7.14.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TO THE FULLEST EXTENT PERMITTED BY LAW, EACH PARTY HEREBY WAIVES ALL RIGHTS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 BY JURY IN ANY LEGAL ACTION TO ENFORCE OR INTERPRET THE PROVISIONS OF THIS AGREEMENT OR THAT OTHERWISE RELATES TO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7.15. </w:t>
      </w:r>
      <w:r>
        <w:rPr>
          <w:rFonts w:ascii="Times New Roman" w:cs="Times New Roman" w:eastAsia="Times New Roman" w:hAnsi="Times New Roman"/>
          <w:sz w:val="18"/>
          <w:szCs w:val="18"/>
          <w:b w:val="1"/>
          <w:bCs w:val="1"/>
          <w:i w:val="1"/>
          <w:iCs w:val="1"/>
          <w:color w:val="auto"/>
        </w:rPr>
        <w:t>Limitation on Certain Damages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THIS AGREEMENT TO THE CONTRARY, NO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LIABLE TO ANY OTHER PARTY FOR ANY CONSEQUENTIAL, SPECIAL, INDIRECT, SPECULATIVE, EXEMPLARY, OR PUNITIVE DAMAGES (COLLECTIVELY, “</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LOSSES ARISING OUT OF THIRD PARTY CLAIMS FOR WHICH A PARTY IS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UNDER THIS AGREEMENT SHALL NOT CONSTITUTE CONSEQUENTIAL DAMAGES. FOR THE AVOIDANCE OF DOUBT, AN ACTION FOR THE PAYMENT OF THE PURCHASE PRICE SHALL NOT BE CONSIDERED CONSEQUENTIAL DAMAGES.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7.16. </w:t>
      </w:r>
      <w:r>
        <w:rPr>
          <w:rFonts w:ascii="Times New Roman" w:cs="Times New Roman" w:eastAsia="Times New Roman" w:hAnsi="Times New Roman"/>
          <w:sz w:val="18"/>
          <w:szCs w:val="18"/>
          <w:b w:val="1"/>
          <w:bCs w:val="1"/>
          <w:i w:val="1"/>
          <w:iCs w:val="1"/>
          <w:color w:val="auto"/>
        </w:rPr>
        <w:t>Disclosures</w:t>
      </w:r>
      <w:r>
        <w:rPr>
          <w:rFonts w:ascii="Times New Roman" w:cs="Times New Roman" w:eastAsia="Times New Roman" w:hAnsi="Times New Roman"/>
          <w:sz w:val="18"/>
          <w:szCs w:val="18"/>
          <w:color w:val="auto"/>
        </w:rPr>
        <w:t>. Seller or Purchaser may, at its option, include in the Disclosure Schedules items that are not material in order to avoid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Company, the Rosie Entities or Purchaser.</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7.17. </w:t>
      </w:r>
      <w:r>
        <w:rPr>
          <w:rFonts w:ascii="Times New Roman" w:cs="Times New Roman" w:eastAsia="Times New Roman" w:hAnsi="Times New Roman"/>
          <w:sz w:val="18"/>
          <w:szCs w:val="18"/>
          <w:b w:val="1"/>
          <w:bCs w:val="1"/>
          <w:i w:val="1"/>
          <w:iCs w:val="1"/>
          <w:color w:val="auto"/>
        </w:rPr>
        <w:t>PDF Signature; Counterparts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by PDF signature in any number of counterparts, each of which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but all of which together will constitute one and the same instrument.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Membership Interest Purchase Agreement to be executed and delivered by their duly authorized officers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RENEW DEVELOPMENT HOLDCO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 Rosamond Central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ind w:left="45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ROSAMOND SOLAR INVESTMENT LLC,</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 Christopher S. Sotos</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Rosamond Central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Black Rock Wind Holding LLC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Renew LLC, as Seller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Lighthouse Renewable Class A LLC, as Purchaser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December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850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ARTICLE1 DEFINITIONS AND PRINCIPLES OF INTERPRETATION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1.01.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1.02.</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Rules of Interpretation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ARTICLE2 SALE OF MEMBERSHIP INTERESTS AND CLOSING</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2.01.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2.02.</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Payment of Purchase Price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2.03.</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Closing</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2.04.</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Adjusted Purchase Price Amount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2.05.</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Post-Closing Additional Turbine Adjustments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2.06.</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Certain Proceeds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ARTICLE3 REPRESENTATIONS AND WARRANTIES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3.01.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with respect to Seller, the Company and the Black Rock Entities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3.02.</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with Respect to Purchaser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ARTICLE4 CONDITIONS PRECEDENT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4.01.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Closing Date Conditions Precedent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Certain Covenants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Other Permits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5.02.</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5.03.</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Notification of Certain Matters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5.04.</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5.05.</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Fulfillment of Conditions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5.06.</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Further Assurances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5.07.</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Purchaser’s Substitute Support Obligations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5.08.</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5.09.</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5.10.</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5.11.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Purchaser Parent Guaranty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5.12.</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Post-Execution Date Documents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Indemnification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Seller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6.02.</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Purchaser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6.03.</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Survival of Representations, Warranties, Covenants and Agreements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6.04.</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Claims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6.05.</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Procedure for Indemnification of Third Party Claims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6.06.</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Rights of the Indemnifying Party in the Defense of Third Party Claims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6.07.</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Direct Claims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6.08.</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Exclusive Remedy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6.09.</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Mitigations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6.10.</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Indemnity Treatment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7.01.</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7.02.</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ARTICLE8 GENERAL PROVISIONS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8.01.</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Notices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8.02.</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Entire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8.03.</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8.04.</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Time of the Essence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8.05.</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8.06.</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Disclosures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8.07.</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Waiver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8.08.</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8.09.</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 Third Party Beneficiary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8.10.</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Assignment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8.11.</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Severability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8.12.</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8.13.</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Consent to Jurisdiction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8.14.</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Waiver of Jury Trial</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8.15.</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Certain Damages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8.16.</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Disclosures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8.17.</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PDF Signature; Counterparts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Base Case Model</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Officer’s Certificate of Seller</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Secretary’s Certificate of Seller</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Officer’s Certificate of Purchaser</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E</w:t>
      </w:r>
      <w:r>
        <w:rPr>
          <w:sz w:val="20"/>
          <w:szCs w:val="20"/>
          <w:color w:val="auto"/>
        </w:rPr>
        <w:tab/>
      </w:r>
      <w:r>
        <w:rPr>
          <w:rFonts w:ascii="Times New Roman" w:cs="Times New Roman" w:eastAsia="Times New Roman" w:hAnsi="Times New Roman"/>
          <w:sz w:val="17"/>
          <w:szCs w:val="17"/>
          <w:color w:val="auto"/>
        </w:rPr>
        <w:t>Secretary’s Certificate of Purchaser</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F</w:t>
      </w:r>
      <w:r>
        <w:rPr>
          <w:sz w:val="20"/>
          <w:szCs w:val="20"/>
          <w:color w:val="auto"/>
        </w:rPr>
        <w:tab/>
      </w:r>
      <w:r>
        <w:rPr>
          <w:rFonts w:ascii="Times New Roman" w:cs="Times New Roman" w:eastAsia="Times New Roman" w:hAnsi="Times New Roman"/>
          <w:sz w:val="17"/>
          <w:szCs w:val="17"/>
          <w:color w:val="auto"/>
        </w:rPr>
        <w:t>Assignment of Membership Interests</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G</w:t>
      </w:r>
      <w:r>
        <w:rPr>
          <w:sz w:val="20"/>
          <w:szCs w:val="20"/>
          <w:color w:val="auto"/>
        </w:rPr>
        <w:tab/>
      </w:r>
      <w:r>
        <w:rPr>
          <w:rFonts w:ascii="Times New Roman" w:cs="Times New Roman" w:eastAsia="Times New Roman" w:hAnsi="Times New Roman"/>
          <w:sz w:val="18"/>
          <w:szCs w:val="18"/>
          <w:color w:val="auto"/>
        </w:rPr>
        <w:t>Form of Purchaser Parent Guaranty</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H</w:t>
      </w:r>
      <w:r>
        <w:rPr>
          <w:sz w:val="20"/>
          <w:szCs w:val="20"/>
          <w:color w:val="auto"/>
        </w:rPr>
        <w:tab/>
      </w:r>
      <w:r>
        <w:rPr>
          <w:rFonts w:ascii="Times New Roman" w:cs="Times New Roman" w:eastAsia="Times New Roman" w:hAnsi="Times New Roman"/>
          <w:sz w:val="17"/>
          <w:szCs w:val="17"/>
          <w:color w:val="auto"/>
        </w:rPr>
        <w:t>Form of Build-Out Agreement</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I</w:t>
      </w:r>
      <w:r>
        <w:rPr>
          <w:sz w:val="20"/>
          <w:szCs w:val="20"/>
          <w:color w:val="auto"/>
        </w:rPr>
        <w:tab/>
      </w:r>
      <w:r>
        <w:rPr>
          <w:rFonts w:ascii="Times New Roman" w:cs="Times New Roman" w:eastAsia="Times New Roman" w:hAnsi="Times New Roman"/>
          <w:sz w:val="18"/>
          <w:szCs w:val="18"/>
          <w:color w:val="auto"/>
        </w:rPr>
        <w:t>Form of Drop Down Assignment and Assumption Agreement</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J</w:t>
      </w:r>
      <w:r>
        <w:rPr>
          <w:sz w:val="20"/>
          <w:szCs w:val="20"/>
          <w:color w:val="auto"/>
        </w:rPr>
        <w:tab/>
      </w:r>
      <w:r>
        <w:rPr>
          <w:rFonts w:ascii="Times New Roman" w:cs="Times New Roman" w:eastAsia="Times New Roman" w:hAnsi="Times New Roman"/>
          <w:sz w:val="18"/>
          <w:szCs w:val="18"/>
          <w:color w:val="auto"/>
        </w:rPr>
        <w:t>Certain Seller Proceeds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Schedules:</w:t>
      </w:r>
    </w:p>
    <w:p>
      <w:pPr>
        <w:sectPr>
          <w:pgSz w:w="11900" w:h="16838" w:orient="portrait"/>
          <w:cols w:equalWidth="0" w:num="1">
            <w:col w:w="10139"/>
          </w:cols>
          <w:pgMar w:left="320" w:top="900" w:right="1440"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6.01(b)</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Ancillary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Indemnification Matters</w:t>
      </w:r>
    </w:p>
    <w:p>
      <w:pPr>
        <w:spacing w:after="0" w:line="211" w:lineRule="exact"/>
        <w:rPr>
          <w:sz w:val="20"/>
          <w:szCs w:val="20"/>
          <w:color w:val="auto"/>
        </w:rPr>
      </w:pPr>
    </w:p>
    <w:p>
      <w:pPr>
        <w:sectPr>
          <w:pgSz w:w="11900" w:h="16838" w:orient="portrait"/>
          <w:cols w:equalWidth="0" w:num="2">
            <w:col w:w="1540" w:space="720"/>
            <w:col w:w="7879"/>
          </w:cols>
          <w:pgMar w:left="320" w:top="900"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Schedules:</w:t>
      </w:r>
    </w:p>
    <w:p>
      <w:pPr>
        <w:sectPr>
          <w:pgSz w:w="11900" w:h="16838" w:orient="portrait"/>
          <w:cols w:equalWidth="0" w:num="1">
            <w:col w:w="10139"/>
          </w:cols>
          <w:pgMar w:left="320" w:top="900" w:right="1440" w:bottom="1440" w:gutter="0" w:footer="0" w:header="0"/>
          <w:type w:val="continuous"/>
        </w:sectPr>
      </w:pPr>
    </w:p>
    <w:p>
      <w:pPr>
        <w:spacing w:after="0" w:line="24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Schedule 1.01 Schedule 3.01(c) Schedule 3.01(e) Schedule 3.01(f) Schedule 3.01(g) Schedule 3.01(i) Schedule 3.01(i)(ii) Schedule 3.01(i)(iii) Schedule 3.01(i)(v) Schedule 3.01(i)(vi) Schedule 3.01(i)(vii) Schedule 3.01(i)(ix) Schedule 3.01(j) Schedule 3.01(k) Schedule 3.01(m)(i) Schedule 3.01(m)(iii) Schedule 3.01(n)(i) Schedule 3.01(n)(ii) Schedule 3.01(n)(iii) Schedule 3.01(p)(i) Schedule 3.01(p)(iii) Schedule 3.01(p)(iv) Schedule 3.01(q)(i) Schedule 3.01(q)(ii) Schedule 3.01(r) Schedule 3.01(s)(i) Schedule 3.01(t)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Liens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Approvals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Business Jurisdictions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Equity Encumbrances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Additional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Additional Business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 on Acquired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Contracts Defaults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Real Property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Property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 Non-Compliance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of Hazardous Substances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Noncompliance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w:t>
      </w:r>
    </w:p>
    <w:p>
      <w:pPr>
        <w:spacing w:after="0" w:line="203" w:lineRule="exact"/>
        <w:rPr>
          <w:sz w:val="20"/>
          <w:szCs w:val="20"/>
          <w:color w:val="auto"/>
        </w:rPr>
      </w:pPr>
    </w:p>
    <w:p>
      <w:pPr>
        <w:sectPr>
          <w:pgSz w:w="11900" w:h="16838" w:orient="portrait"/>
          <w:cols w:equalWidth="0" w:num="2">
            <w:col w:w="1560" w:space="700"/>
            <w:col w:w="7879"/>
          </w:cols>
          <w:pgMar w:left="320" w:top="900" w:right="1440" w:bottom="1440" w:gutter="0" w:footer="0" w:header="0"/>
          <w:type w:val="continuous"/>
        </w:sectPr>
      </w:pP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53" w:name="page54"/>
    <w:bookmarkEnd w:id="53"/>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(continued)</w:t>
      </w:r>
    </w:p>
    <w:p>
      <w:pPr>
        <w:sectPr>
          <w:pgSz w:w="11900" w:h="16838" w:orient="portrait"/>
          <w:cols w:equalWidth="0" w:num="1">
            <w:col w:w="10139"/>
          </w:cols>
          <w:pgMar w:left="320" w:top="900" w:right="1440"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5.04(b)</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Absence of changes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 Approvals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of Business</w:t>
      </w:r>
    </w:p>
    <w:p>
      <w:pPr>
        <w:spacing w:after="0" w:line="200" w:lineRule="exact"/>
        <w:rPr>
          <w:sz w:val="20"/>
          <w:szCs w:val="20"/>
          <w:color w:val="auto"/>
        </w:rPr>
      </w:pPr>
    </w:p>
    <w:p>
      <w:pPr>
        <w:sectPr>
          <w:pgSz w:w="11900" w:h="16838" w:orient="portrait"/>
          <w:cols w:equalWidth="0" w:num="2">
            <w:col w:w="1540" w:space="720"/>
            <w:col w:w="7879"/>
          </w:cols>
          <w:pgMar w:left="320" w:top="900" w:right="1440" w:bottom="1440" w:gutter="0" w:footer="0" w:header="0"/>
          <w:type w:val="continuous"/>
        </w:sect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MEMBERSHIP INTEREST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December 21, 2020 (the “</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is entered into by and between Clearway Renew LLC, a Delaware limited liability company (“</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and Lighthouse Renewable Class A LLC, a Delaware limited liability company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Purchaser and Seller are referred to,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xml:space="preserve">.” Capitalized terms not otherwise defined herein shall have the meaning given them in </w:t>
      </w:r>
      <w:r>
        <w:rPr>
          <w:rFonts w:ascii="Times New Roman" w:cs="Times New Roman" w:eastAsia="Times New Roman" w:hAnsi="Times New Roman"/>
          <w:sz w:val="18"/>
          <w:szCs w:val="18"/>
          <w:i w:val="1"/>
          <w:iCs w:val="1"/>
          <w:color w:val="auto"/>
        </w:rPr>
        <w:t>Section 1.01</w:t>
      </w:r>
      <w:r>
        <w:rPr>
          <w:rFonts w:ascii="Times New Roman" w:cs="Times New Roman" w:eastAsia="Times New Roman" w:hAnsi="Times New Roman"/>
          <w:sz w:val="18"/>
          <w:szCs w:val="18"/>
          <w:color w:val="auto"/>
        </w:rPr>
        <w:t xml:space="preserve">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jc w:val="both"/>
        <w:ind w:right="20" w:firstLine="656"/>
        <w:spacing w:after="0" w:line="267" w:lineRule="auto"/>
        <w:tabs>
          <w:tab w:leader="none" w:pos="13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owns one hundred percent (100%) of the Class B membership interests (the “</w:t>
      </w:r>
      <w:r>
        <w:rPr>
          <w:rFonts w:ascii="Times New Roman" w:cs="Times New Roman" w:eastAsia="Times New Roman" w:hAnsi="Times New Roman"/>
          <w:sz w:val="18"/>
          <w:szCs w:val="18"/>
          <w:i w:val="1"/>
          <w:iCs w:val="1"/>
          <w:color w:val="auto"/>
        </w:rPr>
        <w:t>Class B Units</w:t>
      </w:r>
      <w:r>
        <w:rPr>
          <w:rFonts w:ascii="Times New Roman" w:cs="Times New Roman" w:eastAsia="Times New Roman" w:hAnsi="Times New Roman"/>
          <w:sz w:val="18"/>
          <w:szCs w:val="18"/>
          <w:color w:val="auto"/>
        </w:rPr>
        <w:t>”) of Black Rock Wind Holding LLC,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Apex Clean Energy Holdings, LLC (the “</w:t>
      </w:r>
      <w:r>
        <w:rPr>
          <w:rFonts w:ascii="Times New Roman" w:cs="Times New Roman" w:eastAsia="Times New Roman" w:hAnsi="Times New Roman"/>
          <w:sz w:val="18"/>
          <w:szCs w:val="18"/>
          <w:i w:val="1"/>
          <w:iCs w:val="1"/>
          <w:color w:val="auto"/>
        </w:rPr>
        <w:t>Class A Member</w:t>
      </w:r>
      <w:r>
        <w:rPr>
          <w:rFonts w:ascii="Times New Roman" w:cs="Times New Roman" w:eastAsia="Times New Roman" w:hAnsi="Times New Roman"/>
          <w:sz w:val="18"/>
          <w:szCs w:val="18"/>
          <w:color w:val="auto"/>
        </w:rPr>
        <w:t>”) owns one hundred percent (100%) of the Class A membership interests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sole member and one hundred percent (100%) owner of Black Rock Class B Holdco LLC, a Delaware limited liability company (“</w:t>
      </w:r>
      <w:r>
        <w:rPr>
          <w:rFonts w:ascii="Times New Roman" w:cs="Times New Roman" w:eastAsia="Times New Roman" w:hAnsi="Times New Roman"/>
          <w:sz w:val="18"/>
          <w:szCs w:val="18"/>
          <w:i w:val="1"/>
          <w:iCs w:val="1"/>
          <w:color w:val="auto"/>
        </w:rPr>
        <w:t>Class B Holdco</w:t>
      </w:r>
      <w:r>
        <w:rPr>
          <w:rFonts w:ascii="Times New Roman" w:cs="Times New Roman" w:eastAsia="Times New Roman" w:hAnsi="Times New Roman"/>
          <w:sz w:val="18"/>
          <w:szCs w:val="18"/>
          <w:color w:val="auto"/>
        </w:rPr>
        <w:t>”), and Class B Holdco is the sole member and one hundred percent (100%) owner of Black Rock TE Holdco LLC, a Delaware limited liability company (“</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 Holdco is the sole member and one hundred percent (100%) owner of Black Rock Wind Force, LLC, a Delaware limited liability company (“</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and, together with Class B Holdco and TE Holdco, the “</w:t>
      </w:r>
      <w:r>
        <w:rPr>
          <w:rFonts w:ascii="Times New Roman" w:cs="Times New Roman" w:eastAsia="Times New Roman" w:hAnsi="Times New Roman"/>
          <w:sz w:val="18"/>
          <w:szCs w:val="18"/>
          <w:i w:val="1"/>
          <w:iCs w:val="1"/>
          <w:color w:val="auto"/>
        </w:rPr>
        <w:t>Black Rock Entities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i w:val="1"/>
          <w:iCs w:val="1"/>
          <w:color w:val="auto"/>
        </w:rPr>
        <w:t>Black Rock Entity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Company is developing an approximately 110 MW wind power project and associated infrastructure located in Mineral County and Grant County, West Virginia (the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and sells electric power therefrom.</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subject to the satisfaction or waiver of the applicable conditions precedent set forth herein, fifty and one one-hundredth percent (50.01%) of the Class B Units (the “</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will be sold to Purchaser for the Purchase Price as provided herein.</w:t>
      </w:r>
    </w:p>
    <w:p>
      <w:pPr>
        <w:spacing w:after="0" w:line="159" w:lineRule="exact"/>
        <w:rPr>
          <w:rFonts w:ascii="Times New Roman" w:cs="Times New Roman" w:eastAsia="Times New Roman" w:hAnsi="Times New Roman"/>
          <w:sz w:val="18"/>
          <w:szCs w:val="18"/>
          <w:color w:val="auto"/>
        </w:rPr>
      </w:pPr>
    </w:p>
    <w:p>
      <w:pPr>
        <w:jc w:val="both"/>
        <w:ind w:firstLine="656"/>
        <w:spacing w:after="0" w:line="267" w:lineRule="auto"/>
        <w:tabs>
          <w:tab w:leader="none" w:pos="132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and HASI have agreed that, as sole shareholders of Lighthouse Renewable HoldCo LLC (the “</w:t>
      </w:r>
      <w:r>
        <w:rPr>
          <w:rFonts w:ascii="Times New Roman" w:cs="Times New Roman" w:eastAsia="Times New Roman" w:hAnsi="Times New Roman"/>
          <w:sz w:val="18"/>
          <w:szCs w:val="18"/>
          <w:i w:val="1"/>
          <w:iCs w:val="1"/>
          <w:color w:val="auto"/>
        </w:rPr>
        <w:t>Master JV HoldCo</w:t>
      </w:r>
      <w:r>
        <w:rPr>
          <w:rFonts w:ascii="Times New Roman" w:cs="Times New Roman" w:eastAsia="Times New Roman" w:hAnsi="Times New Roman"/>
          <w:sz w:val="18"/>
          <w:szCs w:val="18"/>
          <w:color w:val="auto"/>
        </w:rPr>
        <w:t>”), they shall, immediately upon the Closing, contribute their respective Class B Units to the Master JV HoldCo and cause Master JV HoldCo to be admitted as the Class B Member of the Company (the “</w:t>
      </w:r>
      <w:r>
        <w:rPr>
          <w:rFonts w:ascii="Times New Roman" w:cs="Times New Roman" w:eastAsia="Times New Roman" w:hAnsi="Times New Roman"/>
          <w:sz w:val="18"/>
          <w:szCs w:val="18"/>
          <w:i w:val="1"/>
          <w:iCs w:val="1"/>
          <w:color w:val="auto"/>
        </w:rPr>
        <w:t>Drop Down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covenants, representations and warranties set forth herein, and intending to be legally bound hereby,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PRINCIPLES OF INTERPRETATION</w:t>
      </w:r>
    </w:p>
    <w:p>
      <w:pPr>
        <w:spacing w:after="0" w:line="20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i w:val="1"/>
          <w:iCs w:val="1"/>
          <w:color w:val="auto"/>
        </w:rPr>
        <w:t xml:space="preserve">Definitions. </w:t>
      </w:r>
      <w:r>
        <w:rPr>
          <w:rFonts w:ascii="Times New Roman" w:cs="Times New Roman" w:eastAsia="Times New Roman" w:hAnsi="Times New Roman"/>
          <w:sz w:val="17"/>
          <w:szCs w:val="17"/>
          <w:color w:val="auto"/>
        </w:rPr>
        <w:t>As used in this Agreement, the following defined terms have the meanings indicated below:</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has the meaning set forth in the recitals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 or Proceeding</w:t>
      </w:r>
      <w:r>
        <w:rPr>
          <w:rFonts w:ascii="Times New Roman" w:cs="Times New Roman" w:eastAsia="Times New Roman" w:hAnsi="Times New Roman"/>
          <w:sz w:val="18"/>
          <w:szCs w:val="18"/>
          <w:color w:val="auto"/>
        </w:rPr>
        <w:t>” means any action, suit, proceeding, arbitration or investigation by or before any Governmental Authority.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w:t>
      </w:r>
      <w:r>
        <w:rPr>
          <w:rFonts w:ascii="Times New Roman" w:cs="Times New Roman" w:eastAsia="Times New Roman" w:hAnsi="Times New Roman"/>
          <w:sz w:val="18"/>
          <w:szCs w:val="18"/>
          <w:color w:val="auto"/>
        </w:rPr>
        <w:t>” has the meaning set forth in the Tax Equity Agreement.</w:t>
      </w:r>
    </w:p>
    <w:p>
      <w:pPr>
        <w:spacing w:after="0" w:line="22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 Amount</w:t>
      </w:r>
      <w:r>
        <w:rPr>
          <w:rFonts w:ascii="Times New Roman" w:cs="Times New Roman" w:eastAsia="Times New Roman" w:hAnsi="Times New Roman"/>
          <w:sz w:val="18"/>
          <w:szCs w:val="18"/>
          <w:color w:val="auto"/>
        </w:rPr>
        <w:t xml:space="preserve">” means, with respect to each Additional Turbine, an amount of money that is equal to the Additional Turbine Holdback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Additional Turbines.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 Deadline</w:t>
      </w:r>
      <w:r>
        <w:rPr>
          <w:rFonts w:ascii="Times New Roman" w:cs="Times New Roman" w:eastAsia="Times New Roman" w:hAnsi="Times New Roman"/>
          <w:sz w:val="18"/>
          <w:szCs w:val="18"/>
          <w:color w:val="auto"/>
        </w:rPr>
        <w:t>” means the earlier of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date on which the final Additional Turbine is Placed in Service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Date.</w:t>
      </w:r>
    </w:p>
    <w:p>
      <w:pPr>
        <w:spacing w:after="0" w:line="20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 Holdback Amount</w:t>
      </w:r>
      <w:r>
        <w:rPr>
          <w:rFonts w:ascii="Times New Roman" w:cs="Times New Roman" w:eastAsia="Times New Roman" w:hAnsi="Times New Roman"/>
          <w:sz w:val="18"/>
          <w:szCs w:val="18"/>
          <w:color w:val="auto"/>
        </w:rPr>
        <w:t>” means an amount of money that is equal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the Base Purchase Price (as adjusted pursuant to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fraction that is the result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total number of Additional Turbines,</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23.</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Model</w:t>
      </w:r>
      <w:r>
        <w:rPr>
          <w:rFonts w:ascii="Times New Roman" w:cs="Times New Roman" w:eastAsia="Times New Roman" w:hAnsi="Times New Roman"/>
          <w:sz w:val="18"/>
          <w:szCs w:val="18"/>
          <w:color w:val="auto"/>
        </w:rPr>
        <w:t>” means the Base Case Model, with the following updated by Seller prior to the Closing Date, in each case on the basis of the Pricing Adjustments:</w:t>
      </w:r>
    </w:p>
    <w:p>
      <w:pPr>
        <w:spacing w:after="0" w:line="160" w:lineRule="exact"/>
        <w:rPr>
          <w:sz w:val="20"/>
          <w:szCs w:val="20"/>
          <w:color w:val="auto"/>
        </w:rPr>
      </w:pPr>
    </w:p>
    <w:p>
      <w:pPr>
        <w:ind w:left="2040" w:hanging="736"/>
        <w:spacing w:after="0"/>
        <w:tabs>
          <w:tab w:leader="none" w:pos="2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D - TE, Input Reference J75;</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C24:C25;</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Scenario, Input Reference I8;</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TE Depr, Input Reference G106-AT106</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C185, C188, C199, and C202;</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P45:WQ45, P47:AZ47, C11 and C43:C54;</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G143:G181 and H143:H181;</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E456:E491;</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G456:G491 and P508:AX508; and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C389:C390.</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calculations shall assume that any expected Additional Turbines will be Placed in Service on the Outside Date.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 specified Person means any other Person that directly or indirectly through one or more intermediaries Controls, is Controlled by or is under common Control with the Person specified. For the purposes of this Agreement, Clearway Energy Group LLC and its direct or indirect subsidiaries, including Seller, the Company and the Black Rock Entities shall not be considered “Affiliates” of Clearway Energy, Inc. and its direct or indirect subsidiaries, including Purchaser.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6" w:name="page57"/>
    <w:bookmarkEnd w:id="56"/>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Ancillary Document</w:t>
      </w:r>
      <w:r>
        <w:rPr>
          <w:rFonts w:ascii="Times New Roman" w:cs="Times New Roman" w:eastAsia="Times New Roman" w:hAnsi="Times New Roman"/>
          <w:sz w:val="18"/>
          <w:szCs w:val="18"/>
          <w:color w:val="auto"/>
        </w:rPr>
        <w:t xml:space="preserve">” means (a) each of the documents set forth on </w:t>
      </w:r>
      <w:r>
        <w:rPr>
          <w:rFonts w:ascii="Times New Roman" w:cs="Times New Roman" w:eastAsia="Times New Roman" w:hAnsi="Times New Roman"/>
          <w:sz w:val="18"/>
          <w:szCs w:val="18"/>
          <w:i w:val="1"/>
          <w:iCs w:val="1"/>
          <w:color w:val="auto"/>
        </w:rPr>
        <w:t>Schedule 1.03</w:t>
      </w:r>
      <w:r>
        <w:rPr>
          <w:rFonts w:ascii="Times New Roman" w:cs="Times New Roman" w:eastAsia="Times New Roman" w:hAnsi="Times New Roman"/>
          <w:sz w:val="18"/>
          <w:szCs w:val="18"/>
          <w:color w:val="auto"/>
        </w:rPr>
        <w:t xml:space="preserve"> and (b) any Financing Document, in each case, other than the Financing Agreement and the Tax Equity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i w:val="1"/>
          <w:iCs w:val="1"/>
          <w:color w:val="auto"/>
        </w:rPr>
        <w:t xml:space="preserve"> Section 5.08(b)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Assignment of Membership Interests</w:t>
      </w:r>
      <w:r>
        <w:rPr>
          <w:rFonts w:ascii="Times New Roman" w:cs="Times New Roman" w:eastAsia="Times New Roman" w:hAnsi="Times New Roman"/>
          <w:sz w:val="18"/>
          <w:szCs w:val="18"/>
          <w:color w:val="auto"/>
        </w:rPr>
        <w:t xml:space="preserve">” means the Assignment and Assumption Agreement, in substantially the form of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attached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Case Model</w:t>
      </w:r>
      <w:r>
        <w:rPr>
          <w:rFonts w:ascii="Times New Roman" w:cs="Times New Roman" w:eastAsia="Times New Roman" w:hAnsi="Times New Roman"/>
          <w:sz w:val="18"/>
          <w:szCs w:val="18"/>
          <w:color w:val="auto"/>
        </w:rPr>
        <w:t xml:space="preserve">” means the financial projections with respect to the Project in file </w:t>
      </w:r>
      <w:r>
        <w:rPr>
          <w:rFonts w:ascii="Times New Roman" w:cs="Times New Roman" w:eastAsia="Times New Roman" w:hAnsi="Times New Roman"/>
          <w:sz w:val="18"/>
          <w:szCs w:val="18"/>
          <w:i w:val="1"/>
          <w:iCs w:val="1"/>
          <w:color w:val="auto"/>
        </w:rPr>
        <w:t>Black Rock Financial Model – CE Vehicle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External CWEN 12142020.xlsb</w:t>
      </w:r>
      <w:r>
        <w:rPr>
          <w:rFonts w:ascii="Times New Roman" w:cs="Times New Roman" w:eastAsia="Times New Roman" w:hAnsi="Times New Roman"/>
          <w:sz w:val="18"/>
          <w:szCs w:val="18"/>
          <w:color w:val="auto"/>
        </w:rPr>
        <w:t>, and attached as</w:t>
      </w:r>
      <w:r>
        <w:rPr>
          <w:rFonts w:ascii="Times New Roman" w:cs="Times New Roman" w:eastAsia="Times New Roman" w:hAnsi="Times New Roman"/>
          <w:sz w:val="18"/>
          <w:szCs w:val="18"/>
          <w:i w:val="1"/>
          <w:iCs w:val="1"/>
          <w:color w:val="auto"/>
        </w:rPr>
        <w:t xml:space="preserve"> Exhibit 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Black Rock Entity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Black Rock Entities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Build-Out Agreement</w:t>
      </w:r>
      <w:r>
        <w:rPr>
          <w:rFonts w:ascii="Times New Roman" w:cs="Times New Roman" w:eastAsia="Times New Roman" w:hAnsi="Times New Roman"/>
          <w:sz w:val="18"/>
          <w:szCs w:val="18"/>
          <w:color w:val="auto"/>
        </w:rPr>
        <w:t xml:space="preserve">” means that certain Build-Out Agreement, to be dated as of the Closing Date, by and among the Project Company, TE HoldCo, Clearway Energy Operating LLC, and each subsequent party that may become a party thereto substantially in the form and to the effect of </w:t>
      </w:r>
      <w:r>
        <w:rPr>
          <w:rFonts w:ascii="Times New Roman" w:cs="Times New Roman" w:eastAsia="Times New Roman" w:hAnsi="Times New Roman"/>
          <w:sz w:val="18"/>
          <w:szCs w:val="18"/>
          <w:i w:val="1"/>
          <w:iCs w:val="1"/>
          <w:color w:val="auto"/>
        </w:rPr>
        <w:t>Exhibit H</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Saturday, Sunday or any day on which banks located in the State of New York or the State of New Jersey are authorized or obligated to close.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Certain Seller Proceeds Agreement</w:t>
      </w:r>
      <w:r>
        <w:rPr>
          <w:rFonts w:ascii="Times New Roman" w:cs="Times New Roman" w:eastAsia="Times New Roman" w:hAnsi="Times New Roman"/>
          <w:sz w:val="18"/>
          <w:szCs w:val="18"/>
          <w:color w:val="auto"/>
        </w:rPr>
        <w:t xml:space="preserve">” means that certain Seller Proceeds Agreement, to be entered into by and between Seller and the Master JV HoldCo, substantially in the form of </w:t>
      </w:r>
      <w:r>
        <w:rPr>
          <w:rFonts w:ascii="Times New Roman" w:cs="Times New Roman" w:eastAsia="Times New Roman" w:hAnsi="Times New Roman"/>
          <w:sz w:val="18"/>
          <w:szCs w:val="18"/>
          <w:i w:val="1"/>
          <w:iCs w:val="1"/>
          <w:color w:val="auto"/>
        </w:rPr>
        <w:t>Exhibit J</w:t>
      </w:r>
      <w:r>
        <w:rPr>
          <w:rFonts w:ascii="Times New Roman" w:cs="Times New Roman" w:eastAsia="Times New Roman" w:hAnsi="Times New Roman"/>
          <w:sz w:val="18"/>
          <w:szCs w:val="18"/>
          <w:color w:val="auto"/>
        </w:rPr>
        <w:t xml:space="preserve"> attached 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Member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Holdco”</w:t>
      </w:r>
      <w:r>
        <w:rPr>
          <w:rFonts w:ascii="Times New Roman" w:cs="Times New Roman" w:eastAsia="Times New Roman" w:hAnsi="Times New Roman"/>
          <w:sz w:val="18"/>
          <w:szCs w:val="18"/>
          <w:color w:val="auto"/>
        </w:rPr>
        <w:t xml:space="preserve">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Units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Schedule Supplement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the meaning set forth in the recitals to this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7" w:name="page58"/>
    <w:bookmarkEnd w:id="57"/>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means all material Contracts and amendments, modifications and supplements thereto, to which the Company or the Black Rock Entities is a party or by which the Company, the Black Rock Entities or any of their assets or properties are bound.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8.15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Constitutive Documents</w:t>
      </w:r>
      <w:r>
        <w:rPr>
          <w:rFonts w:ascii="Times New Roman" w:cs="Times New Roman" w:eastAsia="Times New Roman" w:hAnsi="Times New Roman"/>
          <w:sz w:val="18"/>
          <w:szCs w:val="18"/>
          <w:color w:val="auto"/>
        </w:rPr>
        <w:t>” means the certificate of formation and the limited liability company agreement or partnership agreement of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Schedules</w:t>
      </w:r>
      <w:r>
        <w:rPr>
          <w:rFonts w:ascii="Times New Roman" w:cs="Times New Roman" w:eastAsia="Times New Roman" w:hAnsi="Times New Roman"/>
          <w:sz w:val="18"/>
          <w:szCs w:val="18"/>
          <w:color w:val="auto"/>
        </w:rPr>
        <w:t>” means the schedules to Seller’s and Purchaser’s representations and warranties of even date herewith delivered in connection with the execution and delivery of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Drop Down</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Drop Down Assignment &amp; Assumption Agreement</w:t>
      </w:r>
      <w:r>
        <w:rPr>
          <w:rFonts w:ascii="Times New Roman" w:cs="Times New Roman" w:eastAsia="Times New Roman" w:hAnsi="Times New Roman"/>
          <w:sz w:val="18"/>
          <w:szCs w:val="18"/>
          <w:color w:val="auto"/>
        </w:rPr>
        <w:t xml:space="preserve">” means the assignment of the Acquired Interests to be executed by Purchaser and the Master JV HoldCo immediately upon the Closing, in the form attached hereto as </w:t>
      </w:r>
      <w:r>
        <w:rPr>
          <w:rFonts w:ascii="Times New Roman" w:cs="Times New Roman" w:eastAsia="Times New Roman" w:hAnsi="Times New Roman"/>
          <w:sz w:val="18"/>
          <w:szCs w:val="18"/>
          <w:i w:val="1"/>
          <w:iCs w:val="1"/>
          <w:color w:val="auto"/>
        </w:rPr>
        <w:t>Exhibit 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 Plan</w:t>
      </w:r>
      <w:r>
        <w:rPr>
          <w:rFonts w:ascii="Times New Roman" w:cs="Times New Roman" w:eastAsia="Times New Roman" w:hAnsi="Times New Roman"/>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the Company or the Black Rock Entities or any ERISA Affiliate.</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Attributes</w:t>
      </w:r>
      <w:r>
        <w:rPr>
          <w:rFonts w:ascii="Times New Roman" w:cs="Times New Roman" w:eastAsia="Times New Roman" w:hAnsi="Times New Roman"/>
          <w:sz w:val="18"/>
          <w:szCs w:val="18"/>
          <w:color w:val="auto"/>
        </w:rPr>
        <w:t>” means all environmental air quality credits, green credits, carbon credits, emissions reduction credits, certificates, tags, offsets, allowances, or similar products or rights, howsoever entitled, (a) resulting from the avoidance of the emission of any gas, chemical or other substance, including mercury, nitrogen oxide, sulfur dioxide, carbon dioxide, carbon monoxide, particulate matter or similar pollutants or contaminants of air, water, or soil, gas, chemical, or other substance, and (b) attributable to the generation, purchase, sale or use of renewable energy generated or use of renewable generation technologies by the Project, or otherwise attributable to the Project, including any renewable energy credits (“</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8" w:name="page59"/>
    <w:bookmarkEnd w:id="5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 Affiliate</w:t>
      </w:r>
      <w:r>
        <w:rPr>
          <w:rFonts w:ascii="Times New Roman" w:cs="Times New Roman" w:eastAsia="Times New Roman" w:hAnsi="Times New Roman"/>
          <w:sz w:val="18"/>
          <w:szCs w:val="18"/>
          <w:color w:val="auto"/>
        </w:rPr>
        <w:t xml:space="preserve">” means any entity, trade or business that is a member of a group described in Section 414(b), (c), (m) or (o) of the Code or Section 4001(b)(1) of ERISA that includes Seller, the Company or the Black Rock Entities or that is a member of the same “controlled group” as Seller pursuant to Section 4001(a)(14) of ERISA;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and the Black Rock Entities shall not be considered to be ERISA Affiliates from and after the Closing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Exempt Wholesale Generator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EWG</w:t>
      </w:r>
      <w:r>
        <w:rPr>
          <w:rFonts w:ascii="Times New Roman" w:cs="Times New Roman" w:eastAsia="Times New Roman" w:hAnsi="Times New Roman"/>
          <w:sz w:val="18"/>
          <w:szCs w:val="18"/>
          <w:color w:val="auto"/>
        </w:rPr>
        <w:t>” has the meaning given to such term in PUHCA.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FERC</w:t>
      </w:r>
      <w:r>
        <w:rPr>
          <w:rFonts w:ascii="Times New Roman" w:cs="Times New Roman" w:eastAsia="Times New Roman" w:hAnsi="Times New Roman"/>
          <w:sz w:val="18"/>
          <w:szCs w:val="18"/>
          <w:color w:val="auto"/>
        </w:rPr>
        <w:t>” means the Federal Energy Regulatory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Final Completion</w:t>
      </w:r>
      <w:r>
        <w:rPr>
          <w:rFonts w:ascii="Times New Roman" w:cs="Times New Roman" w:eastAsia="Times New Roman" w:hAnsi="Times New Roman"/>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Final Completion Date</w:t>
      </w:r>
      <w:r>
        <w:rPr>
          <w:rFonts w:ascii="Times New Roman" w:cs="Times New Roman" w:eastAsia="Times New Roman" w:hAnsi="Times New Roman"/>
          <w:sz w:val="18"/>
          <w:szCs w:val="18"/>
          <w:color w:val="auto"/>
        </w:rPr>
        <w:t>” means the date on which Final Completion occurs.</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Agreement</w:t>
      </w:r>
      <w:r>
        <w:rPr>
          <w:rFonts w:ascii="Times New Roman" w:cs="Times New Roman" w:eastAsia="Times New Roman" w:hAnsi="Times New Roman"/>
          <w:sz w:val="18"/>
          <w:szCs w:val="18"/>
          <w:color w:val="auto"/>
        </w:rPr>
        <w:t xml:space="preserve">” means that certain Financing Agreement to be entered into by and among Class B Holdco, as borrower, [***], and the other lenders party thereto, in the form delivered by Seller to Purchaser prior to the Execution Date or as modified from such form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Documents</w:t>
      </w:r>
      <w:r>
        <w:rPr>
          <w:rFonts w:ascii="Times New Roman" w:cs="Times New Roman" w:eastAsia="Times New Roman" w:hAnsi="Times New Roman"/>
          <w:sz w:val="18"/>
          <w:szCs w:val="18"/>
          <w:color w:val="auto"/>
        </w:rPr>
        <w:t>” means, collectively,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Financing Documents (as defined in the Financing Agreement)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Tax Equity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FPA</w:t>
      </w:r>
      <w:r>
        <w:rPr>
          <w:rFonts w:ascii="Times New Roman" w:cs="Times New Roman" w:eastAsia="Times New Roman" w:hAnsi="Times New Roman"/>
          <w:sz w:val="18"/>
          <w:szCs w:val="18"/>
          <w:color w:val="auto"/>
        </w:rPr>
        <w:t>” means the Federal Power Act and all rules and regulations adopted thereunder.</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Fraudulent Action</w:t>
      </w:r>
      <w:r>
        <w:rPr>
          <w:rFonts w:ascii="Times New Roman" w:cs="Times New Roman" w:eastAsia="Times New Roman" w:hAnsi="Times New Roman"/>
          <w:sz w:val="18"/>
          <w:szCs w:val="18"/>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 throughout the relevant periods.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Approval</w:t>
      </w:r>
      <w:r>
        <w:rPr>
          <w:rFonts w:ascii="Times New Roman" w:cs="Times New Roman" w:eastAsia="Times New Roman" w:hAnsi="Times New Roman"/>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PJM, and each Regional Entity, or any court or governmental tribunal.</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HASI</w:t>
      </w:r>
      <w:r>
        <w:rPr>
          <w:rFonts w:ascii="Times New Roman" w:cs="Times New Roman" w:eastAsia="Times New Roman" w:hAnsi="Times New Roman"/>
          <w:sz w:val="18"/>
          <w:szCs w:val="18"/>
          <w:color w:val="auto"/>
        </w:rPr>
        <w:t>” means HA Lighthouse LLC, a Delaware limited liability company.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9" w:name="page60"/>
    <w:bookmarkEnd w:id="59"/>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HASI Purchase Agreement</w:t>
      </w:r>
      <w:r>
        <w:rPr>
          <w:rFonts w:ascii="Times New Roman" w:cs="Times New Roman" w:eastAsia="Times New Roman" w:hAnsi="Times New Roman"/>
          <w:sz w:val="18"/>
          <w:szCs w:val="18"/>
          <w:color w:val="auto"/>
        </w:rPr>
        <w:t>” means the membership interest purchase and sale agreement pursuant to which HASI will acquire the remaining 49.99% of the Class B Units from the Seller simultaneously with the Closing.</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Hazardous Substances</w:t>
      </w:r>
      <w:r>
        <w:rPr>
          <w:rFonts w:ascii="Times New Roman" w:cs="Times New Roman" w:eastAsia="Times New Roman" w:hAnsi="Times New Roman"/>
          <w:sz w:val="18"/>
          <w:szCs w:val="18"/>
          <w:color w:val="auto"/>
        </w:rPr>
        <w:t>” means any substance, element, compound or mixture, whether solid, liquid or gaseous: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which is defined as “hazardous waste” or “hazardous substance” or “pollutant” or “contaminant” under any Environmental Law;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which is otherwise hazardous and is subject to regulation by any Governmental Authority;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petroleum hydrocarbons (other than naturally occurring petroleum hydrocarbons);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polychlorinated biphenyls (PCBs);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asbestos-containing materials (other than naturally occurring asbestos); or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radioactive materials (other than naturally occurring radioactive materials).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all obligations of a Person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borrowed money,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evidenced by notes, bonds, debentures or similar instruments,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for the deferred purchase price of goods or services (other than trade payables or accruals incurred in the ordinary course of business and not past due),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under capital leases,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secured by a Lien on the assets of such Person, whether or not such obligation has been assumed by such Person,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with respect to reimbursement obligations for letters of credit and other similar instruments (whether or not drawn),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respect of any other amount properly characterized as indebtedness in accordance with GAAP.</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 xml:space="preserve">” means any Person claiming indemnification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Indemnifying Party</w:t>
      </w:r>
      <w:r>
        <w:rPr>
          <w:rFonts w:ascii="Times New Roman" w:cs="Times New Roman" w:eastAsia="Times New Roman" w:hAnsi="Times New Roman"/>
          <w:sz w:val="18"/>
          <w:szCs w:val="18"/>
          <w:color w:val="auto"/>
        </w:rPr>
        <w:t xml:space="preserve">” means any Person against whom a claim for indemnification is being asserted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Interconnection Agreement</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Knowledge</w:t>
      </w:r>
      <w:r>
        <w:rPr>
          <w:rFonts w:ascii="Times New Roman" w:cs="Times New Roman" w:eastAsia="Times New Roman" w:hAnsi="Times New Roman"/>
          <w:sz w:val="18"/>
          <w:szCs w:val="18"/>
          <w:color w:val="auto"/>
        </w:rPr>
        <w:t>” means the actual knowledge of [***], after reasonable inquiry of their direct reports.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3.01(n)(i)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 Option Schedule Supplement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 Options</w:t>
      </w:r>
      <w:r>
        <w:rPr>
          <w:rFonts w:ascii="Times New Roman" w:cs="Times New Roman" w:eastAsia="Times New Roman" w:hAnsi="Times New Roman"/>
          <w:sz w:val="18"/>
          <w:szCs w:val="18"/>
          <w:color w:val="auto"/>
        </w:rPr>
        <w:t xml:space="preserve">” means the put options exercisable by each of the counterparties to the Contracts set forth on </w:t>
      </w:r>
      <w:r>
        <w:rPr>
          <w:rFonts w:ascii="Times New Roman" w:cs="Times New Roman" w:eastAsia="Times New Roman" w:hAnsi="Times New Roman"/>
          <w:sz w:val="18"/>
          <w:szCs w:val="18"/>
          <w:i w:val="1"/>
          <w:iCs w:val="1"/>
          <w:color w:val="auto"/>
        </w:rPr>
        <w:t>Schedule 1.02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means any liability, Indebtedness, obligation, commitment, or expense, in each case, requiring either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payment of a monetary amount,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type or fulfillment of an obligation, and in each case whether accrued, absolute, contingent, asserted, matured, unmatured, secured or unsecured.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0" w:name="page61"/>
    <w:bookmarkEnd w:id="60"/>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Major Project Change</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delay in the construction of the Project that is reasonably likely to result in a material delay in achieving commercial operations,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material increase in the costs of, or liability to, the Project that will not be borne by Seller or otherwise paid, extinguished or fully satisfied as of the Closing Date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to the extent not taken into account in the Base Case Model, fact, event, circumstance, condition or change that has a material adverse effect on the expected generation or operating cost of the Project.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Master JV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 the Company or the Black Rock Entities, individually or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economic change generally affecting the international, national or regional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electric generating industry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wholesale markets for electric power;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economic change in markets for commodities or supplies, including electric power, as applicable, used in connection with the Company or the Black Rock Entities;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any change in any Laws (including Environmental Laws), industry standards generally affecting the industry or markets in which the Company or the Black Rock Entities operate or GAAP;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any change in the financial condition of the Company or the Black Rock Entities caused by the transactions contemplated by this Agreement;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any actions to be taken pursuant to or in accordance with this Agreement; or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the announcement or pendency of the transactions contemplated hereby, including any labor union activities or disputes;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fact, event, circumstance, condition, change or effect resulting from clauses (a) through (f) shall nonetheless be taken into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determining whether a Material Adverse Effect has occurred to the extent such changes, events, effects or occurrences have a materially disproportionate impact on the Company or the Black Rock Entities, taken as whole, as compared to similarly situated businesses in the same industry and in the same geographical area, which shall be deemed to include the State of West Virginia.</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MBR Authorization</w:t>
      </w:r>
      <w:r>
        <w:rPr>
          <w:rFonts w:ascii="Times New Roman" w:cs="Times New Roman" w:eastAsia="Times New Roman" w:hAnsi="Times New Roman"/>
          <w:sz w:val="18"/>
          <w:szCs w:val="18"/>
          <w:color w:val="auto"/>
        </w:rPr>
        <w:t>” means an order issued by FERC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authorizing the wholesale sale of electric energy, capacity and specified ancillary services at market-based rates pursuant to Section 205 of the FPA,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accepting a tariff pertaining to such sales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1" w:name="page62"/>
    <w:bookmarkEnd w:id="6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MW</w:t>
      </w:r>
      <w:r>
        <w:rPr>
          <w:rFonts w:ascii="Times New Roman" w:cs="Times New Roman" w:eastAsia="Times New Roman" w:hAnsi="Times New Roman"/>
          <w:sz w:val="18"/>
          <w:szCs w:val="18"/>
          <w:color w:val="auto"/>
        </w:rPr>
        <w:t>” means megawatt (alternating current).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NERC</w:t>
      </w:r>
      <w:r>
        <w:rPr>
          <w:rFonts w:ascii="Times New Roman" w:cs="Times New Roman" w:eastAsia="Times New Roman" w:hAnsi="Times New Roman"/>
          <w:sz w:val="18"/>
          <w:szCs w:val="18"/>
          <w:color w:val="auto"/>
        </w:rPr>
        <w:t>” means the North American Electric Reliability Corporation.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w:t>
      </w:r>
    </w:p>
    <w:p>
      <w:pPr>
        <w:spacing w:after="0" w:line="1" w:lineRule="exact"/>
        <w:rPr>
          <w:sz w:val="20"/>
          <w:szCs w:val="20"/>
          <w:color w:val="auto"/>
        </w:rPr>
      </w:pPr>
    </w:p>
    <w:p>
      <w:pPr>
        <w:jc w:val="both"/>
        <w:ind w:firstLine="8"/>
        <w:spacing w:after="0" w:line="253" w:lineRule="auto"/>
        <w:tabs>
          <w:tab w:leader="none" w:pos="2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87"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means any writ, judgment, injunction, ruling, decision, order or similar direction of any Governmental Authority, whether preliminary or final.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i w:val="1"/>
          <w:iCs w:val="1"/>
          <w:color w:val="auto"/>
        </w:rPr>
        <w:t>Section 7.01(b)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w:t>
      </w:r>
      <w:r>
        <w:rPr>
          <w:rFonts w:ascii="Times New Roman" w:cs="Times New Roman" w:eastAsia="Times New Roman" w:hAnsi="Times New Roman"/>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Exceptions</w:t>
      </w:r>
      <w:r>
        <w:rPr>
          <w:rFonts w:ascii="Times New Roman" w:cs="Times New Roman" w:eastAsia="Times New Roman" w:hAnsi="Times New Roman"/>
          <w:sz w:val="18"/>
          <w:szCs w:val="18"/>
          <w:color w:val="auto"/>
        </w:rPr>
        <w:t>” means, with respect to the Real Property Rights, the following:</w:t>
      </w:r>
    </w:p>
    <w:p>
      <w:pPr>
        <w:spacing w:after="0" w:line="225" w:lineRule="exact"/>
        <w:rPr>
          <w:sz w:val="20"/>
          <w:szCs w:val="20"/>
          <w:color w:val="auto"/>
        </w:rPr>
      </w:pPr>
    </w:p>
    <w:p>
      <w:pPr>
        <w:jc w:val="both"/>
        <w:ind w:firstLine="1304"/>
        <w:spacing w:after="0" w:line="267" w:lineRule="auto"/>
        <w:tabs>
          <w:tab w:leader="none" w:pos="20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for Taxes, which are not due and payable as of the Closing Date or, if due,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Black Rock Entities;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2" w:name="page63"/>
    <w:bookmarkEnd w:id="62"/>
    <w:p>
      <w:pPr>
        <w:jc w:val="both"/>
        <w:ind w:firstLine="1304"/>
        <w:spacing w:after="0" w:line="266" w:lineRule="auto"/>
        <w:tabs>
          <w:tab w:leader="none" w:pos="21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6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mechanic’s and materialmen’s liens for construction in progress and workmen’s, repairmen’s, warehousemen’s and carrier’s liens arising in the ordinary course of business of the Company or the Black Rock Entities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to which there is no existing default on the part of the Company or the Black Rock Entities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are being contested in good faith through appropriate proceedings and as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Black Rock Entities.</w:t>
      </w:r>
    </w:p>
    <w:p>
      <w:pPr>
        <w:spacing w:after="0" w:line="18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mechanic’s, laborer’s, workmen’s, repairmen’s and carrier’s Liens, including all statutory Liens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relating to obligations as to which there is no existing default on the part of the Company or the Black Rock Entities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Seller is contesting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Black Rock Entities, as applicable;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for Taxes, assessments and other governmental charges not yet due and payable or, if due,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Black Rock Entities;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good faith deposits in connection with bids, tenders, leases, contracts or other agreements, including rent security deposits;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pledges or deposits to secure public or statutory obligations or appeal bonds;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in the case of personal property owned or held by the Company or the Black Rock Entities, covenants and other restrictions in the Company Contracts;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Liens relating to or arising from the Financing Documents; and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xml:space="preserve">) any other Liens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w:t>
      </w:r>
    </w:p>
    <w:p>
      <w:pPr>
        <w:spacing w:after="0" w:line="18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PJM</w:t>
      </w:r>
      <w:r>
        <w:rPr>
          <w:rFonts w:ascii="Times New Roman" w:cs="Times New Roman" w:eastAsia="Times New Roman" w:hAnsi="Times New Roman"/>
          <w:sz w:val="18"/>
          <w:szCs w:val="18"/>
          <w:color w:val="auto"/>
        </w:rPr>
        <w:t>” means PJM Interconnection, L.L.C.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Placed in Service</w:t>
      </w:r>
      <w:r>
        <w:rPr>
          <w:rFonts w:ascii="Times New Roman" w:cs="Times New Roman" w:eastAsia="Times New Roman" w:hAnsi="Times New Roman"/>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Pricing Adjustments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3.01(aa)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Prudent Industry Practices</w:t>
      </w:r>
      <w:r>
        <w:rPr>
          <w:rFonts w:ascii="Times New Roman" w:cs="Times New Roman" w:eastAsia="Times New Roman" w:hAnsi="Times New Roman"/>
          <w:sz w:val="18"/>
          <w:szCs w:val="18"/>
          <w:color w:val="auto"/>
        </w:rPr>
        <w:t>” means those practices, methods, standards and procedures as are commonly used by a significant portion of those providing operating services on wind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PSC</w:t>
      </w:r>
      <w:r>
        <w:rPr>
          <w:rFonts w:ascii="Times New Roman" w:cs="Times New Roman" w:eastAsia="Times New Roman" w:hAnsi="Times New Roman"/>
          <w:sz w:val="18"/>
          <w:szCs w:val="18"/>
          <w:color w:val="auto"/>
        </w:rPr>
        <w:t>” means the Public Service Commission of West Virginia.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PUHCA</w:t>
      </w:r>
      <w:r>
        <w:rPr>
          <w:rFonts w:ascii="Times New Roman" w:cs="Times New Roman" w:eastAsia="Times New Roman" w:hAnsi="Times New Roman"/>
          <w:sz w:val="18"/>
          <w:szCs w:val="18"/>
          <w:color w:val="auto"/>
        </w:rPr>
        <w:t>” means the Public Utility Holding Company Act of 2005 and the implementing regulations of the FERC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Indemnified Parties</w:t>
      </w:r>
      <w:r>
        <w:rPr>
          <w:rFonts w:ascii="Times New Roman" w:cs="Times New Roman" w:eastAsia="Times New Roman" w:hAnsi="Times New Roman"/>
          <w:sz w:val="18"/>
          <w:szCs w:val="18"/>
          <w:color w:val="auto"/>
        </w:rPr>
        <w:t>” means Purchaser,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 Guaranty</w:t>
      </w:r>
      <w:r>
        <w:rPr>
          <w:rFonts w:ascii="Times New Roman" w:cs="Times New Roman" w:eastAsia="Times New Roman" w:hAnsi="Times New Roman"/>
          <w:sz w:val="18"/>
          <w:szCs w:val="18"/>
          <w:color w:val="auto"/>
        </w:rPr>
        <w:t xml:space="preserve">” means the Purchaser Parent Guaranty in the form of </w:t>
      </w:r>
      <w:r>
        <w:rPr>
          <w:rFonts w:ascii="Times New Roman" w:cs="Times New Roman" w:eastAsia="Times New Roman" w:hAnsi="Times New Roman"/>
          <w:sz w:val="18"/>
          <w:szCs w:val="18"/>
          <w:i w:val="1"/>
          <w:iCs w:val="1"/>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Real Property Rights</w:t>
      </w:r>
      <w:r>
        <w:rPr>
          <w:rFonts w:ascii="Times New Roman" w:cs="Times New Roman" w:eastAsia="Times New Roman" w:hAnsi="Times New Roman"/>
          <w:sz w:val="18"/>
          <w:szCs w:val="18"/>
          <w:color w:val="auto"/>
        </w:rPr>
        <w:t>” means all real property rights and interests of the Company or the Black Rock Entities, including all options, leases, easements, land use rights, access easements, transmission line easements, rights to ingress and egress, any and all bids, grants, awards, applications, rights to negotiate, and all other rights relating to the Land.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Regional Entity</w:t>
      </w:r>
      <w:r>
        <w:rPr>
          <w:rFonts w:ascii="Times New Roman" w:cs="Times New Roman" w:eastAsia="Times New Roman" w:hAnsi="Times New Roman"/>
          <w:sz w:val="18"/>
          <w:szCs w:val="18"/>
          <w:color w:val="auto"/>
        </w:rPr>
        <w:t>” means ReliabilityFirst Corporation.</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Independent Engineer’s Report,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Environmental Report (as defined in the Tax Equity Agreement),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Wind Resource Report (as defined in the Tax Equity Agreement),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the Insurance Consultant’s Report (as defined in the Tax Equity Agreement),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the Transmission Consultant’s Report and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the Cost Seg Report, including any bring downs of such reports delivered pursuant to the Tax Equity Agreement as of the Closing Date.</w:t>
      </w:r>
    </w:p>
    <w:p>
      <w:pPr>
        <w:spacing w:after="0" w:line="18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means with respect to any Person, the officers, directors, employees, counsel, accountants, financing advisors, consultants and agents of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Fundamental Representations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Indemnified Parties</w:t>
      </w:r>
      <w:r>
        <w:rPr>
          <w:rFonts w:ascii="Times New Roman" w:cs="Times New Roman" w:eastAsia="Times New Roman" w:hAnsi="Times New Roman"/>
          <w:sz w:val="18"/>
          <w:szCs w:val="18"/>
          <w:color w:val="auto"/>
        </w:rPr>
        <w:t>” means Seller,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Substitute 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18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Agreement</w:t>
      </w:r>
      <w:r>
        <w:rPr>
          <w:rFonts w:ascii="Times New Roman" w:cs="Times New Roman" w:eastAsia="Times New Roman" w:hAnsi="Times New Roman"/>
          <w:sz w:val="18"/>
          <w:szCs w:val="18"/>
          <w:color w:val="auto"/>
        </w:rPr>
        <w:t>” means that certain Equity Capital Contribution Agreement to be entered into by and between TE Holdco and Tax Equity Investor, that, with respect to the form of such agreement delivered by Seller to Purchaser prior to the Execution Date, is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same in all respects as to those certain conditions to the obligations of the Tax Equity Investor set forth in Section 5.2 of such form of Tax Equity Agreement,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otherwise in all other respect the same or, to the extent modified, so modified pursuant to the terms and subject to the conditions of </w:t>
      </w:r>
      <w:r>
        <w:rPr>
          <w:rFonts w:ascii="Times New Roman" w:cs="Times New Roman" w:eastAsia="Times New Roman" w:hAnsi="Times New Roman"/>
          <w:sz w:val="18"/>
          <w:szCs w:val="18"/>
          <w:i w:val="1"/>
          <w:iCs w:val="1"/>
          <w:color w:val="auto"/>
        </w:rPr>
        <w:t>Section 5.12(a).</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Funding Date</w:t>
      </w:r>
      <w:r>
        <w:rPr>
          <w:rFonts w:ascii="Times New Roman" w:cs="Times New Roman" w:eastAsia="Times New Roman" w:hAnsi="Times New Roman"/>
          <w:sz w:val="18"/>
          <w:szCs w:val="18"/>
          <w:color w:val="auto"/>
        </w:rPr>
        <w:t>” means the Funding Date (as defined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Investor</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Return</w:t>
      </w:r>
      <w:r>
        <w:rPr>
          <w:rFonts w:ascii="Times New Roman" w:cs="Times New Roman" w:eastAsia="Times New Roman" w:hAnsi="Times New Roman"/>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Company</w:t>
      </w:r>
      <w:r>
        <w:rPr>
          <w:rFonts w:ascii="Times New Roman" w:cs="Times New Roman" w:eastAsia="Times New Roman" w:hAnsi="Times New Roman"/>
          <w:sz w:val="18"/>
          <w:szCs w:val="18"/>
          <w:color w:val="auto"/>
        </w:rPr>
        <w:t>” means Old Republic National Title Insurance Company.</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Policy</w:t>
      </w:r>
      <w:r>
        <w:rPr>
          <w:rFonts w:ascii="Times New Roman" w:cs="Times New Roman" w:eastAsia="Times New Roman" w:hAnsi="Times New Roman"/>
          <w:sz w:val="18"/>
          <w:szCs w:val="18"/>
          <w:color w:val="auto"/>
        </w:rPr>
        <w:t>” means the ALTA 2006 extended coverage owner’s policy of title insurance, issued by the Title Company in favor of the Project Company, subject only to the exceptions set forth in the Title Proforma or otherwise in a form reasonably acceptable to Purchaser.</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5" w:name="page66"/>
    <w:bookmarkEnd w:id="6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Proforma</w:t>
      </w:r>
      <w:r>
        <w:rPr>
          <w:rFonts w:ascii="Times New Roman" w:cs="Times New Roman" w:eastAsia="Times New Roman" w:hAnsi="Times New Roman"/>
          <w:sz w:val="18"/>
          <w:szCs w:val="18"/>
          <w:color w:val="auto"/>
        </w:rPr>
        <w:t>” means the Title Policy Pro Forma (as defined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means the final and temporary regulations promulgated by the U.S. Department of Treasury under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Wind Turbine</w:t>
      </w:r>
      <w:r>
        <w:rPr>
          <w:rFonts w:ascii="Times New Roman" w:cs="Times New Roman" w:eastAsia="Times New Roman" w:hAnsi="Times New Roman"/>
          <w:sz w:val="18"/>
          <w:szCs w:val="18"/>
          <w:color w:val="auto"/>
        </w:rPr>
        <w:t>” has the meaning set forth in the Tax Equity Agreement.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i w:val="1"/>
          <w:iCs w:val="1"/>
          <w:color w:val="auto"/>
        </w:rPr>
        <w:t>Rules of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6" w:lineRule="auto"/>
        <w:tabs>
          <w:tab w:leader="none" w:pos="206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As used herein, the singular shall include the plural, the masculine gender shall include the feminine and neuter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neuter gender shall include the masculine and feminine unless the context otherwise indicates.</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References</w:t>
      </w:r>
      <w:r>
        <w:rPr>
          <w:rFonts w:ascii="Times New Roman" w:cs="Times New Roman" w:eastAsia="Times New Roman" w:hAnsi="Times New Roman"/>
          <w:sz w:val="18"/>
          <w:szCs w:val="18"/>
          <w:color w:val="auto"/>
        </w:rPr>
        <w:t>. References to Articles and Sections are intended to refer to Articles and Sections of this Agreement,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88" w:lineRule="exact"/>
        <w:rPr>
          <w:rFonts w:ascii="Times New Roman" w:cs="Times New Roman" w:eastAsia="Times New Roman" w:hAnsi="Times New Roman"/>
          <w:sz w:val="18"/>
          <w:szCs w:val="18"/>
          <w:color w:val="auto"/>
        </w:rPr>
      </w:pPr>
    </w:p>
    <w:p>
      <w:pPr>
        <w:jc w:val="both"/>
        <w:ind w:firstLine="1304"/>
        <w:spacing w:after="0" w:line="259" w:lineRule="auto"/>
        <w:tabs>
          <w:tab w:leader="none" w:pos="21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Terms</w:t>
      </w:r>
      <w:r>
        <w:rPr>
          <w:rFonts w:ascii="Times New Roman" w:cs="Times New Roman" w:eastAsia="Times New Roman" w:hAnsi="Times New Roman"/>
          <w:sz w:val="18"/>
          <w:szCs w:val="18"/>
          <w:color w:val="auto"/>
        </w:rPr>
        <w:t>. As used in this Agreement and in any certificate or other documents made or delivered pursuant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OF MEMBERSHIP INTERESTS AND CLOSING</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2.01. </w:t>
      </w:r>
      <w:r>
        <w:rPr>
          <w:rFonts w:ascii="Times New Roman" w:cs="Times New Roman" w:eastAsia="Times New Roman" w:hAnsi="Times New Roman"/>
          <w:sz w:val="18"/>
          <w:szCs w:val="18"/>
          <w:b w:val="1"/>
          <w:bCs w:val="1"/>
          <w:i w:val="1"/>
          <w:iCs w:val="1"/>
          <w:color w:val="auto"/>
        </w:rPr>
        <w:t>Purchase and Sale</w:t>
      </w:r>
      <w:r>
        <w:rPr>
          <w:rFonts w:ascii="Times New Roman" w:cs="Times New Roman" w:eastAsia="Times New Roman" w:hAnsi="Times New Roman"/>
          <w:sz w:val="18"/>
          <w:szCs w:val="18"/>
          <w:color w:val="auto"/>
        </w:rPr>
        <w:t>. Seller agrees to sell to Purchaser, and Purchaser agrees to purchase from Seller, all of the right, title and interest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in and to the Acquired Interests at the Closing on the terms and subject to the conditions set forth in this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2.02. </w:t>
      </w:r>
      <w:r>
        <w:rPr>
          <w:rFonts w:ascii="Times New Roman" w:cs="Times New Roman" w:eastAsia="Times New Roman" w:hAnsi="Times New Roman"/>
          <w:sz w:val="18"/>
          <w:szCs w:val="18"/>
          <w:b w:val="1"/>
          <w:bCs w:val="1"/>
          <w:i w:val="1"/>
          <w:iCs w:val="1"/>
          <w:color w:val="auto"/>
        </w:rPr>
        <w:t>Payment of Purchase Price</w:t>
      </w:r>
      <w:r>
        <w:rPr>
          <w:rFonts w:ascii="Times New Roman" w:cs="Times New Roman" w:eastAsia="Times New Roman" w:hAnsi="Times New Roman"/>
          <w:sz w:val="18"/>
          <w:szCs w:val="18"/>
          <w:color w:val="auto"/>
        </w:rPr>
        <w:t>. Upon the terms and subject to the conditions hereinafter set forth, in consideration of the delivery by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Acquired Interests, Purchaser, by wire transfer of immediately available United States funds, shall pay to Seller at the Closing an amount equal to Sixty-Five Million One Hundred Twenty-Five Thousand Six Hundred Ten Dollars and Ninety-Six Cents ($65,125,610.96) (the “</w:t>
      </w:r>
      <w:r>
        <w:rPr>
          <w:rFonts w:ascii="Times New Roman" w:cs="Times New Roman" w:eastAsia="Times New Roman" w:hAnsi="Times New Roman"/>
          <w:sz w:val="18"/>
          <w:szCs w:val="18"/>
          <w:i w:val="1"/>
          <w:iCs w:val="1"/>
          <w:color w:val="auto"/>
        </w:rPr>
        <w:t>Base Purchase Price</w:t>
      </w:r>
      <w:r>
        <w:rPr>
          <w:rFonts w:ascii="Times New Roman" w:cs="Times New Roman" w:eastAsia="Times New Roman" w:hAnsi="Times New Roman"/>
          <w:sz w:val="18"/>
          <w:szCs w:val="18"/>
          <w:color w:val="auto"/>
        </w:rPr>
        <w:t xml:space="preserve">” and, as adjusted pursuant to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Section 2.05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6" w:name="page67"/>
    <w:bookmarkEnd w:id="66"/>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304"/>
        <w:spacing w:after="0" w:line="261" w:lineRule="auto"/>
        <w:tabs>
          <w:tab w:leader="none" w:pos="20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closing of the transactions described in </w:t>
      </w:r>
      <w:r>
        <w:rPr>
          <w:rFonts w:ascii="Times New Roman" w:cs="Times New Roman" w:eastAsia="Times New Roman" w:hAnsi="Times New Roman"/>
          <w:sz w:val="18"/>
          <w:szCs w:val="18"/>
          <w:i w:val="1"/>
          <w:iCs w:val="1"/>
          <w:color w:val="auto"/>
        </w:rPr>
        <w:t>Section 2.01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will take place remotely via the electronic exchange of documents and signatures no later than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two (2) Business Days following the fulfillment or waiver of the conditions set forth in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xml:space="preserve"> (other than those conditions that by their nature are to be satisfied on the Closing Date)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such other time as may be determined by mutual agreement of Seller and Purchaser (the day on which the Closing takes place being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following shall occur:</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8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pay the Purchase Price by wire transfer of immediately available funds to Seller’s account, which account shall be communicated by Seller to Purchaser in writing no later than two (2) Business Days prior to the Closing;</w:t>
      </w:r>
    </w:p>
    <w:p>
      <w:pPr>
        <w:spacing w:after="0" w:line="161"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deliver, or cause to be delivered, to the other Party the certificates and other deliverables pursuant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92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both Parties of the Assignment of Membership Interests and all other agreements, documents, instruments or certificates required to be delivered at or prior to the Closing pursuant to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87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Purchaser a certificate or certificates representing the Acquired Interests, duly endorsed for transfer to Purchaser or accompanied by one or more membership interests powers duly endorsed for transfer to Purchaser.</w:t>
      </w:r>
    </w:p>
    <w:p>
      <w:pPr>
        <w:spacing w:after="0" w:line="15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i w:val="1"/>
          <w:iCs w:val="1"/>
          <w:color w:val="auto"/>
        </w:rPr>
        <w:t>Adjusted Purchase Price Amount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216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less than five (5) Business Days prior to the Closing Date, Seller shall provide to Purchaser an Adjusted Purchase Price Model for purposes of calculating the Adjusted Purchase Price Amount.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Adjusted Purchase Price Amount is positive, then the Base Purchase Price shall be increased by the Adjusted Purchase Price Amount. If the Adjusted Purchase Price Amount is negative, then the Base Purchase Price shall be decreased by the absolute value of the Adjusted Purchase Price Amount. Any adjustment made under this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xml:space="preserve"> will be treated as an adjustment to the Base Purchase Price for Tax purposes.</w:t>
      </w:r>
    </w:p>
    <w:p>
      <w:pPr>
        <w:spacing w:after="0" w:line="173"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shall equal the number set forth in cell PP Adj Table Cell T9 of the Adjusted Purchase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Model.</w:t>
      </w:r>
    </w:p>
    <w:p>
      <w:pPr>
        <w:spacing w:after="0" w:line="20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7"/>
          <w:szCs w:val="17"/>
          <w:b w:val="1"/>
          <w:bCs w:val="1"/>
          <w:i w:val="1"/>
          <w:iCs w:val="1"/>
          <w:color w:val="auto"/>
        </w:rPr>
        <w:t>Post-Closing Additional Turbine Adjustments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2040" w:hanging="736"/>
        <w:spacing w:after="0"/>
        <w:tabs>
          <w:tab w:leader="none" w:pos="2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Closing Date there are no Additional Turbines, then the Base Purchase Price shall not be adjusted by this </w:t>
      </w:r>
      <w:r>
        <w:rPr>
          <w:rFonts w:ascii="Times New Roman" w:cs="Times New Roman" w:eastAsia="Times New Roman" w:hAnsi="Times New Roman"/>
          <w:sz w:val="18"/>
          <w:szCs w:val="18"/>
          <w:i w:val="1"/>
          <w:iCs w:val="1"/>
          <w:color w:val="auto"/>
        </w:rPr>
        <w:t>Section 2.05</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Closing Date there are any Additional Turbines, then: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ind w:left="2660" w:hanging="708"/>
        <w:spacing w:after="0"/>
        <w:tabs>
          <w:tab w:leader="none" w:pos="2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Purchase Price shall be decreased by an amount equal to the Additional Turbine Holdback Amount; and</w:t>
      </w:r>
    </w:p>
    <w:p>
      <w:pPr>
        <w:spacing w:after="0" w:line="22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3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there has been an adjustment to the Base Purchase Price pursuant to Section </w:t>
      </w:r>
      <w:r>
        <w:rPr>
          <w:rFonts w:ascii="Times New Roman" w:cs="Times New Roman" w:eastAsia="Times New Roman" w:hAnsi="Times New Roman"/>
          <w:sz w:val="18"/>
          <w:szCs w:val="18"/>
          <w:i w:val="1"/>
          <w:iCs w:val="1"/>
          <w:color w:val="auto"/>
        </w:rPr>
        <w:t>2.05(b)(i)</w:t>
      </w:r>
      <w:r>
        <w:rPr>
          <w:rFonts w:ascii="Times New Roman" w:cs="Times New Roman" w:eastAsia="Times New Roman" w:hAnsi="Times New Roman"/>
          <w:sz w:val="18"/>
          <w:szCs w:val="18"/>
          <w:color w:val="auto"/>
        </w:rPr>
        <w:t xml:space="preserve"> above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there are any Additional Turbines that have been Placed in Service during the period between the Closing Date and the Additional Turbine Deadline, Purchaser shall calculate the Additional Turbine Funding Amount and, within five (5) Business Days after the Additional Turbine Deadline, Purchaser shall pay to Seller the Additional Turbine Funding Amount.</w:t>
      </w:r>
    </w:p>
    <w:p>
      <w:pPr>
        <w:spacing w:after="0" w:line="179" w:lineRule="exact"/>
        <w:rPr>
          <w:rFonts w:ascii="Times New Roman" w:cs="Times New Roman" w:eastAsia="Times New Roman" w:hAnsi="Times New Roman"/>
          <w:sz w:val="18"/>
          <w:szCs w:val="18"/>
          <w:color w:val="auto"/>
        </w:rPr>
      </w:pPr>
    </w:p>
    <w:p>
      <w:pPr>
        <w:ind w:firstLine="1304"/>
        <w:spacing w:after="0" w:line="284" w:lineRule="auto"/>
        <w:tabs>
          <w:tab w:leader="none" w:pos="207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Additional Turbine Funding Amount</w:t>
      </w:r>
      <w:r>
        <w:rPr>
          <w:rFonts w:ascii="Times New Roman" w:cs="Times New Roman" w:eastAsia="Times New Roman" w:hAnsi="Times New Roman"/>
          <w:sz w:val="18"/>
          <w:szCs w:val="18"/>
          <w:color w:val="auto"/>
        </w:rPr>
        <w:t xml:space="preserve">” shall be an amount of money that is equal to the product of the Additional Turbine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Additional Turbines Placed in Service by the Additional Turbine Deadline.</w:t>
      </w:r>
    </w:p>
    <w:p>
      <w:pPr>
        <w:spacing w:after="0" w:line="15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2.06. </w:t>
      </w:r>
      <w:r>
        <w:rPr>
          <w:rFonts w:ascii="Times New Roman" w:cs="Times New Roman" w:eastAsia="Times New Roman" w:hAnsi="Times New Roman"/>
          <w:sz w:val="18"/>
          <w:szCs w:val="18"/>
          <w:b w:val="1"/>
          <w:bCs w:val="1"/>
          <w:i w:val="1"/>
          <w:iCs w:val="1"/>
          <w:color w:val="auto"/>
        </w:rPr>
        <w:t>Certain Proceeds</w:t>
      </w:r>
      <w:r>
        <w:rPr>
          <w:rFonts w:ascii="Times New Roman" w:cs="Times New Roman" w:eastAsia="Times New Roman" w:hAnsi="Times New Roman"/>
          <w:sz w:val="18"/>
          <w:szCs w:val="18"/>
          <w:color w:val="auto"/>
        </w:rPr>
        <w:t>. Notwithstanding anything herein to the contrary, in the event that anytime following the Final Completion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(if Purchaser receives any such payment separately and not from the Company or a Black Rock Entity) or the Company or any Black Rock Entity receives any payment with respect to any amounts released from any completion escrow account or any amounts released from adequate reserves established at or prior to the Closing Date in accordance with GAAP by the Company or any Black Rock Entity, Purchaser and Seller agree that such amount shall be retained by, or immediately refunded to, Seller.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3.01. </w:t>
      </w:r>
      <w:r>
        <w:rPr>
          <w:rFonts w:ascii="Times New Roman" w:cs="Times New Roman" w:eastAsia="Times New Roman" w:hAnsi="Times New Roman"/>
          <w:sz w:val="18"/>
          <w:szCs w:val="18"/>
          <w:b w:val="1"/>
          <w:bCs w:val="1"/>
          <w:i w:val="1"/>
          <w:iCs w:val="1"/>
          <w:color w:val="auto"/>
        </w:rPr>
        <w:t>Representations and Warranties with respect to Seller, the Company and the Black Rock Entities</w:t>
      </w:r>
      <w:r>
        <w:rPr>
          <w:rFonts w:ascii="Times New Roman" w:cs="Times New Roman" w:eastAsia="Times New Roman" w:hAnsi="Times New Roman"/>
          <w:sz w:val="18"/>
          <w:szCs w:val="18"/>
          <w:color w:val="auto"/>
        </w:rPr>
        <w:t>. Seller hereby represents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warrants to Purchaser, as of the Execution Date and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 xml:space="preserve">Section 3.01 </w:t>
      </w:r>
      <w:r>
        <w:rPr>
          <w:rFonts w:ascii="Times New Roman" w:cs="Times New Roman" w:eastAsia="Times New Roman" w:hAnsi="Times New Roman"/>
          <w:sz w:val="18"/>
          <w:szCs w:val="18"/>
          <w:color w:val="auto"/>
        </w:rPr>
        <w:t>and expressly stated to be made only as of a specified date shall be made solely as of such date:</w:t>
      </w:r>
    </w:p>
    <w:p>
      <w:pPr>
        <w:spacing w:after="0" w:line="171" w:lineRule="exact"/>
        <w:rPr>
          <w:sz w:val="20"/>
          <w:szCs w:val="20"/>
          <w:color w:val="auto"/>
        </w:rPr>
      </w:pPr>
    </w:p>
    <w:p>
      <w:pPr>
        <w:jc w:val="both"/>
        <w:ind w:firstLine="1304"/>
        <w:spacing w:after="0" w:line="268" w:lineRule="auto"/>
        <w:tabs>
          <w:tab w:leader="none" w:pos="203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color w:val="auto"/>
        </w:rPr>
        <w:t>. Seller is a limited liability company duly formed, validly existing and in good standing under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Seller has full power and authority to execute and deliver this Agreement and any other agreements to be executed and delivered by Seller hereunder, and to perform its obligations hereunder and thereunder and to consummate the transactions contemplated hereby and thereby.</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21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All actions or proceedings necessary to authorize the execution and delivery by Seller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3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(the “</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and except as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ind w:firstLine="1304"/>
        <w:spacing w:after="0" w:line="256" w:lineRule="auto"/>
        <w:tabs>
          <w:tab w:leader="none" w:pos="2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color w:val="auto"/>
        </w:rPr>
        <w:t>. The execution, delivery and performance of this Agreement by Seller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 breach of, or constitute a default under, the Constitutive Documents of Seller or the Company or any material Contract to which Seller, or Company Contract to which the Company or the Black Rock Entities,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Acquired Interests or assets or properties of the Company or the Black Rock Entities;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Seller, the Company or the Black Rock Entities or any rights or benefits are to be received by any Person, under any Contract to which Seller, the Company or the Black Rock Entities is a party;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violate in any material respect any applicable Law.</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Approval is required on the part of Seller, the Company or the Black Rock Entities in connection with the execution, delivery and performance of this Agreement or the consummation of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except for Actions or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respect of Environmental Laws that are governed exclusively by </w:t>
      </w:r>
      <w:r>
        <w:rPr>
          <w:rFonts w:ascii="Times New Roman" w:cs="Times New Roman" w:eastAsia="Times New Roman" w:hAnsi="Times New Roman"/>
          <w:sz w:val="18"/>
          <w:szCs w:val="18"/>
          <w:i w:val="1"/>
          <w:iCs w:val="1"/>
          <w:color w:val="auto"/>
        </w:rPr>
        <w:t>Section 3.01(p)(ii)</w:t>
      </w:r>
      <w:r>
        <w:rPr>
          <w:rFonts w:ascii="Times New Roman" w:cs="Times New Roman" w:eastAsia="Times New Roman" w:hAnsi="Times New Roman"/>
          <w:sz w:val="18"/>
          <w:szCs w:val="18"/>
          <w:color w:val="auto"/>
        </w:rPr>
        <w:t>, there are no Actions or Proceedings pending or, to the Knowledge of Seller, threatened, as of the date of this Agreement against Seller, the Company or the Black Rock Entities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affect Seller, the Company or the Black Rock Entities or any of their assets or properties (including the Project), except, solely in respect of Seller, which would not reasonably be expected to have a material adverse effect on Seller’s ability to perform under this Agreement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would reasonably be expected to result in the issuance of an Order restraining, enjoining or otherwise prohibiting or making illegal the consummation of any of the transactions contemplated by this Agreement. None of Seller, the Company or the Black Rock Entities is subject to any Order which materially restricts the operation of its business or which would reasonably be expected to have a Material Adverse Effect.</w:t>
      </w:r>
    </w:p>
    <w:p>
      <w:pPr>
        <w:spacing w:after="0" w:line="18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1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Person has any claim against the Seller,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 Black Rock Entities for a finder’s fee, brokerage commission or similar payment directly or indirectly in connection with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Neither Seller, the Company nor the Black Rock Entities is or, to the Knowledge of Seller,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past six (6) years in material violation of any material Law or Order applicable to the Company, the Black Rock Entities or the Project or by which any of the Acquired Interests are bound or subject. Notwithstanding the foregoing, compliance with Environmental Laws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hereof. None of Seller, the Company nor the Black Rock Entities has received notice from any Governmental Authority of any material violation of any such Law.</w:t>
      </w:r>
    </w:p>
    <w:p>
      <w:pPr>
        <w:spacing w:after="0" w:line="179"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and the Black Rock Entities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70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Black Rock Entities are limited liability companies validly existing and in good standing under the Laws of Delaware, and each has full power and authority to conduct its business as and to the extent now conducted and to own, use and lease its assets. The Company and the Black Rock Entities are duly qualified, licensed or admitted to do business and are in good standing in those jurisdictions specified in </w:t>
      </w:r>
      <w:r>
        <w:rPr>
          <w:rFonts w:ascii="Times New Roman" w:cs="Times New Roman" w:eastAsia="Times New Roman" w:hAnsi="Times New Roman"/>
          <w:sz w:val="18"/>
          <w:szCs w:val="18"/>
          <w:i w:val="1"/>
          <w:iCs w:val="1"/>
          <w:color w:val="auto"/>
        </w:rPr>
        <w:t>Schedule 3.01(i)</w:t>
      </w:r>
      <w:r>
        <w:rPr>
          <w:rFonts w:ascii="Times New Roman" w:cs="Times New Roman" w:eastAsia="Times New Roman" w:hAnsi="Times New Roman"/>
          <w:sz w:val="18"/>
          <w:szCs w:val="18"/>
          <w:color w:val="auto"/>
        </w:rPr>
        <w:t xml:space="preserve"> of the Disclosure Schedules, which are the only jurisdictions in which the ownership, use or leasing of the Company’s assets and the Black Rock Entities’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jc w:val="both"/>
        <w:ind w:left="-460" w:firstLine="1292"/>
        <w:spacing w:after="0" w:line="255" w:lineRule="auto"/>
        <w:tabs>
          <w:tab w:leader="none" w:pos="16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issued and outstanding Acquired Interests are owned directly, beneficially and of record by Seller free and clear of all Liens,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and for the ownership by the Tax Equity Investor following the consummation of the transactions contemplated by the Tax Equity Agreement, all of the issued and outstanding equity interests of the Black Rock Entities are owned directly or indirectly, beneficially and of record by the Company, free and clear of all Liens except as set forth in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All of the equity interests of the Company and the Black Rock Entities have been duly authorized, validly issued and are fully paid and non-assessable and have been issued in compliance with federal and state securities laws.</w:t>
      </w:r>
    </w:p>
    <w:p>
      <w:pPr>
        <w:spacing w:after="0" w:line="188" w:lineRule="exact"/>
        <w:rPr>
          <w:rFonts w:ascii="Times New Roman" w:cs="Times New Roman" w:eastAsia="Times New Roman" w:hAnsi="Times New Roman"/>
          <w:sz w:val="18"/>
          <w:szCs w:val="18"/>
          <w:color w:val="auto"/>
        </w:rPr>
      </w:pPr>
    </w:p>
    <w:p>
      <w:pPr>
        <w:ind w:left="-460" w:right="20" w:firstLine="1292"/>
        <w:spacing w:after="0" w:line="282" w:lineRule="auto"/>
        <w:tabs>
          <w:tab w:leader="none" w:pos="16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each director and officer (or similar positions) of the Company and the Black Rock Entities, and the position with the Company or the Black Rock Entities held by each, are listed in </w:t>
      </w:r>
      <w:r>
        <w:rPr>
          <w:rFonts w:ascii="Times New Roman" w:cs="Times New Roman" w:eastAsia="Times New Roman" w:hAnsi="Times New Roman"/>
          <w:sz w:val="18"/>
          <w:szCs w:val="18"/>
          <w:i w:val="1"/>
          <w:iCs w:val="1"/>
          <w:color w:val="auto"/>
        </w:rPr>
        <w:t>Schedule 3.01(i)(iii)</w:t>
      </w:r>
      <w:r>
        <w:rPr>
          <w:rFonts w:ascii="Times New Roman" w:cs="Times New Roman" w:eastAsia="Times New Roman" w:hAnsi="Times New Roman"/>
          <w:sz w:val="18"/>
          <w:szCs w:val="18"/>
          <w:color w:val="auto"/>
        </w:rPr>
        <w:t xml:space="preserve"> of the Disclosure Schedules.</w:t>
      </w:r>
    </w:p>
    <w:p>
      <w:pPr>
        <w:spacing w:after="0" w:line="161" w:lineRule="exact"/>
        <w:rPr>
          <w:rFonts w:ascii="Times New Roman" w:cs="Times New Roman" w:eastAsia="Times New Roman" w:hAnsi="Times New Roman"/>
          <w:sz w:val="18"/>
          <w:szCs w:val="18"/>
          <w:color w:val="auto"/>
        </w:rPr>
      </w:pPr>
    </w:p>
    <w:p>
      <w:pPr>
        <w:ind w:left="-460" w:firstLine="1292"/>
        <w:spacing w:after="0" w:line="282" w:lineRule="auto"/>
        <w:tabs>
          <w:tab w:leader="none" w:pos="18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prior to the execution of this Agreement, delivered to Purchaser true and complete copies of the Constitutive Documents of the Company and the Black Rock Entities as in effect on the date hereof.</w:t>
      </w:r>
    </w:p>
    <w:p>
      <w:pPr>
        <w:spacing w:after="0" w:line="159" w:lineRule="exact"/>
        <w:rPr>
          <w:rFonts w:ascii="Times New Roman" w:cs="Times New Roman" w:eastAsia="Times New Roman" w:hAnsi="Times New Roman"/>
          <w:sz w:val="18"/>
          <w:szCs w:val="18"/>
          <w:color w:val="auto"/>
        </w:rPr>
      </w:pPr>
    </w:p>
    <w:p>
      <w:pPr>
        <w:jc w:val="both"/>
        <w:ind w:left="-460" w:firstLine="1292"/>
        <w:spacing w:after="0" w:line="257" w:lineRule="auto"/>
        <w:tabs>
          <w:tab w:leader="none" w:pos="15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Part I of </w:t>
      </w:r>
      <w:r>
        <w:rPr>
          <w:rFonts w:ascii="Times New Roman" w:cs="Times New Roman" w:eastAsia="Times New Roman" w:hAnsi="Times New Roman"/>
          <w:sz w:val="18"/>
          <w:szCs w:val="18"/>
          <w:i w:val="1"/>
          <w:iCs w:val="1"/>
          <w:color w:val="auto"/>
        </w:rPr>
        <w:t>Schedule 3.01(i)(v)</w:t>
      </w:r>
      <w:r>
        <w:rPr>
          <w:rFonts w:ascii="Times New Roman" w:cs="Times New Roman" w:eastAsia="Times New Roman" w:hAnsi="Times New Roman"/>
          <w:sz w:val="18"/>
          <w:szCs w:val="18"/>
          <w:color w:val="auto"/>
        </w:rPr>
        <w:t xml:space="preserve"> of the Disclosure Schedules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are no outstanding Options issued or granted by, or binding upon, the Company or the Black Rock Entities for any Person to purchase or sell or otherwise acquire or dispose of any equity interest or other security or interest in the Company or the Black Rock Entities other than as set forth under this Agreement. Except as set forth in Part II of </w:t>
      </w:r>
      <w:r>
        <w:rPr>
          <w:rFonts w:ascii="Times New Roman" w:cs="Times New Roman" w:eastAsia="Times New Roman" w:hAnsi="Times New Roman"/>
          <w:sz w:val="18"/>
          <w:szCs w:val="18"/>
          <w:i w:val="1"/>
          <w:iCs w:val="1"/>
          <w:color w:val="auto"/>
        </w:rPr>
        <w:t>Schedule 3.01(i)(v)</w:t>
      </w:r>
      <w:r>
        <w:rPr>
          <w:rFonts w:ascii="Times New Roman" w:cs="Times New Roman" w:eastAsia="Times New Roman" w:hAnsi="Times New Roman"/>
          <w:sz w:val="18"/>
          <w:szCs w:val="18"/>
          <w:color w:val="auto"/>
        </w:rPr>
        <w:t xml:space="preserve"> of the Disclosure Schedules, none of the Acquired Interests or the membership interests of the Black Rock Entities are subject to any voting trust or voting trust agreement, voting agreement, pledge agreement, buy-sell agreement, right of first refusal, preemptive right or proxy.</w:t>
      </w:r>
    </w:p>
    <w:p>
      <w:pPr>
        <w:spacing w:after="0" w:line="182"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6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i w:val="1"/>
          <w:iCs w:val="1"/>
          <w:color w:val="auto"/>
        </w:rPr>
        <w:t>Section 3.01(i)(ii)</w:t>
      </w:r>
      <w:r>
        <w:rPr>
          <w:rFonts w:ascii="Times New Roman" w:cs="Times New Roman" w:eastAsia="Times New Roman" w:hAnsi="Times New Roman"/>
          <w:sz w:val="18"/>
          <w:szCs w:val="18"/>
          <w:color w:val="auto"/>
        </w:rPr>
        <w:t xml:space="preserve"> and as set forth on </w:t>
      </w:r>
      <w:r>
        <w:rPr>
          <w:rFonts w:ascii="Times New Roman" w:cs="Times New Roman" w:eastAsia="Times New Roman" w:hAnsi="Times New Roman"/>
          <w:sz w:val="18"/>
          <w:szCs w:val="18"/>
          <w:i w:val="1"/>
          <w:iCs w:val="1"/>
          <w:color w:val="auto"/>
        </w:rPr>
        <w:t>Schedule 3.01(i)(vi)</w:t>
      </w:r>
      <w:r>
        <w:rPr>
          <w:rFonts w:ascii="Times New Roman" w:cs="Times New Roman" w:eastAsia="Times New Roman" w:hAnsi="Times New Roman"/>
          <w:sz w:val="18"/>
          <w:szCs w:val="18"/>
          <w:color w:val="auto"/>
        </w:rPr>
        <w:t xml:space="preserve"> of the Disclosure Schedules, neither the Company nor the Black Rock Entities have any subsidiaries, equity interests, interests in joint ventures or general or limited partnerships or other investment or portfolio assets of a similar nature.</w:t>
      </w:r>
    </w:p>
    <w:p>
      <w:pPr>
        <w:spacing w:after="0" w:line="173"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6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3.01(i)(vii)</w:t>
      </w:r>
      <w:r>
        <w:rPr>
          <w:rFonts w:ascii="Times New Roman" w:cs="Times New Roman" w:eastAsia="Times New Roman" w:hAnsi="Times New Roman"/>
          <w:sz w:val="18"/>
          <w:szCs w:val="18"/>
          <w:color w:val="auto"/>
        </w:rPr>
        <w:t xml:space="preserve"> of the Disclosure Schedules, neither the Company nor the Black Rock Entities conduct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business other than the development, ownership, operation and management of the Project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any operations other than those incidental to the ownership, operation, and management of the Project.</w:t>
      </w:r>
    </w:p>
    <w:p>
      <w:pPr>
        <w:spacing w:after="0" w:line="173"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66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records of the Company and the Black Rock Entities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all material respects, accurate and complete and have been maintained in accordance with good business practices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state in reasonable detail and accurately and fairly reflect the activities and transactions of the Company and the Black Rock Entities.</w:t>
      </w:r>
    </w:p>
    <w:p>
      <w:pPr>
        <w:spacing w:after="0" w:line="173"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51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execution and delivery by Seller of the Assignment of Membership Interests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except as set forth in </w:t>
      </w:r>
      <w:r>
        <w:rPr>
          <w:rFonts w:ascii="Times New Roman" w:cs="Times New Roman" w:eastAsia="Times New Roman" w:hAnsi="Times New Roman"/>
          <w:sz w:val="18"/>
          <w:szCs w:val="18"/>
          <w:i w:val="1"/>
          <w:iCs w:val="1"/>
          <w:color w:val="auto"/>
        </w:rPr>
        <w:t>Schedule 3.01(i)(ix)</w:t>
      </w:r>
      <w:r>
        <w:rPr>
          <w:rFonts w:ascii="Times New Roman" w:cs="Times New Roman" w:eastAsia="Times New Roman" w:hAnsi="Times New Roman"/>
          <w:sz w:val="18"/>
          <w:szCs w:val="18"/>
          <w:color w:val="auto"/>
        </w:rPr>
        <w:t xml:space="preserve"> of the Disclosure Schedules.</w:t>
      </w:r>
    </w:p>
    <w:p>
      <w:pPr>
        <w:spacing w:after="0" w:line="39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70" w:name="page71"/>
    <w:bookmarkEnd w:id="70"/>
    <w:p>
      <w:pPr>
        <w:jc w:val="both"/>
        <w:ind w:firstLine="1304"/>
        <w:spacing w:after="0" w:line="259" w:lineRule="auto"/>
        <w:tabs>
          <w:tab w:leader="none" w:pos="214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Undisclosed Liabilities</w:t>
      </w:r>
      <w:r>
        <w:rPr>
          <w:rFonts w:ascii="Times New Roman" w:cs="Times New Roman" w:eastAsia="Times New Roman" w:hAnsi="Times New Roman"/>
          <w:sz w:val="18"/>
          <w:szCs w:val="18"/>
          <w:color w:val="auto"/>
        </w:rPr>
        <w:t>. Neither the Company nor the Black Rock Entities has any liability or obligation that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disclosed on a balance sheet prepared in accordance with GAAP, except for the liabilities and obligations of the Company or the Black Rock Entities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incurred in the ordinary course of business consistent with past practice,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that do not and are not individually or in the aggregate reasonably expected to have a Material Adverse Effect,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that constitute amounts payable under the Company Contracts expressly provided for under existing Company Contracts that have not arisen from a breach thereof or thereunder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i w:val="1"/>
          <w:iCs w:val="1"/>
          <w:color w:val="auto"/>
        </w:rPr>
        <w:t>Schedule 3.01(j)</w:t>
      </w:r>
      <w:r>
        <w:rPr>
          <w:rFonts w:ascii="Times New Roman" w:cs="Times New Roman" w:eastAsia="Times New Roman" w:hAnsi="Times New Roman"/>
          <w:sz w:val="18"/>
          <w:szCs w:val="18"/>
          <w:color w:val="auto"/>
        </w:rPr>
        <w:t xml:space="preserve"> of the Disclosure Schedules.</w:t>
      </w:r>
    </w:p>
    <w:p>
      <w:pPr>
        <w:spacing w:after="0" w:line="179" w:lineRule="exact"/>
        <w:rPr>
          <w:rFonts w:ascii="Times New Roman" w:cs="Times New Roman" w:eastAsia="Times New Roman" w:hAnsi="Times New Roman"/>
          <w:sz w:val="18"/>
          <w:szCs w:val="18"/>
          <w:color w:val="auto"/>
        </w:rPr>
      </w:pPr>
    </w:p>
    <w:p>
      <w:pPr>
        <w:ind w:right="20" w:firstLine="1304"/>
        <w:spacing w:after="0" w:line="286" w:lineRule="auto"/>
        <w:tabs>
          <w:tab w:leader="none" w:pos="211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since the date of formation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Black Rock Entities, as applicable:</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6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federal and all other material Tax Returns required to be filed by or with respect to the Company or the Black Rock Entities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the Company or the Black Rock Entities (or income attributable thereto), and Seller, Affiliates of Seller, the Company and the Black Rock Entities have paid, or made adequate provisions for the payment of, all Taxes, assessments and other charges due or claimed to be due (regardless of whether shown on any Tax Return) from the Company or the Black Rock Entities or for which the Company, Black Rock Entities or the Purchaser could be held liable.</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704"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(i) Actions or Proceedings currently pending or threatened in writing against the Company or the Black Rock Entities or related to their business operations, by any Governmental Authority for the assessment or collection of Taxes, (ii) audits or other examinations of any Tax Return of the Company or the Black Rock Entities (or income attributable thereto) in progress nor has Seller, any Affiliate of Seller, the Company or the Black Rock Entities been notified in writing of any request for examination with respect to the Company or the Black Rock Entities, (iii) claims for assessment or collection of Taxes that have been asserted in writing against Seller or any Affiliate of Seller with respect to the Company or the Black Rock Entities, the Company or the Black Rock Entities (or the income attributable thereto) or</w:t>
      </w:r>
    </w:p>
    <w:p>
      <w:pPr>
        <w:spacing w:after="0" w:line="5"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6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matters under discussion with any Governmental Authority regarding claims for assessment or collection of Taxes against the Company or the Black Rock Entities (or income attributable thereto). There are no outstanding agreements, waivers or consents extending the statutory period of limitations applicable to any Tax of the Company or the Black Rock Entities, and, except as set forth on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color w:val="auto"/>
        </w:rPr>
        <w:t xml:space="preserve"> of the Disclosure Schedules, neither the Company nor the Black Rock Entities has requested any extensions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72"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Black Rock Entities have been properly classified for federal and state income Tax purposes as disregarded entities or partnerships under Treasury Regulations Section 301.7701-2 and -3 and neither Seller nor any Affiliate of Seller has made or caused to be made any election for any Tax purposes to classify the Company or the Black Rock Entities as other than a disregarded entity or partnership.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both"/>
        <w:ind w:left="660" w:firstLine="1292"/>
        <w:spacing w:after="0" w:line="266" w:lineRule="auto"/>
        <w:tabs>
          <w:tab w:leader="none" w:pos="284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Black Rock Entities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7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never entered into or been a party to any “listed transaction,” as defined in Section 1.6011-4(b)(2)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Treasury Regulations.</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6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property owned by either the Company or the Black Rock Entities is “tax exempt use property” within the meaning of Section 168(h) of the Code or “tax exempt bond financed property” within the meaning of Code Section 168(g)(5).</w:t>
      </w:r>
    </w:p>
    <w:p>
      <w:pPr>
        <w:spacing w:after="0" w:line="157" w:lineRule="exact"/>
        <w:rPr>
          <w:rFonts w:ascii="Times New Roman" w:cs="Times New Roman" w:eastAsia="Times New Roman" w:hAnsi="Times New Roman"/>
          <w:sz w:val="18"/>
          <w:szCs w:val="18"/>
          <w:color w:val="auto"/>
        </w:rPr>
      </w:pPr>
    </w:p>
    <w:p>
      <w:pPr>
        <w:ind w:firstLine="1304"/>
        <w:spacing w:after="0" w:line="286" w:lineRule="auto"/>
        <w:tabs>
          <w:tab w:leader="none" w:pos="210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Neither the Company nor the Black Rock Entities has, nor has ever had, any employees or any liability, actual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with respect to any Employee Plan.</w:t>
      </w:r>
    </w:p>
    <w:p>
      <w:pPr>
        <w:spacing w:after="0" w:line="154"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Contracts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firstLine="1292"/>
        <w:spacing w:after="0" w:line="284" w:lineRule="auto"/>
        <w:tabs>
          <w:tab w:leader="none" w:pos="267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3.01(m)(i) </w:t>
      </w:r>
      <w:r>
        <w:rPr>
          <w:rFonts w:ascii="Times New Roman" w:cs="Times New Roman" w:eastAsia="Times New Roman" w:hAnsi="Times New Roman"/>
          <w:sz w:val="18"/>
          <w:szCs w:val="18"/>
          <w:color w:val="auto"/>
        </w:rPr>
        <w:t>of the Disclosure Schedules contains a true, correct and complete list of all Company Contracts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Execution Date, which includes as of such Execution Date:</w:t>
      </w:r>
    </w:p>
    <w:p>
      <w:pPr>
        <w:spacing w:after="0" w:line="160" w:lineRule="exact"/>
        <w:rPr>
          <w:rFonts w:ascii="Times New Roman" w:cs="Times New Roman" w:eastAsia="Times New Roman" w:hAnsi="Times New Roman"/>
          <w:sz w:val="18"/>
          <w:szCs w:val="18"/>
          <w:color w:val="auto"/>
        </w:rPr>
      </w:pPr>
    </w:p>
    <w:p>
      <w:pPr>
        <w:ind w:left="3840" w:hanging="1240"/>
        <w:spacing w:after="0"/>
        <w:tabs>
          <w:tab w:leader="none" w:pos="384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purchase, exchange or sale of electric power, capacity, ancillary services 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Attributes;</w:t>
      </w:r>
    </w:p>
    <w:p>
      <w:pPr>
        <w:spacing w:after="0" w:line="206"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transmission of electric power;</w:t>
      </w:r>
    </w:p>
    <w:p>
      <w:pPr>
        <w:spacing w:after="0" w:line="225"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interconnection Contracts for electricity;</w:t>
      </w:r>
    </w:p>
    <w:p>
      <w:pPr>
        <w:spacing w:after="0" w:line="225"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Seller, HASI or any of their respective Affiliates; and</w:t>
      </w:r>
    </w:p>
    <w:p>
      <w:pPr>
        <w:spacing w:after="0" w:line="225" w:lineRule="exact"/>
        <w:rPr>
          <w:rFonts w:ascii="Times New Roman" w:cs="Times New Roman" w:eastAsia="Times New Roman" w:hAnsi="Times New Roman"/>
          <w:sz w:val="18"/>
          <w:szCs w:val="18"/>
          <w:color w:val="auto"/>
        </w:rPr>
      </w:pPr>
    </w:p>
    <w:p>
      <w:pPr>
        <w:ind w:left="3460" w:hanging="860"/>
        <w:spacing w:after="0"/>
        <w:tabs>
          <w:tab w:leader="none" w:pos="346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Acquired Interests or membership interests of the Company or the Black Rock</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9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has provided Purchaser with, or access to, true, correct and complete copies of all the Company Contracts required to be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and the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and all amendments, modifications and supplements thereto. Each Company Contract constitutes the legal, valid, binding and enforceable obligation of the Company or the Black Rock Entities party thereto and to the Knowledge of Seller, the other parties thereto, except as may be limited by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bankruptcy, insolvency, reorganization, moratorium and other similar laws of general application affecting the rights and remedies of creditors,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general principles of equity (regardless of whether such enforcement is considered in a proceeding in equity or at law). Each Company Contract is in full force and effect.</w:t>
      </w:r>
    </w:p>
    <w:p>
      <w:pPr>
        <w:spacing w:after="0" w:line="186"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1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i w:val="1"/>
          <w:iCs w:val="1"/>
          <w:color w:val="auto"/>
        </w:rPr>
        <w:t>Schedule 3.01(m)(iii)</w:t>
      </w:r>
      <w:r>
        <w:rPr>
          <w:rFonts w:ascii="Times New Roman" w:cs="Times New Roman" w:eastAsia="Times New Roman" w:hAnsi="Times New Roman"/>
          <w:sz w:val="18"/>
          <w:szCs w:val="18"/>
          <w:color w:val="auto"/>
        </w:rPr>
        <w:t xml:space="preserve"> of the Disclosure Schedules, neither the Company nor the Black Rock Entities or, to the Knowledge of Seller, the other parties thereto, is in material violation or material breach of or material default under any Company Contract to which it is a party.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ind w:left="660" w:firstLine="1292"/>
        <w:spacing w:after="0" w:line="261" w:lineRule="auto"/>
        <w:tabs>
          <w:tab w:leader="none" w:pos="289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the Company or any of the Black Rock Entities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1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3.01(n)(i) </w:t>
      </w:r>
      <w:r>
        <w:rPr>
          <w:rFonts w:ascii="Times New Roman" w:cs="Times New Roman" w:eastAsia="Times New Roman" w:hAnsi="Times New Roman"/>
          <w:sz w:val="18"/>
          <w:szCs w:val="18"/>
          <w:color w:val="auto"/>
        </w:rPr>
        <w:t>of the Disclosure Schedules lists all Real Property Rights of the Company and the Black Rock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the real property in which the Company and the Black Rock Entities have Real Property Rights, and appurtenances thereto (collectively, the “</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The Land is free and clear of all Liens except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Permitted Exceptions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as disclosed in the Title Proforma.</w:t>
      </w:r>
    </w:p>
    <w:p>
      <w:pPr>
        <w:spacing w:after="0" w:line="173" w:lineRule="exact"/>
        <w:rPr>
          <w:rFonts w:ascii="Times New Roman" w:cs="Times New Roman" w:eastAsia="Times New Roman" w:hAnsi="Times New Roman"/>
          <w:sz w:val="18"/>
          <w:szCs w:val="18"/>
          <w:color w:val="auto"/>
        </w:rPr>
      </w:pPr>
    </w:p>
    <w:p>
      <w:pPr>
        <w:jc w:val="both"/>
        <w:ind w:left="660" w:right="20" w:firstLine="1292"/>
        <w:spacing w:after="0" w:line="267" w:lineRule="auto"/>
        <w:tabs>
          <w:tab w:leader="none" w:pos="283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3.01(n)(ii)</w:t>
      </w:r>
      <w:r>
        <w:rPr>
          <w:rFonts w:ascii="Times New Roman" w:cs="Times New Roman" w:eastAsia="Times New Roman" w:hAnsi="Times New Roman"/>
          <w:sz w:val="18"/>
          <w:szCs w:val="18"/>
          <w:color w:val="auto"/>
        </w:rPr>
        <w:t xml:space="preserve"> of the Disclosure Schedules, neither the Company nor the Black Rock Entities has entered into any assignment, lease, license, sublease, easement or other agreement granting to any Person any right to the possession, use, occupancy or enjoyment of the Land.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5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the Black Rock Entities has caused or suffered to exist any easement, right-of-way, covenant, condition, restriction, reservation, license, agreement or other similar matter that would materially interfere with the operation of the Project or the business of the Company or the Black Rock Entities in respect of the Real Property Rights, except as set forth on Part I of </w:t>
      </w:r>
      <w:r>
        <w:rPr>
          <w:rFonts w:ascii="Times New Roman" w:cs="Times New Roman" w:eastAsia="Times New Roman" w:hAnsi="Times New Roman"/>
          <w:sz w:val="18"/>
          <w:szCs w:val="18"/>
          <w:i w:val="1"/>
          <w:i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3.01(n)(iii) </w:t>
      </w:r>
      <w:r>
        <w:rPr>
          <w:rFonts w:ascii="Times New Roman" w:cs="Times New Roman" w:eastAsia="Times New Roman" w:hAnsi="Times New Roman"/>
          <w:sz w:val="18"/>
          <w:szCs w:val="18"/>
          <w:color w:val="auto"/>
        </w:rPr>
        <w:t>of the Disclosure Schedules or in the Title Proforma.</w:t>
      </w:r>
    </w:p>
    <w:p>
      <w:pPr>
        <w:spacing w:after="0" w:line="177" w:lineRule="exact"/>
        <w:rPr>
          <w:rFonts w:ascii="Times New Roman" w:cs="Times New Roman" w:eastAsia="Times New Roman" w:hAnsi="Times New Roman"/>
          <w:sz w:val="18"/>
          <w:szCs w:val="18"/>
          <w:color w:val="auto"/>
        </w:rPr>
      </w:pPr>
    </w:p>
    <w:p>
      <w:pPr>
        <w:ind w:left="660" w:firstLine="1292"/>
        <w:spacing w:after="0" w:line="284" w:lineRule="auto"/>
        <w:tabs>
          <w:tab w:leader="none" w:pos="267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Part II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the Real Property Rights are all the real property rights necessary for the Company and the Black Rock Entities to develop, construct, own and operate the Project.</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64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the Company or the Black Rock Entities has received any written notice of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condemnation, eminent domain or similar governmental proceeding materially affecting, individually or in the aggregate, the Project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zoning, ordinance, building, fire, health, or safety code violations materially affecting the Project.</w:t>
      </w:r>
    </w:p>
    <w:p>
      <w:pPr>
        <w:spacing w:after="0" w:line="171" w:lineRule="exact"/>
        <w:rPr>
          <w:rFonts w:ascii="Times New Roman" w:cs="Times New Roman" w:eastAsia="Times New Roman" w:hAnsi="Times New Roman"/>
          <w:sz w:val="18"/>
          <w:szCs w:val="18"/>
          <w:color w:val="auto"/>
        </w:rPr>
      </w:pPr>
    </w:p>
    <w:p>
      <w:pPr>
        <w:jc w:val="both"/>
        <w:ind w:firstLine="1304"/>
        <w:spacing w:after="0" w:line="268" w:lineRule="auto"/>
        <w:tabs>
          <w:tab w:leader="none" w:pos="209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Title Policy</w:t>
      </w:r>
      <w:r>
        <w:rPr>
          <w:rFonts w:ascii="Times New Roman" w:cs="Times New Roman" w:eastAsia="Times New Roman" w:hAnsi="Times New Roman"/>
          <w:sz w:val="18"/>
          <w:szCs w:val="18"/>
          <w:color w:val="auto"/>
        </w:rPr>
        <w:t>. As of the Closing Date, Seller has provided to Purchaser a true and correct copy of the Title Policy covering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 Property Rights. The Real Property Rights are subject only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Permitted Exceptions,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matters disclosed in the Title Policy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matters consented to in writing by Purchaser.</w:t>
      </w:r>
    </w:p>
    <w:p>
      <w:pPr>
        <w:spacing w:after="0" w:line="170"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2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3.01(p)(i)</w:t>
      </w:r>
      <w:r>
        <w:rPr>
          <w:rFonts w:ascii="Times New Roman" w:cs="Times New Roman" w:eastAsia="Times New Roman" w:hAnsi="Times New Roman"/>
          <w:sz w:val="18"/>
          <w:szCs w:val="18"/>
          <w:color w:val="auto"/>
        </w:rPr>
        <w:t xml:space="preserve"> of the Disclosure Schedules, the Company and the Black Rock Entities are in compliance with all Environmental Laws, except to the extent that any such material non-compliance would not reasonably be expected to have a Material Adverse Effect. There is no material violation of any Environmental Law or other material liability arising under any Environmental Law with respect to the Project or the Land.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ind w:left="4" w:firstLine="1292"/>
        <w:spacing w:after="0" w:line="258" w:lineRule="auto"/>
        <w:tabs>
          <w:tab w:leader="none" w:pos="2274"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or Proceedings pending or, to the Knowledge of Seller, threatened, as of the date of this Agreement against Seller (solely in respect of the Project, the Company or the Black Rock Entities), the Company or the Black Rock Entities relating to any material violation of Environmental Law. None of Seller, the Company or the Black Rock Entities has received written notice from any Governmental Authority of any material violation of any Environmental Law in respect of the Project, the Company or the BlackRock Entities (other than those violations that have been resolved or remedied).</w:t>
      </w:r>
    </w:p>
    <w:p>
      <w:pPr>
        <w:spacing w:after="0" w:line="181" w:lineRule="exact"/>
        <w:rPr>
          <w:rFonts w:ascii="Times New Roman" w:cs="Times New Roman" w:eastAsia="Times New Roman" w:hAnsi="Times New Roman"/>
          <w:sz w:val="18"/>
          <w:szCs w:val="18"/>
          <w:color w:val="auto"/>
        </w:rPr>
      </w:pPr>
    </w:p>
    <w:p>
      <w:pPr>
        <w:jc w:val="both"/>
        <w:ind w:left="4" w:firstLine="1292"/>
        <w:spacing w:after="0" w:line="258" w:lineRule="auto"/>
        <w:tabs>
          <w:tab w:leader="none" w:pos="2452"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3.01(p)(iii) </w:t>
      </w:r>
      <w:r>
        <w:rPr>
          <w:rFonts w:ascii="Times New Roman" w:cs="Times New Roman" w:eastAsia="Times New Roman" w:hAnsi="Times New Roman"/>
          <w:sz w:val="18"/>
          <w:szCs w:val="18"/>
          <w:color w:val="auto"/>
        </w:rPr>
        <w:t>of the Disclosure Schedules sets forth all material Permits required pursuant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Environmental Law to be acquired or held by or for the benefit of Seller, the Company or the Black Rock Entities for the development, construction, ownership, use or operation of the Land or the business of the Company and the Black Rock Entities as currently conducted. Except as set forth in </w:t>
      </w:r>
      <w:r>
        <w:rPr>
          <w:rFonts w:ascii="Times New Roman" w:cs="Times New Roman" w:eastAsia="Times New Roman" w:hAnsi="Times New Roman"/>
          <w:sz w:val="18"/>
          <w:szCs w:val="18"/>
          <w:i w:val="1"/>
          <w:iCs w:val="1"/>
          <w:color w:val="auto"/>
        </w:rPr>
        <w:t>Schedule 3.01(p)(iii)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the Company or the Black Rock Entities.</w:t>
      </w:r>
    </w:p>
    <w:p>
      <w:pPr>
        <w:spacing w:after="0" w:line="183" w:lineRule="exact"/>
        <w:rPr>
          <w:rFonts w:ascii="Times New Roman" w:cs="Times New Roman" w:eastAsia="Times New Roman" w:hAnsi="Times New Roman"/>
          <w:sz w:val="18"/>
          <w:szCs w:val="18"/>
          <w:color w:val="auto"/>
        </w:rPr>
      </w:pPr>
    </w:p>
    <w:p>
      <w:pPr>
        <w:jc w:val="both"/>
        <w:ind w:left="4" w:firstLine="1292"/>
        <w:spacing w:after="0" w:line="258" w:lineRule="auto"/>
        <w:tabs>
          <w:tab w:leader="none" w:pos="2037"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3.01(p)(iv)</w:t>
      </w:r>
      <w:r>
        <w:rPr>
          <w:rFonts w:ascii="Times New Roman" w:cs="Times New Roman" w:eastAsia="Times New Roman" w:hAnsi="Times New Roman"/>
          <w:sz w:val="18"/>
          <w:szCs w:val="18"/>
          <w:color w:val="auto"/>
        </w:rPr>
        <w:t xml:space="preserve"> of the Disclosure Schedules, 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the Company and the Black Rock Entities as currently conducted that would be reasonably expected to trigger any obligation of Seller, the Company or the Black Rock Entities under Environmental Laws to report, investigate, remove or remediate such Release.</w:t>
      </w:r>
    </w:p>
    <w:p>
      <w:pPr>
        <w:spacing w:after="0" w:line="185" w:lineRule="exact"/>
        <w:rPr>
          <w:rFonts w:ascii="Times New Roman" w:cs="Times New Roman" w:eastAsia="Times New Roman" w:hAnsi="Times New Roman"/>
          <w:sz w:val="18"/>
          <w:szCs w:val="18"/>
          <w:color w:val="auto"/>
        </w:rPr>
      </w:pPr>
    </w:p>
    <w:p>
      <w:pPr>
        <w:jc w:val="both"/>
        <w:ind w:left="4" w:firstLine="1292"/>
        <w:spacing w:after="0" w:line="266" w:lineRule="auto"/>
        <w:tabs>
          <w:tab w:leader="none" w:pos="2087"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made available to Purchaser all material environmental reports, assessments and documents that are in the possession of Seller, the Company or the Black Rock Entities and that relate to actual or potential material liabilities or obligations under Environmental Laws with respect to the Project or the Land.</w:t>
      </w:r>
    </w:p>
    <w:p>
      <w:pPr>
        <w:spacing w:after="0" w:line="171" w:lineRule="exact"/>
        <w:rPr>
          <w:rFonts w:ascii="Times New Roman" w:cs="Times New Roman" w:eastAsia="Times New Roman" w:hAnsi="Times New Roman"/>
          <w:sz w:val="18"/>
          <w:szCs w:val="18"/>
          <w:color w:val="auto"/>
        </w:rPr>
      </w:pPr>
    </w:p>
    <w:p>
      <w:pPr>
        <w:ind w:left="1404" w:hanging="756"/>
        <w:spacing w:after="0"/>
        <w:tabs>
          <w:tab w:leader="none" w:pos="14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 w:firstLine="1292"/>
        <w:spacing w:after="0" w:line="256" w:lineRule="auto"/>
        <w:tabs>
          <w:tab w:leader="none" w:pos="2172"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3.01(q)(i) </w:t>
      </w:r>
      <w:r>
        <w:rPr>
          <w:rFonts w:ascii="Times New Roman" w:cs="Times New Roman" w:eastAsia="Times New Roman" w:hAnsi="Times New Roman"/>
          <w:sz w:val="18"/>
          <w:szCs w:val="18"/>
          <w:color w:val="auto"/>
        </w:rPr>
        <w:t>of the Disclosure Schedules sets forth all material Permits required pursuant to any Law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or held by or for the benefit of Seller, the Company or the Black Rock Entities in connection with the development, construction, ownership, maintenance, or operation of the Project, except for those required by the Environmental Laws, which are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hereof, or those of a type that are routinely granted on application and for which none of Seller, the Company or the Black Rock Entities has reason to believe will not be obtained in due course. Except as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the Company or the Black Rock Entities.</w:t>
      </w:r>
    </w:p>
    <w:p>
      <w:pPr>
        <w:spacing w:after="0" w:line="182" w:lineRule="exact"/>
        <w:rPr>
          <w:rFonts w:ascii="Times New Roman" w:cs="Times New Roman" w:eastAsia="Times New Roman" w:hAnsi="Times New Roman"/>
          <w:sz w:val="18"/>
          <w:szCs w:val="18"/>
          <w:color w:val="auto"/>
        </w:rPr>
      </w:pPr>
    </w:p>
    <w:p>
      <w:pPr>
        <w:jc w:val="both"/>
        <w:ind w:left="4" w:firstLine="1292"/>
        <w:spacing w:after="0" w:line="254" w:lineRule="auto"/>
        <w:tabs>
          <w:tab w:leader="none" w:pos="220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3.01(q)(ii)</w:t>
      </w:r>
      <w:r>
        <w:rPr>
          <w:rFonts w:ascii="Times New Roman" w:cs="Times New Roman" w:eastAsia="Times New Roman" w:hAnsi="Times New Roman"/>
          <w:sz w:val="18"/>
          <w:szCs w:val="18"/>
          <w:color w:val="auto"/>
        </w:rPr>
        <w:t xml:space="preserve"> of the Disclosure Schedules, and except as relates to compliance with Environmental Laws which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hereof, Seller, the Company and the Black Rock Entities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not in full force and effect,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subject to any Action or Proceeding or unsatisfied condition, in each case of clause (i) and</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not been remedied or resolved.</w:t>
      </w:r>
    </w:p>
    <w:p>
      <w:pPr>
        <w:spacing w:after="0" w:line="200" w:lineRule="exact"/>
        <w:rPr>
          <w:sz w:val="20"/>
          <w:szCs w:val="20"/>
          <w:color w:val="auto"/>
        </w:rPr>
      </w:pPr>
    </w:p>
    <w:p>
      <w:pPr>
        <w:spacing w:after="0" w:line="2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4" w:name="page75"/>
    <w:bookmarkEnd w:id="74"/>
    <w:p>
      <w:pPr>
        <w:ind w:left="660" w:right="20" w:firstLine="1292"/>
        <w:spacing w:after="0" w:line="282" w:lineRule="auto"/>
        <w:tabs>
          <w:tab w:leader="none" w:pos="273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proceedings pending or, to the Knowledge of Seller, threatened which would reasonably be expected to result in the modification, revocation or termination of any material Permit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w:t>
      </w:r>
    </w:p>
    <w:p>
      <w:pPr>
        <w:spacing w:after="0" w:line="157" w:lineRule="exact"/>
        <w:rPr>
          <w:rFonts w:ascii="Times New Roman" w:cs="Times New Roman" w:eastAsia="Times New Roman" w:hAnsi="Times New Roman"/>
          <w:sz w:val="18"/>
          <w:szCs w:val="18"/>
          <w:color w:val="auto"/>
        </w:rPr>
      </w:pPr>
    </w:p>
    <w:p>
      <w:pPr>
        <w:jc w:val="both"/>
        <w:ind w:firstLine="1304"/>
        <w:spacing w:after="0" w:line="262" w:lineRule="auto"/>
        <w:tabs>
          <w:tab w:leader="none" w:pos="213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Affiliate Transactions</w:t>
      </w:r>
      <w:r>
        <w:rPr>
          <w:rFonts w:ascii="Times New Roman" w:cs="Times New Roman" w:eastAsia="Times New Roman" w:hAnsi="Times New Roman"/>
          <w:sz w:val="18"/>
          <w:szCs w:val="18"/>
          <w:color w:val="auto"/>
        </w:rPr>
        <w:t>. Except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for transactions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Contracts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under Company Contracts entered into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for this Agreement, there are no existing or pending transactions, Contracts or Liabilities between or among the Company or the Black Rock Entity on the one hand, and Seller or any of Seller’s Affiliates on the other hand.</w:t>
      </w:r>
    </w:p>
    <w:p>
      <w:pPr>
        <w:spacing w:after="0" w:line="176"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6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Seller, except as set forth in </w:t>
      </w:r>
      <w:r>
        <w:rPr>
          <w:rFonts w:ascii="Times New Roman" w:cs="Times New Roman" w:eastAsia="Times New Roman" w:hAnsi="Times New Roman"/>
          <w:sz w:val="18"/>
          <w:szCs w:val="18"/>
          <w:i w:val="1"/>
          <w:iCs w:val="1"/>
          <w:color w:val="auto"/>
        </w:rPr>
        <w:t>Schedule 3.01(s)(i)</w:t>
      </w:r>
      <w:r>
        <w:rPr>
          <w:rFonts w:ascii="Times New Roman" w:cs="Times New Roman" w:eastAsia="Times New Roman" w:hAnsi="Times New Roman"/>
          <w:sz w:val="18"/>
          <w:szCs w:val="18"/>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Company or the Black Rock Entities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Company or the Black Rock Entities and which is owned by any third party and which, in each case, would reasonably be expected to have a Material Adverse Effect.</w:t>
      </w:r>
    </w:p>
    <w:p>
      <w:pPr>
        <w:spacing w:after="0" w:line="185" w:lineRule="exact"/>
        <w:rPr>
          <w:sz w:val="20"/>
          <w:szCs w:val="20"/>
          <w:color w:val="auto"/>
        </w:rPr>
      </w:pPr>
    </w:p>
    <w:p>
      <w:pPr>
        <w:jc w:val="both"/>
        <w:ind w:left="660" w:firstLine="1292"/>
        <w:spacing w:after="0" w:line="261" w:lineRule="auto"/>
        <w:tabs>
          <w:tab w:leader="none" w:pos="274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Black Rock Entities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84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Company or the Black Rock Entities that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contains a true, correct and complete list of all insurance policies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date of this Agreement that insure the assets and properties and business of the Company or the Black Rock Entities or affect or relate to the ownership of any of the assets and properties the Company or the Black Rock Entities. Seller has delivered to Purchaser detailed summaries of all the insurance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all of which are in full force and effect. None of Seller, the Company or the Black Rock Entities has received any notice with respect to the assets and properties and business of the Company or the Black Rock Entities from any insurer under any insurance policy applicable to the assets and properties and business of the Company or the Black Rock Entities disclaiming coverage, reserving rights with respect to a particular claim or such policy in general or canceling any such policy. All premiums due and payable under all such policies have been paid and the terms of such policies have been complied with by Seller, the Company and the Black Rock Entities, as applicable, in all material respects. The insurance maintained by or on behalf of the Company or the Black Rock Entities is adequate to comply with all Laws and Company Contracts. Except as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ind w:firstLine="1304"/>
        <w:spacing w:after="0" w:line="257" w:lineRule="auto"/>
        <w:tabs>
          <w:tab w:leader="none" w:pos="20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Balance Sheet</w:t>
      </w:r>
      <w:r>
        <w:rPr>
          <w:rFonts w:ascii="Times New Roman" w:cs="Times New Roman" w:eastAsia="Times New Roman" w:hAnsi="Times New Roman"/>
          <w:sz w:val="18"/>
          <w:szCs w:val="18"/>
          <w:color w:val="auto"/>
        </w:rPr>
        <w:t>. Seller has previously delivered to Purchaser true, correct and complete copies of the most recent 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(the “</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of the Company and the Black Rock Entities on a consolidated basis for the quarter ended November 30, 2020 (the “</w:t>
      </w:r>
      <w:r>
        <w:rPr>
          <w:rFonts w:ascii="Times New Roman" w:cs="Times New Roman" w:eastAsia="Times New Roman" w:hAnsi="Times New Roman"/>
          <w:sz w:val="18"/>
          <w:szCs w:val="18"/>
          <w:i w:val="1"/>
          <w:iCs w:val="1"/>
          <w:color w:val="auto"/>
        </w:rPr>
        <w:t>Balance Sheet Date</w:t>
      </w:r>
      <w:r>
        <w:rPr>
          <w:rFonts w:ascii="Times New Roman" w:cs="Times New Roman" w:eastAsia="Times New Roman" w:hAnsi="Times New Roman"/>
          <w:sz w:val="18"/>
          <w:szCs w:val="18"/>
          <w:color w:val="auto"/>
        </w:rPr>
        <w:t>”). The Balance Sheet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fairly presents, in all material respects, the consolidated financial position and consolidated results of operations of the Company and the Black Rock Entities, as of the Balance Sheet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has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been prepared from the books and records of the Company and the Black Rock Entities.</w:t>
      </w:r>
    </w:p>
    <w:p>
      <w:pPr>
        <w:spacing w:after="0" w:line="182" w:lineRule="exact"/>
        <w:rPr>
          <w:rFonts w:ascii="Times New Roman" w:cs="Times New Roman" w:eastAsia="Times New Roman" w:hAnsi="Times New Roman"/>
          <w:sz w:val="18"/>
          <w:szCs w:val="18"/>
          <w:color w:val="auto"/>
        </w:rPr>
      </w:pPr>
    </w:p>
    <w:p>
      <w:pPr>
        <w:ind w:right="20" w:firstLine="1304"/>
        <w:spacing w:after="0" w:line="286" w:lineRule="auto"/>
        <w:tabs>
          <w:tab w:leader="none" w:pos="19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Absence of Changes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since the Balance Sheet Date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otherwise indicated in subparagraph (vii) below) until the date of this Agreement, there has not been:</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9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repurchase, redemption or other acquisition of any equity interests of the Company or the Black Rock Entities or any interests convertible into equity interests of the Company or the Black Rock Entities or any other change in the capitalization or ownership of the Company or the Black Rock Entities, other than as permitted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the Company or the Black Rock Entities into or with any other Person, consolidation of the Company or the Black Rock Entities with any other Person or acquisition by the Company or the Black Rock Entities of all or substantially all of the business or assets of any Person;</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5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by the Company or the Black Rock Entities or any commitment entered into by any member of the Company or the Black Rock Entities with respect to or in contemplation of any liquidation, dissolution, recapitalization, reorganization or other winding up of its business or operations;</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65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accounting policies or practices (including any change in depreciation or amortization policies) of the Company or the Black Rock Entities, except as required under GAAP;</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6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(as lessor), transfer or other disposal of (including any transfers to any of its Affiliates), or mortgage or pledge, or imposition of any Lien on, any of its assets or properties, or interests therein, other than (x) inventory and personal property sold or otherwise disposed of in the ordinary course of business, and (y) Permitted Liens;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3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as permitted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ind w:left="660" w:firstLine="1292"/>
        <w:spacing w:after="0" w:line="282" w:lineRule="auto"/>
        <w:tabs>
          <w:tab w:leader="none" w:pos="268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circumstance, condition or change relating or with respect to the Company or the Black Rock Entities that would reasonably be expected to have, individually or in the aggregate, a Material Adverse Effect.</w:t>
      </w:r>
    </w:p>
    <w:p>
      <w:pPr>
        <w:spacing w:after="0" w:line="157" w:lineRule="exact"/>
        <w:rPr>
          <w:rFonts w:ascii="Times New Roman" w:cs="Times New Roman" w:eastAsia="Times New Roman" w:hAnsi="Times New Roman"/>
          <w:sz w:val="18"/>
          <w:szCs w:val="18"/>
          <w:color w:val="auto"/>
        </w:rPr>
      </w:pPr>
    </w:p>
    <w:p>
      <w:pPr>
        <w:jc w:val="both"/>
        <w:ind w:firstLine="1304"/>
        <w:spacing w:after="0" w:line="268" w:lineRule="auto"/>
        <w:tabs>
          <w:tab w:leader="none" w:pos="19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 Accounts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the names and locations of banks, trust companies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financial institutions at which the Company or the Black Rock Entities maintain bank accounts or safe deposit boxes, in each case listing the type of account, the account number, and the names of all Persons authorized to draw thereupon or who have access thereto.</w:t>
      </w:r>
    </w:p>
    <w:p>
      <w:pPr>
        <w:spacing w:after="0" w:line="17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Status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89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Company is an “exempt wholesale generator,” as such term is defined in PUHCA. As an “exempt wholesale generator,” the Project Company is exempt from PUHCA to the extent provided for in 18 C.F.R. § 366.7(e).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0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each of the Black Rock Entities other than the Project Company will become a “holding company,” as defined in PUHCA, solely with respect to its direct or indirect, as applicable, ownership of the Project Company and, therefore, Company and each of the Black Rock Entities other than the Project Company is entitled to the exemptions and waivers set forth in at 18 C.F.R. § 366.3(a). The Project Company is not a “holding company.”</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9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Purchaser, solely by virtue of its indirect ownership of the Project Company, will not be subject to, or will not lose the exemption from, (A) FERC regulation as an “electric utility company,” a “public-utility company,” or a “holding company,” or an “affiliate” or “subsidiary company” as defined under PUHCA, (B) as “public utility” under the FPA, and (C) PSC regulation as a “public utility”.</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8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the Black Rock Entities is subject to regulation as a “public utility” as that term is defined under FPA Section 201(e),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Project Company shall become a “public utility” under the FPA upon the effectiveness of its MBR Authorization.</w:t>
      </w:r>
    </w:p>
    <w:p>
      <w:pPr>
        <w:spacing w:after="0" w:line="171"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Support Obligations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a true and complete list of all the Support</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w:t>
      </w:r>
    </w:p>
    <w:p>
      <w:pPr>
        <w:spacing w:after="0" w:line="202" w:lineRule="exact"/>
        <w:rPr>
          <w:rFonts w:ascii="Times New Roman" w:cs="Times New Roman" w:eastAsia="Times New Roman" w:hAnsi="Times New Roman"/>
          <w:sz w:val="18"/>
          <w:szCs w:val="18"/>
          <w:color w:val="auto"/>
        </w:rPr>
      </w:pPr>
    </w:p>
    <w:p>
      <w:pPr>
        <w:jc w:val="both"/>
        <w:ind w:firstLine="1304"/>
        <w:spacing w:after="0" w:line="259" w:lineRule="auto"/>
        <w:tabs>
          <w:tab w:leader="none" w:pos="19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Disclosures</w:t>
      </w:r>
      <w:r>
        <w:rPr>
          <w:rFonts w:ascii="Times New Roman" w:cs="Times New Roman" w:eastAsia="Times New Roman" w:hAnsi="Times New Roman"/>
          <w:sz w:val="18"/>
          <w:szCs w:val="18"/>
          <w:color w:val="auto"/>
        </w:rPr>
        <w:t>. To the Knowledge of Seller, no representation or warranty by Seller contained in this Agreement, and no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the Disclosure Schedules or any other document, certificate or other instrument delivered to or to be delivered by or on behalf of Seller, the Company or the Black Rock Entities contains, or will contain any untrue statement of a material fact or omits or will omit to state any material fact necessary, in light of the circumstances under which it was or will be made, in order to make the statements herein or therein not misleading when taken as a whole.</w:t>
      </w:r>
    </w:p>
    <w:p>
      <w:pPr>
        <w:spacing w:after="0" w:line="179" w:lineRule="exact"/>
        <w:rPr>
          <w:sz w:val="20"/>
          <w:szCs w:val="20"/>
          <w:color w:val="auto"/>
        </w:rPr>
      </w:pPr>
    </w:p>
    <w:p>
      <w:pPr>
        <w:jc w:val="both"/>
        <w:ind w:firstLine="1304"/>
        <w:spacing w:after="0" w:line="268" w:lineRule="auto"/>
        <w:tabs>
          <w:tab w:leader="none" w:pos="20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Seller has made available to Purchaser true, complete and correct copies of all Reports delivered pursuant to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Agreement as of the Execution Date. As of the Closing Date, Seller has made available to Purchaser true, correct and complete copies of all Reports that were not made available to Purchaser on the Execution Date.</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Seller has prepared the financial projections for the Company and the Black Rock Entities, which are reflected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Base Case Model (the “</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in good faith. To the Knowledge of Seller, the Projections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are based on reasonable assumptions,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are consistent in all material respects with Prudent Industry Practices,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reflect all material payments to be made by the Company or the Black Rock Entities to Sellers or its Affiliates.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both"/>
        <w:ind w:firstLine="1304"/>
        <w:spacing w:after="0" w:line="254" w:lineRule="auto"/>
        <w:tabs>
          <w:tab w:leader="none" w:pos="203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Other Warranties</w:t>
      </w:r>
      <w:r>
        <w:rPr>
          <w:rFonts w:ascii="Times New Roman" w:cs="Times New Roman" w:eastAsia="Times New Roman" w:hAnsi="Times New Roman"/>
          <w:sz w:val="18"/>
          <w:szCs w:val="18"/>
          <w:color w:val="auto"/>
        </w:rPr>
        <w:t>. EXCEPT FOR THE WARRANTIES SET FORTH HEREIN, THE ACQUIRED INTERESTS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BEING SOLD HEREUNDER ON AN “AS IS,” “WHERE IS” BASIS. THE WARRANTIES SET FORTH HEREIN ARE EXCLUSIVE AND ARE IN LIEU OF ALL OTHER WARRANTIES, WHETHER STATUTORY, WRITTEN OR ORAL, EXPRESS OR IMPLIED; SELLER PROVIDES NO OTHER WARRANTIES WITH RESPECT TO THE ACQUIRED INTERESTS, THE COMPANY, THE PROJECT, THE BLACK ROCK ENTITIES, THE ASSETS OF THE COMPANY, OR THE ASSETS OF THE BLACK ROCK ENTITIES, INCLUDING IMPLIED WARRANTIES OF MERCHANTABILITY AND FITNESS FOR A PARTICULAR PURPOSE, AND WARRANTIES ARISING FROM COURSE OF DEALING OR USAGE OF TRADE, ALL OF WHICH ARE EXPRESSLY DISCLAIMED. EXCEPT AS EXPRESSLY SET FORTH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SELLER MAKES NO REPRESENTATION OR WARRANTY TO PURCHASER WITH RESPECT TO ANY FINANCIAL PROJECTIONS, FORECASTS OR FORWARD LOOKING STATEMENTS OF ANY KIND OR NATURE WHATSOEVER RELATING TO THE COMPANY, THE PROJECT, THE BLACK ROCK ENTITIES, THE ASSETS OF THE COMPANY, THE ASSETS OF THE BLACK ROCK ENTITIES OR THE ACQUIRED INTERESTS.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3.02. </w:t>
      </w:r>
      <w:r>
        <w:rPr>
          <w:rFonts w:ascii="Times New Roman" w:cs="Times New Roman" w:eastAsia="Times New Roman" w:hAnsi="Times New Roman"/>
          <w:sz w:val="18"/>
          <w:szCs w:val="18"/>
          <w:b w:val="1"/>
          <w:bCs w:val="1"/>
          <w:i w:val="1"/>
          <w:iCs w:val="1"/>
          <w:color w:val="auto"/>
        </w:rPr>
        <w:t>Representations and Warranties with Respect to Purchaser</w:t>
      </w:r>
      <w:r>
        <w:rPr>
          <w:rFonts w:ascii="Times New Roman" w:cs="Times New Roman" w:eastAsia="Times New Roman" w:hAnsi="Times New Roman"/>
          <w:sz w:val="18"/>
          <w:szCs w:val="18"/>
          <w:color w:val="auto"/>
        </w:rPr>
        <w:t>. Purchaser hereby represents to Seller as of the Execution Date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Section 3.02</w:t>
      </w:r>
      <w:r>
        <w:rPr>
          <w:rFonts w:ascii="Times New Roman" w:cs="Times New Roman" w:eastAsia="Times New Roman" w:hAnsi="Times New Roman"/>
          <w:sz w:val="18"/>
          <w:szCs w:val="18"/>
          <w:color w:val="auto"/>
        </w:rPr>
        <w:t xml:space="preserve"> and expressly stated to be made only as of a specified date shall be made solely as of such date:</w:t>
      </w:r>
    </w:p>
    <w:p>
      <w:pPr>
        <w:spacing w:after="0" w:line="171" w:lineRule="exact"/>
        <w:rPr>
          <w:sz w:val="20"/>
          <w:szCs w:val="20"/>
          <w:color w:val="auto"/>
        </w:rPr>
      </w:pPr>
    </w:p>
    <w:p>
      <w:pPr>
        <w:jc w:val="both"/>
        <w:ind w:firstLine="1304"/>
        <w:spacing w:after="0" w:line="262" w:lineRule="auto"/>
        <w:tabs>
          <w:tab w:leader="none" w:pos="2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is a limited liability company duly formed,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19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actions or proceedings necessary to authorize the execution and delivery by Purchaser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6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except as would not, individually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197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of this Agreement by Purchaser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 breach of, or constitute a default under, Purchaser’s Constitutive Documents, or any material Contract to which Purchaser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assets or properties of Purchaser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jc w:val="both"/>
        <w:ind w:firstLine="1304"/>
        <w:spacing w:after="0" w:line="262" w:lineRule="auto"/>
        <w:tabs>
          <w:tab w:leader="none" w:pos="198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 and Filings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Permit is required on the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197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There are no Actions or Proceedings pending or, to the knowledge of Purchaser, threatened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1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Purchaser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acquiring the Acquired Interests for its own account and not with a view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an “accredited investor” as such term is defined in Rule 501(a) under the Securities Act of 1933,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sufficient knowledge and experience in financial and business matters so as to be able to evaluate the merits and risk of an investment in the Acquired Interests and is able financially to bear the risks thereof, and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84" w:lineRule="exact"/>
        <w:rPr>
          <w:rFonts w:ascii="Times New Roman" w:cs="Times New Roman" w:eastAsia="Times New Roman" w:hAnsi="Times New Roman"/>
          <w:sz w:val="18"/>
          <w:szCs w:val="18"/>
          <w:color w:val="auto"/>
        </w:rPr>
      </w:pPr>
    </w:p>
    <w:p>
      <w:pPr>
        <w:ind w:firstLine="1304"/>
        <w:spacing w:after="0" w:line="286" w:lineRule="auto"/>
        <w:tabs>
          <w:tab w:leader="none" w:pos="19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Person has any claim against Purchaser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finder’s fee, brokerage commission or similar payment directly or indirectly in connection with the transactions contemplated by this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0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or which have already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no Governmental Approval is required on the part of Purchaser in connection with the execution, delivery and performance of this Agreement or the consummation of the transactions contemplated hereby.</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197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Purchaser is not in material violation of any Law except where any such material violation would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aggregate reasonably be expected to have a material adverse effect on Purchaser’s ability to satisfy its obligations under this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57" w:lineRule="auto"/>
        <w:tabs>
          <w:tab w:leader="none" w:pos="191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Purchaser, or its Representatives, have had the opportunity to conduct all such due diligence investigations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Acquired Interests, the Company, the Black Rock Entities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IN MAKING ITS DECISION TO ACQUIRE THE ACQUIRED INTERESTS AND HAS NOT RELIED ON ANY OTHER STATEMENTS OR ADVICE FROM SELLER OR ITS REPRESENTATIVES.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4.01. </w:t>
      </w:r>
      <w:r>
        <w:rPr>
          <w:rFonts w:ascii="Times New Roman" w:cs="Times New Roman" w:eastAsia="Times New Roman" w:hAnsi="Times New Roman"/>
          <w:sz w:val="18"/>
          <w:szCs w:val="18"/>
          <w:b w:val="1"/>
          <w:bCs w:val="1"/>
          <w:i w:val="1"/>
          <w:iCs w:val="1"/>
          <w:color w:val="auto"/>
        </w:rPr>
        <w:t>Closing Date Conditions Precedent</w:t>
      </w:r>
      <w:r>
        <w:rPr>
          <w:rFonts w:ascii="Times New Roman" w:cs="Times New Roman" w:eastAsia="Times New Roman" w:hAnsi="Times New Roman"/>
          <w:sz w:val="18"/>
          <w:szCs w:val="18"/>
          <w:color w:val="auto"/>
        </w:rPr>
        <w:t>. The obligations of the Parties to sell and purchase, respectively, the Acquired Interests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fulfillment (or waiver by the applicable Party), at or before the Closing, by the applicable Party of each of the following conditions:</w:t>
      </w:r>
    </w:p>
    <w:p>
      <w:pPr>
        <w:spacing w:after="0" w:line="155" w:lineRule="exact"/>
        <w:rPr>
          <w:sz w:val="20"/>
          <w:szCs w:val="20"/>
          <w:color w:val="auto"/>
        </w:rPr>
      </w:pPr>
    </w:p>
    <w:p>
      <w:pPr>
        <w:ind w:left="1900" w:hanging="596"/>
        <w:spacing w:after="0"/>
        <w:tabs>
          <w:tab w:leader="none" w:pos="1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Equity Funding</w:t>
      </w:r>
      <w:r>
        <w:rPr>
          <w:rFonts w:ascii="Times New Roman" w:cs="Times New Roman" w:eastAsia="Times New Roman" w:hAnsi="Times New Roman"/>
          <w:sz w:val="18"/>
          <w:szCs w:val="18"/>
          <w:color w:val="auto"/>
        </w:rPr>
        <w:t>. The Tax Equity Funding Date shall have occurred.</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8" w:lineRule="auto"/>
        <w:tabs>
          <w:tab w:leader="none" w:pos="19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Approvals/Consents</w:t>
      </w:r>
      <w:r>
        <w:rPr>
          <w:rFonts w:ascii="Times New Roman" w:cs="Times New Roman" w:eastAsia="Times New Roman" w:hAnsi="Times New Roman"/>
          <w:sz w:val="18"/>
          <w:szCs w:val="18"/>
          <w:color w:val="auto"/>
        </w:rPr>
        <w:t>. All consents of Purchaser specified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all approvals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specified in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color w:val="auto"/>
        </w:rPr>
        <w:t xml:space="preserve"> of the Disclosure Schedules shall have been obtained by the Purchaser; and all Seller Approvals and Seller Consents shall have been obtained by the Seller and shall in each case be in full force and effect.</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7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No Order shall have been entered which restrains, enjoins or otherwise prohibits or makes illegal the consummation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6"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Seller Representations and Warranties</w:t>
      </w:r>
      <w:r>
        <w:rPr>
          <w:rFonts w:ascii="Times New Roman" w:cs="Times New Roman" w:eastAsia="Times New Roman" w:hAnsi="Times New Roman"/>
          <w:sz w:val="18"/>
          <w:szCs w:val="18"/>
          <w:color w:val="auto"/>
        </w:rPr>
        <w:t>. The representations and warranties made by Seller in this Agreement shall be true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correct in all material respects (except for any of such representations and warranties that are qualified by materiality, including by reference to Material Adverse Effect,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199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Seller Covenants</w:t>
      </w:r>
      <w:r>
        <w:rPr>
          <w:rFonts w:ascii="Times New Roman" w:cs="Times New Roman" w:eastAsia="Times New Roman" w:hAnsi="Times New Roman"/>
          <w:sz w:val="18"/>
          <w:szCs w:val="18"/>
          <w:color w:val="auto"/>
        </w:rPr>
        <w:t>. The covenants and obligations required by this Agreement to be performed or complied with by Seller 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Closing Date have been duly performed or complied with in all material respects.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00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There will not exist on the Closing Date any condition or fact that, individually or in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or would reasonably be expected to result in a Material Adverse Effect.</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Representations and Warranties</w:t>
      </w:r>
      <w:r>
        <w:rPr>
          <w:rFonts w:ascii="Times New Roman" w:cs="Times New Roman" w:eastAsia="Times New Roman" w:hAnsi="Times New Roman"/>
          <w:sz w:val="18"/>
          <w:szCs w:val="18"/>
          <w:color w:val="auto"/>
        </w:rPr>
        <w:t>. The representations and warranties made by Purchaser in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true and correct in all material respects (except for any of such representations and warranties that are qualified by materiality,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219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Covenants</w:t>
      </w:r>
      <w:r>
        <w:rPr>
          <w:rFonts w:ascii="Times New Roman" w:cs="Times New Roman" w:eastAsia="Times New Roman" w:hAnsi="Times New Roman"/>
          <w:sz w:val="18"/>
          <w:szCs w:val="18"/>
          <w:color w:val="auto"/>
        </w:rPr>
        <w:t>. The covenants and obligations required by this Agreement to be performed or complied with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at or before the Closing Date have been duly performed or complied with in all material respects.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94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Certificate</w:t>
      </w:r>
      <w:r>
        <w:rPr>
          <w:rFonts w:ascii="Times New Roman" w:cs="Times New Roman" w:eastAsia="Times New Roman" w:hAnsi="Times New Roman"/>
          <w:sz w:val="18"/>
          <w:szCs w:val="18"/>
          <w:color w:val="auto"/>
        </w:rPr>
        <w:t>. Seller shall have delivered to the Purchaser a certificate in form and substance reasonably satisfactory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Purchaser, certifying that the transactions contemplated by this Agreement are exempt from withholding under Code Sections 1445 and 1446(f).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ind w:right="20" w:firstLine="1304"/>
        <w:spacing w:after="0" w:line="286" w:lineRule="auto"/>
        <w:tabs>
          <w:tab w:leader="none" w:pos="1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HASI Purchase Agreement</w:t>
      </w:r>
      <w:r>
        <w:rPr>
          <w:rFonts w:ascii="Times New Roman" w:cs="Times New Roman" w:eastAsia="Times New Roman" w:hAnsi="Times New Roman"/>
          <w:sz w:val="18"/>
          <w:szCs w:val="18"/>
          <w:color w:val="auto"/>
        </w:rPr>
        <w:t>. HASI shall, simultaneously with or prior to the Closing, have closed the acquisition of the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(other than the Acquired Interests) pursuant to the HASI Purchase Agreement.</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98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Drop-Down Assignment</w:t>
      </w:r>
      <w:r>
        <w:rPr>
          <w:rFonts w:ascii="Times New Roman" w:cs="Times New Roman" w:eastAsia="Times New Roman" w:hAnsi="Times New Roman"/>
          <w:sz w:val="18"/>
          <w:szCs w:val="18"/>
          <w:color w:val="auto"/>
        </w:rPr>
        <w:t>. Each of Purchaser and the Master JV HoldCo shall have delivered executed counterparts to the Drop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Down Assignment &amp; Assumption Agreement, to be held in escrow and released immediately following the Closing.</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1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Certificates; Other Ancillary Documents</w:t>
      </w:r>
      <w:r>
        <w:rPr>
          <w:rFonts w:ascii="Times New Roman" w:cs="Times New Roman" w:eastAsia="Times New Roman" w:hAnsi="Times New Roman"/>
          <w:sz w:val="18"/>
          <w:szCs w:val="18"/>
          <w:color w:val="auto"/>
        </w:rPr>
        <w:t>. Seller shall have delivered to Purchaser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 certificate, dated as of 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executed by an authorized officer of Seller substantially in the form and to the effect of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 certificate, dated as of the Closing Date and executed by the Secretary of Seller substantially in the form and to the effect of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 duly executed counterpart to the Certain Seller Proceeds Agreement, to be held in escrow and released immediately following the Drop Down;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the Title Policy consistent with the Title Proforma in all material respects; and (</w:t>
      </w: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8"/>
          <w:szCs w:val="18"/>
          <w:color w:val="auto"/>
        </w:rPr>
        <w:t>) copies of all recorded documents referred to, or listed as exceptions to title in, the Title Policy and a copy of all other material documents affecting the Real Property Rights. Purchaser shall have delivered to Seller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a certificate, dated as of the Closing Date and executed by an authorized officer of Purchaser substantially in the form and to the effect of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 certificate, dated as of the Closing Date and executed by the Secretary of Purchaser substantially in the form and to the effect of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 executed counterpart to the Build-Out Agreement executed by the Project Company, TE HoldCo, and Clearway Energy Operating LLC, to be held in escrow and released immediately following the Closing; and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an executed counterpart to the Certain Seller Proceeds Agreement, executed by the Master JV HoldCo, to be held in escrow and released immediately following the Drop Down.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5.01. </w:t>
      </w:r>
      <w:r>
        <w:rPr>
          <w:rFonts w:ascii="Times New Roman" w:cs="Times New Roman" w:eastAsia="Times New Roman" w:hAnsi="Times New Roman"/>
          <w:sz w:val="18"/>
          <w:szCs w:val="18"/>
          <w:b w:val="1"/>
          <w:bCs w:val="1"/>
          <w:i w:val="1"/>
          <w:iCs w:val="1"/>
          <w:color w:val="auto"/>
        </w:rPr>
        <w:t>Regulatory and Other Permits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Seller shall, or shall cause the Company and the Black Rock Entities to, as promptly as practicable,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the Project, Project Company shall have obtained MBR Authorization and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Seller shall provide a status report to Purchaser upon the reasonable request of Purchaser. Seller shall use commercially reasonable efforts not to cause its Representatives, or the Company, the Black Rock Entities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 w:cs="Times New Roman" w:eastAsia="Times New Roman" w:hAnsi="Times New Roman"/>
          <w:sz w:val="18"/>
          <w:szCs w:val="18"/>
          <w:i w:val="1"/>
          <w:iCs w:val="1"/>
          <w:color w:val="auto"/>
        </w:rPr>
        <w:t>Section 5.01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5.02. </w:t>
      </w:r>
      <w:r>
        <w:rPr>
          <w:rFonts w:ascii="Times New Roman" w:cs="Times New Roman" w:eastAsia="Times New Roman" w:hAnsi="Times New Roman"/>
          <w:sz w:val="18"/>
          <w:szCs w:val="18"/>
          <w:b w:val="1"/>
          <w:bCs w:val="1"/>
          <w:i w:val="1"/>
          <w:iCs w:val="1"/>
          <w:color w:val="auto"/>
        </w:rPr>
        <w:t>Access to Information</w:t>
      </w:r>
      <w:r>
        <w:rPr>
          <w:rFonts w:ascii="Times New Roman" w:cs="Times New Roman" w:eastAsia="Times New Roman" w:hAnsi="Times New Roman"/>
          <w:sz w:val="18"/>
          <w:szCs w:val="18"/>
          <w:color w:val="auto"/>
        </w:rPr>
        <w:t>. From the Execution Date and continuing until the earlier of the termination of this Agreement or 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Seller shall at all reasonable times and upon reasonable prior notice during regular business hours make the properties, assets, books and records pertaining to the Company and the Black Rock Entities, the Acquired Interests or the Project reasonably available for examination, inspection and review by Purchaser and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Purchaser and its Representatives shall be subject to customary confidentiality undertakings with respect to any such information or access made available,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for any site visit or access, Purchaser and its Representatives will agree to comply with all safety and other policies and procedures disclosed to it while conducting such visit or access,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Purchaser’s and its Representatives’ inspections and examinations shall not unreasonably disrupt the normal operations of Seller, the Company, the Black Rock Entities or the Project and shall be at Purchaser’s sole cost and expense;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neither Purchaser, nor any of its Affiliates or Representatives, shall conduct any intrusive environmental site assessment or activities with respect to the Company or the Black Rock Entities or their properties without the prior written consent of Seller.</w:t>
      </w:r>
    </w:p>
    <w:p>
      <w:pPr>
        <w:spacing w:after="0" w:line="18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5.03.</w:t>
      </w:r>
      <w:r>
        <w:rPr>
          <w:sz w:val="20"/>
          <w:szCs w:val="20"/>
          <w:color w:val="auto"/>
        </w:rPr>
        <w:tab/>
      </w:r>
      <w:r>
        <w:rPr>
          <w:rFonts w:ascii="Times New Roman" w:cs="Times New Roman" w:eastAsia="Times New Roman" w:hAnsi="Times New Roman"/>
          <w:sz w:val="17"/>
          <w:szCs w:val="17"/>
          <w:b w:val="1"/>
          <w:bCs w:val="1"/>
          <w:i w:val="1"/>
          <w:iCs w:val="1"/>
          <w:color w:val="auto"/>
        </w:rPr>
        <w:t>Notification of Certain Matters</w:t>
      </w:r>
    </w:p>
    <w:p>
      <w:pPr>
        <w:spacing w:after="0" w:line="229" w:lineRule="exact"/>
        <w:rPr>
          <w:sz w:val="20"/>
          <w:szCs w:val="20"/>
          <w:color w:val="auto"/>
        </w:rPr>
      </w:pPr>
    </w:p>
    <w:p>
      <w:pPr>
        <w:jc w:val="both"/>
        <w:ind w:firstLine="8"/>
        <w:spacing w:after="0" w:line="252" w:lineRule="auto"/>
        <w:tabs>
          <w:tab w:leader="none" w:pos="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have the right (but not the obligation) to deliver to Purchaser, not later than ten (10) Business Days prior to the Closing Date, a supplement to the Disclosure Schedules (the “Closing </w:t>
      </w:r>
      <w:r>
        <w:rPr>
          <w:rFonts w:ascii="Times New Roman" w:cs="Times New Roman" w:eastAsia="Times New Roman" w:hAnsi="Times New Roman"/>
          <w:sz w:val="18"/>
          <w:szCs w:val="18"/>
          <w:i w:val="1"/>
          <w:iCs w:val="1"/>
          <w:color w:val="auto"/>
        </w:rPr>
        <w:t>Date Schedule Supplement</w:t>
      </w:r>
      <w:r>
        <w:rPr>
          <w:rFonts w:ascii="Times New Roman" w:cs="Times New Roman" w:eastAsia="Times New Roman" w:hAnsi="Times New Roman"/>
          <w:sz w:val="18"/>
          <w:szCs w:val="18"/>
          <w:color w:val="auto"/>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exercise of any Land Option by the applicable counterparty, Seller shall be entitled to supplement </w:t>
      </w:r>
      <w:r>
        <w:rPr>
          <w:rFonts w:ascii="Times New Roman" w:cs="Times New Roman" w:eastAsia="Times New Roman" w:hAnsi="Times New Roman"/>
          <w:sz w:val="18"/>
          <w:szCs w:val="18"/>
          <w:i w:val="1"/>
          <w:iCs w:val="1"/>
          <w:color w:val="auto"/>
        </w:rPr>
        <w:t>Schedule 3.01(n)(i)</w:t>
      </w:r>
      <w:r>
        <w:rPr>
          <w:rFonts w:ascii="Times New Roman" w:cs="Times New Roman" w:eastAsia="Times New Roman" w:hAnsi="Times New Roman"/>
          <w:sz w:val="18"/>
          <w:szCs w:val="18"/>
          <w:color w:val="auto"/>
        </w:rPr>
        <w:t xml:space="preserve"> of the Disclosure Schedules with respect to the Real Property Right Seller acquired in accordance with such Land Option (each such update, a “</w:t>
      </w:r>
      <w:r>
        <w:rPr>
          <w:rFonts w:ascii="Times New Roman" w:cs="Times New Roman" w:eastAsia="Times New Roman" w:hAnsi="Times New Roman"/>
          <w:sz w:val="18"/>
          <w:szCs w:val="18"/>
          <w:i w:val="1"/>
          <w:iCs w:val="1"/>
          <w:color w:val="auto"/>
        </w:rPr>
        <w:t>Land Option Schedule Supplement</w:t>
      </w:r>
      <w:r>
        <w:rPr>
          <w:rFonts w:ascii="Times New Roman" w:cs="Times New Roman" w:eastAsia="Times New Roman" w:hAnsi="Times New Roman"/>
          <w:sz w:val="18"/>
          <w:szCs w:val="18"/>
          <w:color w:val="auto"/>
        </w:rPr>
        <w:t xml:space="preserve">”), and the Disclosure Schedules shall be deemed to be modified, supplemented and amended to include the items listed in such Land Option Schedule Supplement for all purposes hereunder.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but shall not be deemed to have irrevocably waived its right to indemnification under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with respect to such item.</w:t>
      </w:r>
    </w:p>
    <w:p>
      <w:pPr>
        <w:spacing w:after="0" w:line="18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5.04.</w:t>
      </w:r>
      <w:r>
        <w:rPr>
          <w:sz w:val="20"/>
          <w:szCs w:val="20"/>
          <w:color w:val="auto"/>
        </w:rPr>
        <w:tab/>
      </w:r>
      <w:r>
        <w:rPr>
          <w:rFonts w:ascii="Times New Roman" w:cs="Times New Roman" w:eastAsia="Times New Roman" w:hAnsi="Times New Roman"/>
          <w:sz w:val="18"/>
          <w:szCs w:val="18"/>
          <w:b w:val="1"/>
          <w:bCs w:val="1"/>
          <w:i w:val="1"/>
          <w:iCs w:val="1"/>
          <w:color w:val="auto"/>
        </w:rPr>
        <w:t>Conduct of Business.</w:t>
      </w:r>
    </w:p>
    <w:p>
      <w:pPr>
        <w:spacing w:after="0" w:line="229" w:lineRule="exact"/>
        <w:rPr>
          <w:sz w:val="20"/>
          <w:szCs w:val="20"/>
          <w:color w:val="auto"/>
        </w:rPr>
      </w:pPr>
    </w:p>
    <w:p>
      <w:pPr>
        <w:jc w:val="both"/>
        <w:ind w:firstLine="1304"/>
        <w:spacing w:after="0" w:line="258" w:lineRule="auto"/>
        <w:tabs>
          <w:tab w:leader="none" w:pos="191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Seller shall cause the Company and each Black Rock Entity to operate and carry on its business in the ordinary course and substantially as operated prior to the date of this Agreement. Without limiting the foregoing, Seller shall cause the Company and each Black Rock Entity to perform in all material respects the Company Contracts to which the Company or such Black Rock Entity is a party and use commercially reasonable efforts consistent with good business practice to preserve the goodwill of the suppliers, contractors, lenders, Governmental Authorities, licensors, customers, distributors and others having business relations with the Company and the Black Rock Entities.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jc w:val="both"/>
        <w:ind w:firstLine="1304"/>
        <w:spacing w:after="0" w:line="261" w:lineRule="auto"/>
        <w:tabs>
          <w:tab w:leader="none" w:pos="197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i w:val="1"/>
          <w:iCs w:val="1"/>
          <w:color w:val="auto"/>
        </w:rPr>
        <w:t>Section 5.04(a)</w:t>
      </w:r>
      <w:r>
        <w:rPr>
          <w:rFonts w:ascii="Times New Roman" w:cs="Times New Roman" w:eastAsia="Times New Roman" w:hAnsi="Times New Roman"/>
          <w:sz w:val="18"/>
          <w:szCs w:val="18"/>
          <w:color w:val="auto"/>
        </w:rPr>
        <w:t>, except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i w:val="1"/>
          <w:iCs w:val="1"/>
          <w:color w:val="auto"/>
        </w:rPr>
        <w:t>Schedule 5.04(b)</w:t>
      </w:r>
      <w:r>
        <w:rPr>
          <w:rFonts w:ascii="Times New Roman" w:cs="Times New Roman" w:eastAsia="Times New Roman" w:hAnsi="Times New Roman"/>
          <w:sz w:val="18"/>
          <w:szCs w:val="18"/>
          <w:color w:val="auto"/>
        </w:rPr>
        <w:t xml:space="preserve"> of the Disclosure Schedules,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xml:space="preserve">) as would not be reasonably likely to cause a Major Project Change (with respect to clauses (vi), (vii), (ix) and (xiv) of this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xml:space="preserve"> only) or (</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 with the express written approval of Purchaser, such approval not to be unreasonably withheld or delayed, during the Interim Period, Seller shall cause the Company and each Black Rock Entity not to:</w:t>
      </w:r>
    </w:p>
    <w:p>
      <w:pPr>
        <w:spacing w:after="0" w:line="181" w:lineRule="exact"/>
        <w:rPr>
          <w:rFonts w:ascii="Times New Roman" w:cs="Times New Roman" w:eastAsia="Times New Roman" w:hAnsi="Times New Roman"/>
          <w:sz w:val="18"/>
          <w:szCs w:val="18"/>
          <w:color w:val="auto"/>
        </w:rPr>
      </w:pPr>
    </w:p>
    <w:p>
      <w:pPr>
        <w:ind w:left="660" w:firstLine="1292"/>
        <w:spacing w:after="0" w:line="282" w:lineRule="auto"/>
        <w:tabs>
          <w:tab w:leader="none" w:pos="272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any of the Acquired Interests to any Person or create or suffer to exist any Lien upon the Acquired Interests other than Permitted Liens set forth in clauses (f) and (g) of the definition thereof;</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73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grant, deliver or sell or authorize or propose to issue, grant, deliver or sell, or purchase or propose to purchase, any of its equity securities (other than the sale and delivery of the Acquired Interests pursuant to this Agreement and the issuance of membership interests in TE Holdco pursuant to the Tax Equity Agreement),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this Agreement and the Tax Equity Agreement);</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a distribution by the Company to Seller of up to Thirty-Six Million Dollars ($36,000,000) from the proceeds received by Class B HoldCo from the closing of the debt financing under the Financing Agreement;</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80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enter into any commitment with respect to or in contemplation of any liquidation, dissolution, recapitalization, reorganization, or other winding up of business or operations;</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or establish any new accounts with financial institutions;</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its business or operations, except such changes as may be required to comply with 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66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capital expenditures (or enter into any Contracts in respect of material capital expenditures) other than as contemplated by the Company Contracts;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64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Company or any Black Rock Entity into or with any other Person or consolidate Company or any Black Rock Entity with any other Person;</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63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for the purchase of real property or any interests therein (other than upon the exercise of a Land Option by the applicable counterparty);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3" w:name="page84"/>
    <w:bookmarkEnd w:id="83"/>
    <w:p>
      <w:pPr>
        <w:ind w:left="-460" w:firstLine="1292"/>
        <w:spacing w:after="0" w:line="282" w:lineRule="auto"/>
        <w:tabs>
          <w:tab w:leader="none" w:pos="158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enter into any Contract for any acquisitions (by merger, consolidation, or acquisition of stock or assets or any other business combination), of any Person or business or any division thereof;</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56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(as lessor), transfer or otherwise dispose of (including any transfers to any of its Affiliates), or mortgage or pledge, or impose or suffer to be imposed any Lien on, any of its assets or properties, other than (x) inventory and personal property sold or otherwise disposed of in the ordinary course of business, and (y) Permitted Liens;</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51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guarantee, or agree to create, incur, assume or guarantee any Indebtedness for borrowed money or enter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any Indebtedness arising from the Financing Agreement or any of the Financing Documents;</w:t>
      </w:r>
    </w:p>
    <w:p>
      <w:pPr>
        <w:spacing w:after="0" w:line="179" w:lineRule="exact"/>
        <w:rPr>
          <w:rFonts w:ascii="Times New Roman" w:cs="Times New Roman" w:eastAsia="Times New Roman" w:hAnsi="Times New Roman"/>
          <w:sz w:val="18"/>
          <w:szCs w:val="18"/>
          <w:color w:val="auto"/>
        </w:rPr>
      </w:pPr>
    </w:p>
    <w:p>
      <w:pPr>
        <w:ind w:left="1560" w:hanging="728"/>
        <w:spacing w:after="0"/>
        <w:tabs>
          <w:tab w:leader="none" w:pos="1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any Person, except in the ordinary course of business consistent with past practice;</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62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59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Company or any Black Rock Entity;</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60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policies or practices (including any change in depreciation or amortization policies) of Company or any Black Rock Entity, except as required under Seller’s GAAP or revalue any of the Company’s or any Black Rock Entity’s assets;</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65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change an annual accounting period, adopt or change any accounting method with respect to Taxes, file any amended Tax Return, enter into any closing agreement, settle or compromise any proceeding with respect to any Tax claim or assessment, surrender any right to claim a refund of Taxes, consent to any extension or waiver of the limitation period applicable to any material Tax claim or assessment relating to Company or the Black Rock Entities, or take any other similar action relating to the filing of any Tax Return or the payment of any Tax;</w:t>
      </w:r>
    </w:p>
    <w:p>
      <w:pPr>
        <w:spacing w:after="0" w:line="183"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63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self-report or mitigation plan to FERC, NERC or the applicable Regional Entity in connection with the violation or possible violation of an applicable NERC reliability standard without first notifying Purchaser and providing information regarding the violation or possible violation;</w:t>
      </w:r>
    </w:p>
    <w:p>
      <w:pPr>
        <w:spacing w:after="0" w:line="175" w:lineRule="exact"/>
        <w:rPr>
          <w:rFonts w:ascii="Times New Roman" w:cs="Times New Roman" w:eastAsia="Times New Roman" w:hAnsi="Times New Roman"/>
          <w:sz w:val="18"/>
          <w:szCs w:val="18"/>
          <w:color w:val="auto"/>
        </w:rPr>
      </w:pPr>
    </w:p>
    <w:p>
      <w:pPr>
        <w:ind w:left="-460" w:right="20" w:firstLine="1292"/>
        <w:spacing w:after="0" w:line="282" w:lineRule="auto"/>
        <w:tabs>
          <w:tab w:leader="none" w:pos="155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discharge, settle or satisfy any claims, liabilities or obligations prior to the same being due in excess of $50,000 in the aggregate other than as due and payable in the ordinary course under material Contracts;</w:t>
      </w:r>
    </w:p>
    <w:p>
      <w:pPr>
        <w:spacing w:after="0" w:line="161" w:lineRule="exact"/>
        <w:rPr>
          <w:rFonts w:ascii="Times New Roman" w:cs="Times New Roman" w:eastAsia="Times New Roman" w:hAnsi="Times New Roman"/>
          <w:sz w:val="18"/>
          <w:szCs w:val="18"/>
          <w:color w:val="auto"/>
        </w:rPr>
      </w:pPr>
    </w:p>
    <w:p>
      <w:pPr>
        <w:ind w:left="1540" w:hanging="708"/>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employees or adopt any Employee Plans;</w:t>
      </w:r>
    </w:p>
    <w:p>
      <w:pPr>
        <w:spacing w:after="0" w:line="225" w:lineRule="exact"/>
        <w:rPr>
          <w:rFonts w:ascii="Times New Roman" w:cs="Times New Roman" w:eastAsia="Times New Roman" w:hAnsi="Times New Roman"/>
          <w:sz w:val="18"/>
          <w:szCs w:val="18"/>
          <w:color w:val="auto"/>
        </w:rPr>
      </w:pPr>
    </w:p>
    <w:p>
      <w:pPr>
        <w:ind w:left="1540" w:hanging="708"/>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joint venture;</w:t>
      </w:r>
    </w:p>
    <w:p>
      <w:pPr>
        <w:spacing w:after="0" w:line="225" w:lineRule="exact"/>
        <w:rPr>
          <w:rFonts w:ascii="Times New Roman" w:cs="Times New Roman" w:eastAsia="Times New Roman" w:hAnsi="Times New Roman"/>
          <w:sz w:val="18"/>
          <w:szCs w:val="18"/>
          <w:color w:val="auto"/>
        </w:rPr>
      </w:pPr>
    </w:p>
    <w:p>
      <w:pPr>
        <w:ind w:left="1540" w:hanging="708"/>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insurance coverage substantially equivalent to its insurance coverage as in effect on the date hereof; or</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84" w:name="page85"/>
    <w:bookmarkEnd w:id="84"/>
    <w:p>
      <w:pPr>
        <w:ind w:left="2620" w:hanging="668"/>
        <w:spacing w:after="0"/>
        <w:tabs>
          <w:tab w:leader="none" w:pos="2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make any commitment to do any of the foregoing in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the foregoing, (a) Seller may permit the Black Rock Entities to take commercially reasonable actions with respect to emergency situations so long as Seller shall, upon receipt of notice of any such actions, promptly inform Purchaser of any such actions taken outside the ordinary course of business and (b) upon the exercise of a Land Option by the applicable counterparty, Seller may permit or cause one or more of the Black Rock Entities to enter into a Contract with such counterparty to acquire the applicable Real Property Right in accordance with the terms of the Land Option.</w:t>
      </w:r>
    </w:p>
    <w:p>
      <w:pPr>
        <w:spacing w:after="0" w:line="181" w:lineRule="exact"/>
        <w:rPr>
          <w:sz w:val="20"/>
          <w:szCs w:val="20"/>
          <w:color w:val="auto"/>
        </w:rPr>
      </w:pPr>
    </w:p>
    <w:p>
      <w:pPr>
        <w:ind w:firstLine="1304"/>
        <w:spacing w:after="0" w:line="284" w:lineRule="auto"/>
        <w:tabs>
          <w:tab w:leader="none" w:pos="207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 xml:space="preserve">, an action taken by Seller or any of the Black Rock Entities in accordance with </w:t>
      </w:r>
      <w:r>
        <w:rPr>
          <w:rFonts w:ascii="Times New Roman" w:cs="Times New Roman" w:eastAsia="Times New Roman" w:hAnsi="Times New Roman"/>
          <w:sz w:val="18"/>
          <w:szCs w:val="18"/>
          <w:i w:val="1"/>
          <w:iCs w:val="1"/>
          <w:color w:val="auto"/>
        </w:rPr>
        <w:t>Section 5.12</w:t>
      </w:r>
      <w:r>
        <w:rPr>
          <w:rFonts w:ascii="Times New Roman" w:cs="Times New Roman" w:eastAsia="Times New Roman" w:hAnsi="Times New Roman"/>
          <w:sz w:val="18"/>
          <w:szCs w:val="18"/>
          <w:color w:val="auto"/>
        </w:rPr>
        <w:t xml:space="preserve"> shall in no event be deemed a breach of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5.05. </w:t>
      </w:r>
      <w:r>
        <w:rPr>
          <w:rFonts w:ascii="Times New Roman" w:cs="Times New Roman" w:eastAsia="Times New Roman" w:hAnsi="Times New Roman"/>
          <w:sz w:val="18"/>
          <w:szCs w:val="18"/>
          <w:b w:val="1"/>
          <w:bCs w:val="1"/>
          <w:i w:val="1"/>
          <w:iCs w:val="1"/>
          <w:color w:val="auto"/>
        </w:rPr>
        <w:t>Fulfillment of Conditions</w:t>
      </w:r>
      <w:r>
        <w:rPr>
          <w:rFonts w:ascii="Times New Roman" w:cs="Times New Roman" w:eastAsia="Times New Roman" w:hAnsi="Times New Roman"/>
          <w:sz w:val="18"/>
          <w:szCs w:val="18"/>
          <w:color w:val="auto"/>
        </w:rPr>
        <w:t>. Each Party shall take all commercially reasonable steps necessary or desirable, and proceed diligently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faith to satisfy each other condition to the obligations of the other Party contained in this 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5.06. </w:t>
      </w:r>
      <w:r>
        <w:rPr>
          <w:rFonts w:ascii="Times New Roman" w:cs="Times New Roman" w:eastAsia="Times New Roman" w:hAnsi="Times New Roman"/>
          <w:sz w:val="18"/>
          <w:szCs w:val="18"/>
          <w:b w:val="1"/>
          <w:bCs w:val="1"/>
          <w:i w:val="1"/>
          <w:iCs w:val="1"/>
          <w:color w:val="auto"/>
        </w:rPr>
        <w:t>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During the Interim Period, each Party shall use its commercially reasonable efforts to execute and deliver,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shall not apply.</w:t>
      </w:r>
    </w:p>
    <w:p>
      <w:pPr>
        <w:spacing w:after="0" w:line="18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5.07.</w:t>
      </w:r>
      <w:r>
        <w:rPr>
          <w:sz w:val="20"/>
          <w:szCs w:val="20"/>
          <w:color w:val="auto"/>
        </w:rPr>
        <w:tab/>
      </w:r>
      <w:r>
        <w:rPr>
          <w:rFonts w:ascii="Times New Roman" w:cs="Times New Roman" w:eastAsia="Times New Roman" w:hAnsi="Times New Roman"/>
          <w:sz w:val="17"/>
          <w:szCs w:val="17"/>
          <w:b w:val="1"/>
          <w:bCs w:val="1"/>
          <w:i w:val="1"/>
          <w:iCs w:val="1"/>
          <w:color w:val="auto"/>
        </w:rPr>
        <w:t xml:space="preserve">Purchaser’s Substitute Support Obligations </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227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acknowledges that Seller and certain Affiliates have provided certain credit support pursuant to the support obligations and related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From the Execution Date and continuing until the earlier of the termination of this Agreement or the replacement and/or release of each Support Obligation, Purchaser shall use commercially reasonable efforts to negotiate a replacement of each Support Obligations (each, a “</w:t>
      </w:r>
      <w:r>
        <w:rPr>
          <w:rFonts w:ascii="Times New Roman" w:cs="Times New Roman" w:eastAsia="Times New Roman" w:hAnsi="Times New Roman"/>
          <w:sz w:val="18"/>
          <w:szCs w:val="18"/>
          <w:i w:val="1"/>
          <w:iCs w:val="1"/>
          <w:color w:val="auto"/>
        </w:rPr>
        <w:t>Substitute Support Obligation</w:t>
      </w:r>
      <w:r>
        <w:rPr>
          <w:rFonts w:ascii="Times New Roman" w:cs="Times New Roman" w:eastAsia="Times New Roman" w:hAnsi="Times New Roman"/>
          <w:sz w:val="18"/>
          <w:szCs w:val="18"/>
          <w:color w:val="auto"/>
        </w:rPr>
        <w:t>”) with the beneficiary thereof and/or to effect the complete and unconditional release of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Closing Date.</w:t>
      </w:r>
    </w:p>
    <w:p>
      <w:pPr>
        <w:spacing w:after="0" w:line="18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3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Execution Date and continuing until the earlier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termination of this Agreement,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effective date of the applicable Substitute Support Obligation,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date such Support Obligation is no longer required to be maintained under the applicable Company Contract, Seller shall, and shall cause its Affiliates to,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maintain each Support Obligation in full force and effect in accordance with the requirements under the applicable Company Contract,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perform all of its obligations under each Support Obligation and (</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 xml:space="preserve">) not amend, modify, grant a waiver in respect of, cancel or consent to the termination of such Support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solely to the extent that a Support Obligation cannot be released, terminated or replaced by Purchaser at or prior to the Closing (a “</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i w:val="1"/>
          <w:iCs w:val="1"/>
          <w:color w:val="auto"/>
        </w:rPr>
        <w:t>Section 5.07(c)</w:t>
      </w:r>
      <w:r>
        <w:rPr>
          <w:rFonts w:ascii="Times New Roman" w:cs="Times New Roman" w:eastAsia="Times New Roman" w:hAnsi="Times New Roman"/>
          <w:sz w:val="18"/>
          <w:szCs w:val="18"/>
          <w:color w:val="auto"/>
        </w:rPr>
        <w:t xml:space="preserve"> below, Seller shall, and shall cause its Affiliates to, perform its obligations with respect to such Retained Support Obligation.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5" w:name="page86"/>
    <w:bookmarkEnd w:id="85"/>
    <w:p>
      <w:pPr>
        <w:jc w:val="both"/>
        <w:ind w:firstLine="1304"/>
        <w:spacing w:after="0" w:line="254" w:lineRule="auto"/>
        <w:tabs>
          <w:tab w:leader="none" w:pos="211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there is a Retained Support Obligation, Purchaser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the Company or the Black Rock Entities conducted, existing or arising after the Closing (including as a result of any draw or demand for or making of any payment by Seller or any such Affiliate of Seller under any Support Obligation),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diligently continue to seek the release, termination and replacement of such Support Obligation,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reimburse Seller or its Affiliates (as applicable) for the actual out-of-pocket costs of, and fees paid by, Seller or its Affiliates in maintaining such Retained Support Obligation accruing at any time after the Closing and until such time as such Retained Support Obligation is replaced;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indemnification obligations under clause (i) shall not affect Seller’s indemnification obligations under </w:t>
      </w:r>
      <w:r>
        <w:rPr>
          <w:rFonts w:ascii="Times New Roman" w:cs="Times New Roman" w:eastAsia="Times New Roman" w:hAnsi="Times New Roman"/>
          <w:sz w:val="18"/>
          <w:szCs w:val="18"/>
          <w:i w:val="1"/>
          <w:iCs w:val="1"/>
          <w:color w:val="auto"/>
        </w:rPr>
        <w:t>Section 5.07(d)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4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replacement of a Support Obligation by Purchaser for the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the Company or the Black Rock Entities conducted, existing or arising at or prior to the Closing (including as a result of any draw or demand for or making of any payment by Purchaser or any such Affiliate of Purchaser under any Substitute Support Obligation).</w:t>
      </w:r>
    </w:p>
    <w:p>
      <w:pPr>
        <w:spacing w:after="0" w:line="183"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5.08.</w:t>
      </w:r>
      <w:r>
        <w:rPr>
          <w:sz w:val="20"/>
          <w:szCs w:val="20"/>
          <w:color w:val="auto"/>
        </w:rPr>
        <w:tab/>
      </w:r>
      <w:r>
        <w:rPr>
          <w:rFonts w:ascii="Times New Roman" w:cs="Times New Roman" w:eastAsia="Times New Roman" w:hAnsi="Times New Roman"/>
          <w:sz w:val="17"/>
          <w:szCs w:val="17"/>
          <w:b w:val="1"/>
          <w:bCs w:val="1"/>
          <w:i w:val="1"/>
          <w:iCs w:val="1"/>
          <w:color w:val="auto"/>
        </w:rPr>
        <w:t>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224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use transfer, controlling interest transfer, recording, stock transfer, real property transfer, value-added and other similar Taxes and fees (“</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if any, arising out of or in connection with the consummation of the transactions contemplated by this Agreement shall be shared equally by Purchaser and Seller. Tax Returns that must be filed in connection with such Transfer Taxes shall be prepared and filed by the Party primarily or customarily responsible under applicable local Law for filing such Tax Returns, and such Party will use commercially reasonable efforts to provide such Tax Returns to the other Party at least ten (10) business days prior to the date such Tax Returns are due to be filed.</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Taxes, personal property Taxes and similar obligations of the Company and Black Rock Entities imposed by any Governmental Authority that are due or become due for Tax periods within which the Closing Date occurs shall be apportioned between Seller for the pre-Closing Date period (which shall include the Closing Date), on the one hand, and the Company (or the applicable Black Rock Entity) for the post-Closing Date period, on the other hand, as of the Closing Date, based upon the actual number of days of the Tax period that have elapsed before and after the Closing Date, and any income Taxes imposed on the Company and the Black Rock Entities shall be allocated between the pre-Closing Date period and the post-Closing Date period as though a taxable year of the Company and the Black Rock Entities (as applicable) has ended on (and includes) the Closing Date (collectively, the “</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xml:space="preserve">”). Seller shall be responsible for the portion of such Apportioned Obligations attributable to the period ending on (and including) the Closing Date. The Company (or the applicable Black Rock Entity)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Company (or the applicable Black Rock Entity) pursuant to the preceding sentence shall be paid by the Company (or the applicable Black Rock Entity). If any refund, rebate or similar payment is received by the Company or the Black Rock Entities for any real property Taxes, personal property Taxes or similar obligations referred to above that are Apportioned Obligations, such refund shall be apportioned between Seller and the Company (or the applicable Black Rock Entity) as aforesaid on the basis of the obligations of the Company and the Black Rock Entities during the applicable Tax period. Any refund, rebate or similar payment received by the Company or a Black Rock Entity for any income Tax or Transfer Tax (other than Transfer Taxes governed under </w:t>
      </w:r>
      <w:r>
        <w:rPr>
          <w:rFonts w:ascii="Times New Roman" w:cs="Times New Roman" w:eastAsia="Times New Roman" w:hAnsi="Times New Roman"/>
          <w:sz w:val="18"/>
          <w:szCs w:val="18"/>
          <w:i w:val="1"/>
          <w:iCs w:val="1"/>
          <w:color w:val="auto"/>
        </w:rPr>
        <w:t>Section 5.08(a)</w:t>
      </w:r>
      <w:r>
        <w:rPr>
          <w:rFonts w:ascii="Times New Roman" w:cs="Times New Roman" w:eastAsia="Times New Roman" w:hAnsi="Times New Roman"/>
          <w:sz w:val="18"/>
          <w:szCs w:val="18"/>
          <w:color w:val="auto"/>
        </w:rPr>
        <w:t>) attributable to the pre-Closing Date period, as determined above, shall be for the benefit of Seller; and any such refund, rebate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attributable to the post-Closing Date period, as determined above, shall be for the benefit of the Company (or the applicable Black Rock Entity).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6" w:name="page87"/>
    <w:bookmarkEnd w:id="86"/>
    <w:p>
      <w:pPr>
        <w:jc w:val="both"/>
        <w:ind w:firstLine="1304"/>
        <w:spacing w:after="0" w:line="258" w:lineRule="auto"/>
        <w:tabs>
          <w:tab w:leader="none" w:pos="210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Taxes with respect to which the taxable period of the Company or the Black Rock Entities (as applicable) ends on or before the Closing Date, Seller shall, at its sole cost and expense, timely prepare and file with the appropriate authorities all Tax Returns required to be filed by the Company and the Black Rock Entities (as applicable), and pay or cause to be paid all Taxes shown to be due thereon. After the Closing Date, the Company shall, at its sole cost and expense, timely prepare and file, or cause to be timely prepared and filed, with the appropriate authorities all other Tax Returns required to be filed by the Company and the Black Rock Entities, as applicable, and pay all Taxes shown to be due thereon.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and Purchaser shall reasonably cooperate, and shall cause their respective Affiliates, employees and agents reasonably to cooperate, in preparing and filing all Tax Returns of the Company and applicable Black Rock Entities, including maintaining and making available to each other all records that are necessary for the preparation of any Tax Returns that the Party is required to file under this </w:t>
      </w:r>
      <w:r>
        <w:rPr>
          <w:rFonts w:ascii="Times New Roman" w:cs="Times New Roman" w:eastAsia="Times New Roman" w:hAnsi="Times New Roman"/>
          <w:sz w:val="18"/>
          <w:szCs w:val="18"/>
          <w:i w:val="1"/>
          <w:iCs w:val="1"/>
          <w:color w:val="auto"/>
        </w:rPr>
        <w:t>Section 5.08</w:t>
      </w:r>
      <w:r>
        <w:rPr>
          <w:rFonts w:ascii="Times New Roman" w:cs="Times New Roman" w:eastAsia="Times New Roman" w:hAnsi="Times New Roman"/>
          <w:sz w:val="18"/>
          <w:szCs w:val="18"/>
          <w:color w:val="auto"/>
        </w:rPr>
        <w:t>, and in resolving all Actions or Proceedings, and audits or examinations with respect to such Tax Returns.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5.09. </w:t>
      </w:r>
      <w:r>
        <w:rPr>
          <w:rFonts w:ascii="Times New Roman" w:cs="Times New Roman" w:eastAsia="Times New Roman" w:hAnsi="Times New Roman"/>
          <w:sz w:val="18"/>
          <w:szCs w:val="18"/>
          <w:b w:val="1"/>
          <w:bCs w:val="1"/>
          <w:i w:val="1"/>
          <w:iCs w:val="1"/>
          <w:color w:val="auto"/>
        </w:rPr>
        <w:t>No Solicitation</w:t>
      </w:r>
      <w:r>
        <w:rPr>
          <w:rFonts w:ascii="Times New Roman" w:cs="Times New Roman" w:eastAsia="Times New Roman" w:hAnsi="Times New Roman"/>
          <w:sz w:val="18"/>
          <w:szCs w:val="18"/>
          <w:color w:val="auto"/>
        </w:rPr>
        <w:t>. Until the Closing, Seller shall not, and shall not authorize or permit the Company, the Black Rock Entities, any of its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Affiliates or any of its or their Representatives to, directly or indirectly,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encourage, solicit, initiate, facilitate or continue inquiries regarding an Acquisition Proposal,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enter into discussions or negotiations with, or provide any information to, any Person concerning a possible Acquisition Proposal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enter into any agreements or other instruments (whether or not binding) regarding an Acquisition Proposal. Seller shall immediately cease and cause to be terminated, and shall cause the Company, the Black Rock Entities, any of its and their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shall mean (other than with respect to the transactions contemplated by the Tax Equity Agreement, the Financing Documents and the HASI Purchase Agreement) any inquiry, proposal or offer from any Person concerning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 merger, consolidation, liquidation, recapitalization, share exchange or other business combination transaction involving the Company or the Black Rock Entities,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issuance or acquisition of equity securities of the Company or the Black Rock Entities,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sale, lease, exchange or other disposition of any significant portion of the Company’s or the Black Rock Entities’ properties or assets.</w:t>
      </w:r>
    </w:p>
    <w:p>
      <w:pPr>
        <w:spacing w:after="0" w:line="18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i w:val="1"/>
          <w:iCs w:val="1"/>
          <w:color w:val="auto"/>
        </w:rPr>
        <w:t>Purchaser Parent Guaranty</w:t>
      </w:r>
      <w:r>
        <w:rPr>
          <w:rFonts w:ascii="Times New Roman" w:cs="Times New Roman" w:eastAsia="Times New Roman" w:hAnsi="Times New Roman"/>
          <w:sz w:val="18"/>
          <w:szCs w:val="18"/>
          <w:color w:val="auto"/>
        </w:rPr>
        <w:t>. Purchaser shall, concurrently with the execution and delivery of this Agreement, cause to be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Seller the Purchaser Parent Guaranty.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i w:val="1"/>
          <w:iCs w:val="1"/>
          <w:color w:val="auto"/>
        </w:rPr>
        <w:t>Post-Execution Date Documents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206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with respect to the Financing Documents, in no event later than January 29, 2021), Seller shall (or shall cause the Company and/or applicable Black Rock Entity to) enter into the Financing Documents and the Ancillary Documents on the following terms and conditions:</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66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Financing Agreement and the Tax Equity Agreement: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to the extent such Financing Document is in a form that deviates in any material respect from the latest form of such Financing Document provided to Purchaser prior to the Execution Date (provided that, for the avoidance of doubt, any deviation in those certain conditions to the obligations of the Tax Equity Investor set forth in Article V of such form of Tax Equity Agreement shall be deemed a material deviation), enter into such Financing Document only upon the prior written consent of Purchaser;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to the extent such Financing Document is not otherwise subject to the terms and conditions of the foregoing clause (A), enter into such Financing Document without the necessity of Purchaser’s prior consent in any respect; and</w:t>
      </w:r>
    </w:p>
    <w:p>
      <w:pPr>
        <w:spacing w:after="0" w:line="182"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76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Ancillary Document: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to the extent such Ancillary Document is (</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material to the Company and/or applicable Black Rock Entity and such Ancillary Document is not designated with an asterisk on </w:t>
      </w:r>
      <w:r>
        <w:rPr>
          <w:rFonts w:ascii="Times New Roman" w:cs="Times New Roman" w:eastAsia="Times New Roman" w:hAnsi="Times New Roman"/>
          <w:sz w:val="18"/>
          <w:szCs w:val="18"/>
          <w:i w:val="1"/>
          <w:iCs w:val="1"/>
          <w:color w:val="auto"/>
        </w:rPr>
        <w:t>Schedule 1.03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has been designated with an asterisk but deviates in any material respect from the latest form of such Ancillary Document provided to Purchaser prior to the Execution Date, enter into such Ancillary Document only upon the prior written consent of Purchaser (which consent shall not be unreasonably withheld or delayed);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to the extent such Ancillary Document is not subject to the terms and conditions of the foregoing clause (A), enter into such Ancillary Document without the necessity of Purchaser’s consent in any respect.</w:t>
      </w:r>
    </w:p>
    <w:p>
      <w:pPr>
        <w:spacing w:after="0" w:line="184" w:lineRule="exact"/>
        <w:rPr>
          <w:rFonts w:ascii="Times New Roman" w:cs="Times New Roman" w:eastAsia="Times New Roman" w:hAnsi="Times New Roman"/>
          <w:sz w:val="18"/>
          <w:szCs w:val="18"/>
          <w:color w:val="auto"/>
        </w:rPr>
      </w:pPr>
    </w:p>
    <w:p>
      <w:pPr>
        <w:ind w:firstLine="1304"/>
        <w:spacing w:after="0" w:line="282" w:lineRule="auto"/>
        <w:tabs>
          <w:tab w:leader="none" w:pos="2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entry into any Financing Document or Ancillary Document, Seller shall promptly provide to Purchaser a true, complete and correct copy of such Contract or document.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6.01. </w:t>
      </w:r>
      <w:r>
        <w:rPr>
          <w:rFonts w:ascii="Times New Roman" w:cs="Times New Roman" w:eastAsia="Times New Roman" w:hAnsi="Times New Roman"/>
          <w:sz w:val="18"/>
          <w:szCs w:val="18"/>
          <w:b w:val="1"/>
          <w:bCs w:val="1"/>
          <w:i w:val="1"/>
          <w:iCs w:val="1"/>
          <w:color w:val="auto"/>
        </w:rPr>
        <w:t>Indemnification by Seller</w:t>
      </w:r>
      <w:r>
        <w:rPr>
          <w:rFonts w:ascii="Times New Roman" w:cs="Times New Roman" w:eastAsia="Times New Roman" w:hAnsi="Times New Roman"/>
          <w:sz w:val="18"/>
          <w:szCs w:val="18"/>
          <w:color w:val="auto"/>
        </w:rPr>
        <w:t>. Seller hereby indemnifies and holds harmless the Purchaser Indemnified Parties in respect of, and holds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them harmless from and against, any and all Losses suffered, incurred or sustained by any of them or to which any of them become subject, resulting from, arising out of or related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breach of any representation, warranty, covenant, agreement or obligation made by Seller in this Agreement or any certificate delivered by Seller pursuant to this Agreement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w:t>
      </w:r>
      <w:r>
        <w:rPr>
          <w:rFonts w:ascii="Times New Roman" w:cs="Times New Roman" w:eastAsia="Times New Roman" w:hAnsi="Times New Roman"/>
          <w:sz w:val="18"/>
          <w:szCs w:val="18"/>
          <w:color w:val="auto"/>
        </w:rPr>
        <w:t>r, that the foregoing indemnity shall not apply to Losses to the extent caused by the gross negligence or willful misconduct of Purchaser Indemnified Parties or their agents, officers, employees or contractors.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6.02. </w:t>
      </w:r>
      <w:r>
        <w:rPr>
          <w:rFonts w:ascii="Times New Roman" w:cs="Times New Roman" w:eastAsia="Times New Roman" w:hAnsi="Times New Roman"/>
          <w:sz w:val="18"/>
          <w:szCs w:val="18"/>
          <w:b w:val="1"/>
          <w:bCs w:val="1"/>
          <w:i w:val="1"/>
          <w:iCs w:val="1"/>
          <w:color w:val="auto"/>
        </w:rPr>
        <w:t>Indemnification by Purchaser</w:t>
      </w:r>
      <w:r>
        <w:rPr>
          <w:rFonts w:ascii="Times New Roman" w:cs="Times New Roman" w:eastAsia="Times New Roman" w:hAnsi="Times New Roman"/>
          <w:sz w:val="18"/>
          <w:szCs w:val="18"/>
          <w:color w:val="auto"/>
        </w:rPr>
        <w:t>. Purchaser hereby indemnifies and holds harmless the Seller Indemnified Parties in respect of, and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w:t>
      </w:r>
      <w:r>
        <w:rPr>
          <w:rFonts w:ascii="Times New Roman" w:cs="Times New Roman" w:eastAsia="Times New Roman" w:hAnsi="Times New Roman"/>
          <w:sz w:val="18"/>
          <w:szCs w:val="18"/>
          <w:color w:val="auto"/>
        </w:rPr>
        <w:t>r, that the foregoing indemnity shall not apply to Losses to the extent caused by the gross negligence or willful misconduct of Seller Indemnified Parties or their agents, officers, employees or contractors.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6.03. </w:t>
      </w:r>
      <w:r>
        <w:rPr>
          <w:rFonts w:ascii="Times New Roman" w:cs="Times New Roman" w:eastAsia="Times New Roman" w:hAnsi="Times New Roman"/>
          <w:sz w:val="18"/>
          <w:szCs w:val="18"/>
          <w:b w:val="1"/>
          <w:bCs w:val="1"/>
          <w:i w:val="1"/>
          <w:iCs w:val="1"/>
          <w:color w:val="auto"/>
        </w:rPr>
        <w:t>Survival of Representations, Warranties, Covenants and Agreements</w:t>
      </w:r>
      <w:r>
        <w:rPr>
          <w:rFonts w:ascii="Times New Roman" w:cs="Times New Roman" w:eastAsia="Times New Roman" w:hAnsi="Times New Roman"/>
          <w:sz w:val="18"/>
          <w:szCs w:val="18"/>
          <w:color w:val="auto"/>
        </w:rPr>
        <w:t>. The representations, warranties, covenants,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of Seller and Purchaser contained in this Agreement are material, were relied on by such Parties, and will survive the Closing Date as provided in this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 xml:space="preserve">. Subject to the limitations and other provisions of this Agreement, the representations and warranties contained herein shall survive the Closing for twelve (12) months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i w:val="1"/>
          <w:iCs w:val="1"/>
          <w:color w:val="auto"/>
        </w:rPr>
        <w:t>Section 3.01(a)</w:t>
      </w:r>
      <w:r>
        <w:rPr>
          <w:rFonts w:ascii="Times New Roman" w:cs="Times New Roman" w:eastAsia="Times New Roman" w:hAnsi="Times New Roman"/>
          <w:sz w:val="18"/>
          <w:szCs w:val="18"/>
          <w:color w:val="auto"/>
        </w:rPr>
        <w:t xml:space="preserve"> (Existence), </w:t>
      </w:r>
      <w:r>
        <w:rPr>
          <w:rFonts w:ascii="Times New Roman" w:cs="Times New Roman" w:eastAsia="Times New Roman" w:hAnsi="Times New Roman"/>
          <w:sz w:val="18"/>
          <w:szCs w:val="18"/>
          <w:i w:val="1"/>
          <w:iCs w:val="1"/>
          <w:color w:val="auto"/>
        </w:rPr>
        <w:t xml:space="preserve">Section 3.01(b) </w:t>
      </w:r>
      <w:r>
        <w:rPr>
          <w:rFonts w:ascii="Times New Roman" w:cs="Times New Roman" w:eastAsia="Times New Roman" w:hAnsi="Times New Roman"/>
          <w:sz w:val="18"/>
          <w:szCs w:val="18"/>
          <w:color w:val="auto"/>
        </w:rPr>
        <w:t>(Authority),</w:t>
      </w:r>
      <w:r>
        <w:rPr>
          <w:rFonts w:ascii="Times New Roman" w:cs="Times New Roman" w:eastAsia="Times New Roman" w:hAnsi="Times New Roman"/>
          <w:sz w:val="18"/>
          <w:szCs w:val="18"/>
          <w:i w:val="1"/>
          <w:iCs w:val="1"/>
          <w:color w:val="auto"/>
        </w:rPr>
        <w:t xml:space="preserve"> Section 3.01(g) </w:t>
      </w:r>
      <w:r>
        <w:rPr>
          <w:rFonts w:ascii="Times New Roman" w:cs="Times New Roman" w:eastAsia="Times New Roman" w:hAnsi="Times New Roman"/>
          <w:sz w:val="18"/>
          <w:szCs w:val="18"/>
          <w:color w:val="auto"/>
        </w:rPr>
        <w:t>(Brokers),</w:t>
      </w:r>
      <w:r>
        <w:rPr>
          <w:rFonts w:ascii="Times New Roman" w:cs="Times New Roman" w:eastAsia="Times New Roman" w:hAnsi="Times New Roman"/>
          <w:sz w:val="18"/>
          <w:szCs w:val="18"/>
          <w:i w:val="1"/>
          <w:iCs w:val="1"/>
          <w:color w:val="auto"/>
        </w:rPr>
        <w:t xml:space="preserve"> Sections 3.01(i)(i)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(ii), (v) and (ix) </w:t>
      </w:r>
      <w:r>
        <w:rPr>
          <w:rFonts w:ascii="Times New Roman" w:cs="Times New Roman" w:eastAsia="Times New Roman" w:hAnsi="Times New Roman"/>
          <w:sz w:val="18"/>
          <w:szCs w:val="18"/>
          <w:color w:val="auto"/>
        </w:rPr>
        <w:t>(Company and Black Rock Entities),</w:t>
      </w:r>
      <w:r>
        <w:rPr>
          <w:rFonts w:ascii="Times New Roman" w:cs="Times New Roman" w:eastAsia="Times New Roman" w:hAnsi="Times New Roman"/>
          <w:sz w:val="18"/>
          <w:szCs w:val="18"/>
          <w:i w:val="1"/>
          <w:iCs w:val="1"/>
          <w:color w:val="auto"/>
        </w:rPr>
        <w:t xml:space="preserve"> Section 3.02(a) </w:t>
      </w:r>
      <w:r>
        <w:rPr>
          <w:rFonts w:ascii="Times New Roman" w:cs="Times New Roman" w:eastAsia="Times New Roman" w:hAnsi="Times New Roman"/>
          <w:sz w:val="18"/>
          <w:szCs w:val="18"/>
          <w:color w:val="auto"/>
        </w:rPr>
        <w:t>(Existence),</w:t>
      </w:r>
      <w:r>
        <w:rPr>
          <w:rFonts w:ascii="Times New Roman" w:cs="Times New Roman" w:eastAsia="Times New Roman" w:hAnsi="Times New Roman"/>
          <w:sz w:val="18"/>
          <w:szCs w:val="18"/>
          <w:i w:val="1"/>
          <w:iCs w:val="1"/>
          <w:color w:val="auto"/>
        </w:rPr>
        <w:t xml:space="preserve"> Section 3.02(b) </w:t>
      </w:r>
      <w:r>
        <w:rPr>
          <w:rFonts w:ascii="Times New Roman" w:cs="Times New Roman" w:eastAsia="Times New Roman" w:hAnsi="Times New Roman"/>
          <w:sz w:val="18"/>
          <w:szCs w:val="18"/>
          <w:color w:val="auto"/>
        </w:rPr>
        <w:t>(Authority) and</w:t>
      </w:r>
      <w:r>
        <w:rPr>
          <w:rFonts w:ascii="Times New Roman" w:cs="Times New Roman" w:eastAsia="Times New Roman" w:hAnsi="Times New Roman"/>
          <w:sz w:val="18"/>
          <w:szCs w:val="18"/>
          <w:i w:val="1"/>
          <w:iCs w:val="1"/>
          <w:color w:val="auto"/>
        </w:rPr>
        <w:t xml:space="preserve"> Section 3.02(h) </w:t>
      </w:r>
      <w:r>
        <w:rPr>
          <w:rFonts w:ascii="Times New Roman" w:cs="Times New Roman" w:eastAsia="Times New Roman" w:hAnsi="Times New Roman"/>
          <w:sz w:val="18"/>
          <w:szCs w:val="18"/>
          <w:color w:val="auto"/>
        </w:rPr>
        <w:t>(Brokers) (the “</w:t>
      </w:r>
      <w:r>
        <w:rPr>
          <w:rFonts w:ascii="Times New Roman" w:cs="Times New Roman" w:eastAsia="Times New Roman" w:hAnsi="Times New Roman"/>
          <w:sz w:val="18"/>
          <w:szCs w:val="18"/>
          <w:i w:val="1"/>
          <w:iCs w:val="1"/>
          <w:color w:val="auto"/>
        </w:rPr>
        <w:t>Seller Fundamental Representations</w:t>
      </w:r>
      <w:r>
        <w:rPr>
          <w:rFonts w:ascii="Times New Roman" w:cs="Times New Roman" w:eastAsia="Times New Roman" w:hAnsi="Times New Roman"/>
          <w:sz w:val="18"/>
          <w:szCs w:val="18"/>
          <w:color w:val="auto"/>
        </w:rPr>
        <w:t>”) shall survive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for five (5) years after the Closing Date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representations and warranties in </w:t>
      </w:r>
      <w:r>
        <w:rPr>
          <w:rFonts w:ascii="Times New Roman" w:cs="Times New Roman" w:eastAsia="Times New Roman" w:hAnsi="Times New Roman"/>
          <w:sz w:val="18"/>
          <w:szCs w:val="18"/>
          <w:i w:val="1"/>
          <w:iCs w:val="1"/>
          <w:color w:val="auto"/>
        </w:rPr>
        <w:t>Section 3.01(k)</w:t>
      </w:r>
      <w:r>
        <w:rPr>
          <w:rFonts w:ascii="Times New Roman" w:cs="Times New Roman" w:eastAsia="Times New Roman" w:hAnsi="Times New Roman"/>
          <w:sz w:val="18"/>
          <w:szCs w:val="18"/>
          <w:color w:val="auto"/>
        </w:rPr>
        <w:t xml:space="preserve"> (Taxes) shall survive the Closing until thirty</w:t>
      </w:r>
    </w:p>
    <w:p>
      <w:pPr>
        <w:spacing w:after="0" w:line="1" w:lineRule="exact"/>
        <w:rPr>
          <w:sz w:val="20"/>
          <w:szCs w:val="20"/>
          <w:color w:val="auto"/>
        </w:rPr>
      </w:pPr>
    </w:p>
    <w:p>
      <w:pPr>
        <w:jc w:val="both"/>
        <w:ind w:firstLine="8"/>
        <w:spacing w:after="0" w:line="252" w:lineRule="auto"/>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expiration of the applicable Tax statute of limitations. The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a written notice of claim prior to the applicable survival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written notice for a claim of indemnification has been provided by the Indemnified Party pursuant to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 xml:space="preserve"> on or prior to the applicable survival expiration date, then the obligation of the Indemnifying Party to indemnify the Indemnified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shall survive with respect to such claim until such claim is finally resolved.</w:t>
      </w:r>
    </w:p>
    <w:p>
      <w:pPr>
        <w:spacing w:after="0" w:line="18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6.04.</w:t>
      </w:r>
      <w:r>
        <w:rPr>
          <w:sz w:val="20"/>
          <w:szCs w:val="20"/>
          <w:color w:val="auto"/>
        </w:rPr>
        <w:tab/>
      </w:r>
      <w:r>
        <w:rPr>
          <w:rFonts w:ascii="Times New Roman" w:cs="Times New Roman" w:eastAsia="Times New Roman" w:hAnsi="Times New Roman"/>
          <w:sz w:val="17"/>
          <w:szCs w:val="17"/>
          <w:b w:val="1"/>
          <w:bCs w:val="1"/>
          <w:i w:val="1"/>
          <w:iCs w:val="1"/>
          <w:color w:val="auto"/>
        </w:rPr>
        <w:t>Limitations on Claims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215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equal or exceed [***] of the Purchase Price (the “</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in which event the Indemnifying Party shall be liable for Losses only to the extent they are in excess of the Deductible;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Deductible shall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Fraudulent Action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liability of the Seller Indemnifying Parties and the Purchaser Indemnifying Parties under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resulting from any claims under any breaches of representations or warranties herein and in any certificates delivered pursuant hereto, shall be limited to an amount equal to [***] of the Purchase Price (the “</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Cap shall not apply to Losses resulting from, arising out of or relating to (i) any Fraudulent Action or (ii) a breach of the Seller Fundamental Representations;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aggregate liability of the Seller Indemnifying Parties resulting from the Seller Fundamental Representations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other Losses resulting from any claims under breaches of representations or warranties herein and in any certificates delivered pursuant hereto shall be limited to an amount equal to the Purchase Price. For the avoidance of doubt, the foregoing limitation will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breach of any covenant, agreement or obligation made herein or any certificate delivered pursuant hereto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4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payment shall not exceed the amount of the indemnity payment.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6.05.</w:t>
      </w:r>
      <w:r>
        <w:rPr>
          <w:sz w:val="20"/>
          <w:szCs w:val="20"/>
          <w:color w:val="auto"/>
        </w:rPr>
        <w:tab/>
      </w:r>
      <w:r>
        <w:rPr>
          <w:rFonts w:ascii="Times New Roman" w:cs="Times New Roman" w:eastAsia="Times New Roman" w:hAnsi="Times New Roman"/>
          <w:sz w:val="17"/>
          <w:szCs w:val="17"/>
          <w:b w:val="1"/>
          <w:bCs w:val="1"/>
          <w:i w:val="1"/>
          <w:iCs w:val="1"/>
          <w:color w:val="auto"/>
        </w:rPr>
        <w:t>Procedure for Indemnification of Third Party Claims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7" w:lineRule="auto"/>
        <w:tabs>
          <w:tab w:leader="none" w:pos="214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Whenever any claim by a third party shall arise for indemnification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Indemnified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1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If the Indemnified Party has assumed the defense of any claim by a third party which may give rise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indemnity hereunder pursuant to </w:t>
      </w:r>
      <w:r>
        <w:rPr>
          <w:rFonts w:ascii="Times New Roman" w:cs="Times New Roman" w:eastAsia="Times New Roman" w:hAnsi="Times New Roman"/>
          <w:sz w:val="18"/>
          <w:szCs w:val="18"/>
          <w:i w:val="1"/>
          <w:iCs w:val="1"/>
          <w:color w:val="auto"/>
        </w:rPr>
        <w:t>Section 6.06(c)</w:t>
      </w:r>
      <w:r>
        <w:rPr>
          <w:rFonts w:ascii="Times New Roman" w:cs="Times New Roman" w:eastAsia="Times New Roman" w:hAnsi="Times New Roman"/>
          <w:sz w:val="18"/>
          <w:szCs w:val="18"/>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7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6.06.</w:t>
      </w:r>
      <w:r>
        <w:rPr>
          <w:sz w:val="20"/>
          <w:szCs w:val="20"/>
          <w:color w:val="auto"/>
        </w:rPr>
        <w:tab/>
      </w:r>
      <w:r>
        <w:rPr>
          <w:rFonts w:ascii="Times New Roman" w:cs="Times New Roman" w:eastAsia="Times New Roman" w:hAnsi="Times New Roman"/>
          <w:sz w:val="17"/>
          <w:szCs w:val="17"/>
          <w:b w:val="1"/>
          <w:bCs w:val="1"/>
          <w:i w:val="1"/>
          <w:iCs w:val="1"/>
          <w:color w:val="auto"/>
        </w:rPr>
        <w:t>Rights of the Indemnifying Party in the Defense of Third Party Claims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2" w:lineRule="auto"/>
        <w:tabs>
          <w:tab w:leader="none" w:pos="207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to Assume the Defense</w:t>
      </w:r>
      <w:r>
        <w:rPr>
          <w:rFonts w:ascii="Times New Roman" w:cs="Times New Roman" w:eastAsia="Times New Roman" w:hAnsi="Times New Roman"/>
          <w:sz w:val="18"/>
          <w:szCs w:val="18"/>
          <w:color w:val="auto"/>
        </w:rPr>
        <w:t>. In connection with any claim by a third party which may give rise to indemnity hereunder,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7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 If the Indemnifying Party assumes the defense of any such claim, the Indemnifying Party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select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acceptable to the Indemnified Party to conduct the defense of such claim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0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The Indemnifying Party shall not consent to a settlement of or the entry of any judgment arising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such claim or legal proceeding, without the prior written consent of the Indemnified Party (which consent shall not be unreasonably withheld or delayed).</w:t>
      </w:r>
    </w:p>
    <w:p>
      <w:pPr>
        <w:spacing w:after="0" w:line="170"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4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Decline to Assume the Defense</w:t>
      </w:r>
      <w:r>
        <w:rPr>
          <w:rFonts w:ascii="Times New Roman" w:cs="Times New Roman" w:eastAsia="Times New Roman" w:hAnsi="Times New Roman"/>
          <w:sz w:val="18"/>
          <w:szCs w:val="18"/>
          <w:color w:val="auto"/>
        </w:rPr>
        <w:t>. The Indemnified Party may defend against any such claim, at the sole cost and expense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in such manner as it may deem reasonably appropriate, including settling such claim in accordance with the terms hereof if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Indemnified Party reasonably concludes that the Indemnifying Party is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not diligently defending the Indemnified Party,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not contesting such claim in good faith through appropriate proceedings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6.07. </w:t>
      </w:r>
      <w:r>
        <w:rPr>
          <w:rFonts w:ascii="Times New Roman" w:cs="Times New Roman" w:eastAsia="Times New Roman" w:hAnsi="Times New Roman"/>
          <w:sz w:val="18"/>
          <w:szCs w:val="18"/>
          <w:b w:val="1"/>
          <w:bCs w:val="1"/>
          <w:i w:val="1"/>
          <w:iCs w:val="1"/>
          <w:color w:val="auto"/>
        </w:rPr>
        <w:t>Direct Claims</w:t>
      </w:r>
      <w:r>
        <w:rPr>
          <w:rFonts w:ascii="Times New Roman" w:cs="Times New Roman" w:eastAsia="Times New Roman" w:hAnsi="Times New Roman"/>
          <w:sz w:val="18"/>
          <w:szCs w:val="18"/>
          <w:color w:val="auto"/>
        </w:rPr>
        <w:t>. In the event that any Indemnified Party has a claim against any Indemnifying Party which may give rise to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against the Indemnifying Party.</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6.08. </w:t>
      </w:r>
      <w:r>
        <w:rPr>
          <w:rFonts w:ascii="Times New Roman" w:cs="Times New Roman" w:eastAsia="Times New Roman" w:hAnsi="Times New Roman"/>
          <w:sz w:val="18"/>
          <w:szCs w:val="18"/>
          <w:b w:val="1"/>
          <w:bCs w:val="1"/>
          <w:i w:val="1"/>
          <w:iCs w:val="1"/>
          <w:color w:val="auto"/>
        </w:rPr>
        <w:t>Exclusive Remedy</w:t>
      </w:r>
      <w:r>
        <w:rPr>
          <w:rFonts w:ascii="Times New Roman" w:cs="Times New Roman" w:eastAsia="Times New Roman" w:hAnsi="Times New Roman"/>
          <w:sz w:val="18"/>
          <w:szCs w:val="18"/>
          <w:color w:val="auto"/>
        </w:rPr>
        <w:t>. Absent any Fraudulent Action, the indemnities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exclusive remedies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6.09.</w:t>
      </w:r>
      <w:r>
        <w:rPr>
          <w:sz w:val="20"/>
          <w:szCs w:val="20"/>
          <w:color w:val="auto"/>
        </w:rPr>
        <w:tab/>
      </w:r>
      <w:r>
        <w:rPr>
          <w:rFonts w:ascii="Times New Roman" w:cs="Times New Roman" w:eastAsia="Times New Roman" w:hAnsi="Times New Roman"/>
          <w:sz w:val="17"/>
          <w:szCs w:val="17"/>
          <w:b w:val="1"/>
          <w:bCs w:val="1"/>
          <w:i w:val="1"/>
          <w:iCs w:val="1"/>
          <w:color w:val="auto"/>
        </w:rPr>
        <w:t>Mitigations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233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59" w:lineRule="exact"/>
        <w:rPr>
          <w:rFonts w:ascii="Times New Roman" w:cs="Times New Roman" w:eastAsia="Times New Roman" w:hAnsi="Times New Roman"/>
          <w:sz w:val="18"/>
          <w:szCs w:val="18"/>
          <w:color w:val="auto"/>
        </w:rPr>
      </w:pPr>
    </w:p>
    <w:p>
      <w:pPr>
        <w:jc w:val="both"/>
        <w:ind w:firstLine="1304"/>
        <w:spacing w:after="0" w:line="267" w:lineRule="auto"/>
        <w:tabs>
          <w:tab w:leader="none" w:pos="207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making any payment to the Indemnified Party for any indemnification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i w:val="1"/>
          <w:iCs w:val="1"/>
          <w:color w:val="auto"/>
        </w:rPr>
        <w:t>Indemnity Treatment</w:t>
      </w:r>
      <w:r>
        <w:rPr>
          <w:rFonts w:ascii="Times New Roman" w:cs="Times New Roman" w:eastAsia="Times New Roman" w:hAnsi="Times New Roman"/>
          <w:sz w:val="18"/>
          <w:szCs w:val="18"/>
          <w:color w:val="auto"/>
        </w:rPr>
        <w:t>. Any amount of indemnification payable pursuant to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the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law, be treated as an adjustment to the Purchase Price (as determined for all relevant Tax purposes).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7.01.</w:t>
      </w:r>
      <w:r>
        <w:rPr>
          <w:sz w:val="20"/>
          <w:szCs w:val="20"/>
          <w:color w:val="auto"/>
        </w:rPr>
        <w:tab/>
      </w:r>
      <w:r>
        <w:rPr>
          <w:rFonts w:ascii="Times New Roman" w:cs="Times New Roman" w:eastAsia="Times New Roman" w:hAnsi="Times New Roman"/>
          <w:sz w:val="17"/>
          <w:szCs w:val="17"/>
          <w:b w:val="1"/>
          <w:bCs w:val="1"/>
          <w:i w:val="1"/>
          <w:iCs w:val="1"/>
          <w:color w:val="auto"/>
        </w:rPr>
        <w:t>Termination</w:t>
      </w:r>
      <w:r>
        <w:rPr>
          <w:rFonts w:ascii="Times New Roman" w:cs="Times New Roman" w:eastAsia="Times New Roman" w:hAnsi="Times New Roman"/>
          <w:sz w:val="17"/>
          <w:szCs w:val="17"/>
          <w:color w:val="auto"/>
        </w:rPr>
        <w:t>. This Agreement may be terminated at any time prior to the Closing Date as follows:</w:t>
      </w:r>
    </w:p>
    <w:p>
      <w:pPr>
        <w:spacing w:after="0" w:line="229" w:lineRule="exact"/>
        <w:rPr>
          <w:sz w:val="20"/>
          <w:szCs w:val="20"/>
          <w:color w:val="auto"/>
        </w:rPr>
      </w:pPr>
    </w:p>
    <w:p>
      <w:pPr>
        <w:jc w:val="right"/>
        <w:ind w:left="5540" w:right="5520" w:hanging="4236"/>
        <w:spacing w:after="0" w:line="783" w:lineRule="auto"/>
        <w:tabs>
          <w:tab w:leader="none" w:pos="20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Seller and Purchaser;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ind w:firstLine="1304"/>
        <w:spacing w:after="0" w:line="284" w:lineRule="auto"/>
        <w:tabs>
          <w:tab w:leader="none" w:pos="210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 the Closing has not occurred on or before March 31, 2022 (the “</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and the failure to reach the Closing Date was not caused by a breach of this Agreement by the terminating Party;</w:t>
      </w:r>
    </w:p>
    <w:p>
      <w:pPr>
        <w:spacing w:after="0" w:line="160"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0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Purchaser if there has been a breach by Seller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either (x) is a breach of Seller’s obligations to transfer the Acquired Interests at Closing in accordance with this Agreement or (y) such breach has not been cured, or by its nature cannot be cured, within thirty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the end of such thirty (30) day period, Seller is endeavoring in good faith, and proceeding diligently, to cure such breach, Seller shall have an additional thirty (30) days in which to effect such cure;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1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 if there has been a breach by Purchaser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such breach has not been cured, or by its nature cannot be cured, within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the end of such thirty (30) day period, Purchaser is endeavoring in good faith, and proceeding diligently, to cure such breach, Purchaser shall have an additional thirty (30) days in which to effect such cure; and</w:t>
      </w:r>
    </w:p>
    <w:p>
      <w:pPr>
        <w:spacing w:after="0" w:line="181" w:lineRule="exact"/>
        <w:rPr>
          <w:rFonts w:ascii="Times New Roman" w:cs="Times New Roman" w:eastAsia="Times New Roman" w:hAnsi="Times New Roman"/>
          <w:sz w:val="18"/>
          <w:szCs w:val="18"/>
          <w:color w:val="auto"/>
        </w:rPr>
      </w:pPr>
    </w:p>
    <w:p>
      <w:pPr>
        <w:jc w:val="both"/>
        <w:ind w:firstLine="1304"/>
        <w:spacing w:after="0" w:line="267" w:lineRule="auto"/>
        <w:tabs>
          <w:tab w:leader="none" w:pos="211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Purchaser if there has been a breach by Seller of its covenant in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xml:space="preserve"> with respect to the Financing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breach was not caused by a breach by Purchaser of the terms and conditions with respect to its granting of consent under</w:t>
      </w:r>
      <w:r>
        <w:rPr>
          <w:rFonts w:ascii="Times New Roman" w:cs="Times New Roman" w:eastAsia="Times New Roman" w:hAnsi="Times New Roman"/>
          <w:sz w:val="18"/>
          <w:szCs w:val="18"/>
          <w:i w:val="1"/>
          <w:iCs w:val="1"/>
          <w:color w:val="auto"/>
        </w:rPr>
        <w:t xml:space="preserve"> Section 5.12(a), </w:t>
      </w:r>
      <w:r>
        <w:rPr>
          <w:rFonts w:ascii="Times New Roman" w:cs="Times New Roman" w:eastAsia="Times New Roman" w:hAnsi="Times New Roman"/>
          <w:sz w:val="18"/>
          <w:szCs w:val="18"/>
          <w:color w:val="auto"/>
        </w:rPr>
        <w:t>as applicable.</w:t>
      </w:r>
    </w:p>
    <w:p>
      <w:pPr>
        <w:spacing w:after="0" w:line="17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7.02.</w:t>
      </w:r>
      <w:r>
        <w:rPr>
          <w:sz w:val="20"/>
          <w:szCs w:val="20"/>
          <w:color w:val="auto"/>
        </w:rPr>
        <w:tab/>
      </w:r>
      <w:r>
        <w:rPr>
          <w:rFonts w:ascii="Times New Roman" w:cs="Times New Roman" w:eastAsia="Times New Roman" w:hAnsi="Times New Roman"/>
          <w:sz w:val="17"/>
          <w:szCs w:val="17"/>
          <w:b w:val="1"/>
          <w:bCs w:val="1"/>
          <w:i w:val="1"/>
          <w:iCs w:val="1"/>
          <w:color w:val="auto"/>
        </w:rPr>
        <w:t>Effect of Termination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1304"/>
        <w:spacing w:after="0" w:line="258" w:lineRule="auto"/>
        <w:tabs>
          <w:tab w:leader="none" w:pos="20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pursuant to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and the entirety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Article 8</w:t>
      </w:r>
      <w:r>
        <w:rPr>
          <w:rFonts w:ascii="Times New Roman" w:cs="Times New Roman" w:eastAsia="Times New Roman" w:hAnsi="Times New Roman"/>
          <w:sz w:val="18"/>
          <w:szCs w:val="18"/>
          <w:color w:val="auto"/>
        </w:rPr>
        <w:t xml:space="preserve"> will continue to apply following any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shall release any Party from liability for any breach of this Agreement by such Party prior to the termination of this Agreement (and any attempted termination by the breaching Party shall be void).</w:t>
      </w:r>
    </w:p>
    <w:p>
      <w:pPr>
        <w:spacing w:after="0" w:line="18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1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by a Party for any reason, (i) Purchaser shall return all documents and other materials of Seller relating to the Company and the Black Rock Entities, the assets or properties of the Company and the Black Rock Entities and the transactions contemplated hereby, and (ii)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Company, the Black Rock Entities, the assets of the Company, the assets of the Black Rock Entities or the other Party shall remain subject to the provisions of </w:t>
      </w:r>
      <w:r>
        <w:rPr>
          <w:rFonts w:ascii="Times New Roman" w:cs="Times New Roman" w:eastAsia="Times New Roman" w:hAnsi="Times New Roman"/>
          <w:sz w:val="18"/>
          <w:szCs w:val="18"/>
          <w:i w:val="1"/>
          <w:iCs w:val="1"/>
          <w:color w:val="auto"/>
        </w:rPr>
        <w:t>Section 8.06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8.01.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All notices, requests and other communications hereunder must be in writing and will be deemed to have been duly given only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personally, by email, by reputable national overnight courier service or by registered or certified mail (postage prepaid) to the Parties at the following addresses or email addresses, as applicable:</w:t>
      </w:r>
    </w:p>
    <w:p>
      <w:pPr>
        <w:sectPr>
          <w:pgSz w:w="11900" w:h="16838" w:orient="portrait"/>
          <w:cols w:equalWidth="0" w:num="1">
            <w:col w:w="11240"/>
          </w:cols>
          <w:pgMar w:left="320" w:top="684" w:right="339" w:bottom="1440" w:gutter="0" w:footer="0" w:header="0"/>
        </w:sectPr>
      </w:pP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If to Purchaser, to: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Lighthouse Renewable Class 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Drive,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Christopher Sotos and Kevin Malcarney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christopher.sotos@clearwayenergy.com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kevin.malcarney@clearwayenergy.com</w:t>
      </w:r>
    </w:p>
    <w:p>
      <w:pPr>
        <w:spacing w:after="0" w:line="200" w:lineRule="exact"/>
        <w:rPr>
          <w:sz w:val="20"/>
          <w:szCs w:val="20"/>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Perkins Coie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13th St.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Eric Dodson Greenberg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egreenberg@perkinscoie.com</w:t>
      </w:r>
    </w:p>
    <w:p>
      <w:pPr>
        <w:spacing w:after="0" w:line="200" w:lineRule="exact"/>
        <w:rPr>
          <w:sz w:val="20"/>
          <w:szCs w:val="20"/>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If to Seller,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Clearway Renew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4900 N Scottsdale Road, Suite 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Scottsdale, AZ 85251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am@clearwayenergy.com</w:t>
      </w:r>
    </w:p>
    <w:p>
      <w:pPr>
        <w:spacing w:after="0" w:line="200" w:lineRule="exact"/>
        <w:rPr>
          <w:sz w:val="20"/>
          <w:szCs w:val="20"/>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Clearway Renew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5780 Fleet St., Suite 130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Carlsbad, CA 92008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legal@clearwayenergy.com</w:t>
      </w:r>
    </w:p>
    <w:p>
      <w:pPr>
        <w:spacing w:after="0" w:line="200" w:lineRule="exact"/>
        <w:rPr>
          <w:sz w:val="20"/>
          <w:szCs w:val="20"/>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Notices, requests and other communications will be deemed given upon the first to occur of such item having been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delivered personally (or refusal of delivery)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delivered by confirmed email transmission to the email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delivered (or refusal of such delivery) by registered or certified mail (postage prepaid) or by reputable national overnight courier service in the manner described above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Any Party from time to time may change its address, email address or other information for the purpose of notices to that Party by giving notice specifying such change to the other Party.</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8.02. </w:t>
      </w: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This Agreement and the documents referenced herein supersede all prior discussions and agreements, whether oral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between the Parties with respect to the subject matter hereof, and contains the entire agreement between the Parties with respect to the subject matter 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8.03. </w:t>
      </w:r>
      <w:r>
        <w:rPr>
          <w:rFonts w:ascii="Times New Roman" w:cs="Times New Roman" w:eastAsia="Times New Roman" w:hAnsi="Times New Roman"/>
          <w:sz w:val="18"/>
          <w:szCs w:val="18"/>
          <w:b w:val="1"/>
          <w:bCs w:val="1"/>
          <w:i w:val="1"/>
          <w:iCs w:val="1"/>
          <w:color w:val="auto"/>
        </w:rPr>
        <w:t>Specific Performance</w:t>
      </w:r>
      <w:r>
        <w:rPr>
          <w:rFonts w:ascii="Times New Roman" w:cs="Times New Roman" w:eastAsia="Times New Roman" w:hAnsi="Times New Roman"/>
          <w:sz w:val="18"/>
          <w:szCs w:val="18"/>
          <w:color w:val="auto"/>
        </w:rPr>
        <w:t>. The Parties to this Agreement agree that if any of the provisions of this Agreement were not performed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8.04.</w:t>
      </w:r>
      <w:r>
        <w:rPr>
          <w:sz w:val="20"/>
          <w:szCs w:val="20"/>
          <w:color w:val="auto"/>
        </w:rPr>
        <w:tab/>
      </w:r>
      <w:r>
        <w:rPr>
          <w:rFonts w:ascii="Times New Roman" w:cs="Times New Roman" w:eastAsia="Times New Roman" w:hAnsi="Times New Roman"/>
          <w:sz w:val="17"/>
          <w:szCs w:val="17"/>
          <w:b w:val="1"/>
          <w:bCs w:val="1"/>
          <w:i w:val="1"/>
          <w:iCs w:val="1"/>
          <w:color w:val="auto"/>
        </w:rPr>
        <w:t>Time of the Essence</w:t>
      </w:r>
      <w:r>
        <w:rPr>
          <w:rFonts w:ascii="Times New Roman" w:cs="Times New Roman" w:eastAsia="Times New Roman" w:hAnsi="Times New Roman"/>
          <w:sz w:val="17"/>
          <w:szCs w:val="17"/>
          <w:color w:val="auto"/>
        </w:rPr>
        <w:t>. Time is of the essence with regard to all duties and time periods set forth in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93" w:name="page94"/>
    <w:bookmarkEnd w:id="9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8.05.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Except as otherwise expressly provided in this Agreement, whether or not the transactions contemplated hereby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each Party will pay its own costs and expenses incurred in connection with the negotiation, execution and performance of this Agreement.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8.06. </w:t>
      </w:r>
      <w:r>
        <w:rPr>
          <w:rFonts w:ascii="Times New Roman" w:cs="Times New Roman" w:eastAsia="Times New Roman" w:hAnsi="Times New Roman"/>
          <w:sz w:val="18"/>
          <w:szCs w:val="18"/>
          <w:b w:val="1"/>
          <w:bCs w:val="1"/>
          <w:i w:val="1"/>
          <w:iCs w:val="1"/>
          <w:color w:val="auto"/>
        </w:rPr>
        <w:t>Confidentiality; Disclosures</w:t>
      </w:r>
      <w:r>
        <w:rPr>
          <w:rFonts w:ascii="Times New Roman" w:cs="Times New Roman" w:eastAsia="Times New Roman" w:hAnsi="Times New Roman"/>
          <w:sz w:val="18"/>
          <w:szCs w:val="18"/>
          <w:color w:val="auto"/>
        </w:rPr>
        <w:t>. This Agreement is confidential, and neither Party shall disclose the terms and conditions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8.07.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Any term or condition of this Agreement may be waived at any time by the Party that is entitled to the benefit thereof, but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waiver shall be effective unless set forth in a written instrument duly executed by or on behalf of the Party waiving such term or condition and delivered pursuant to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8.08.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This Agreement may be amended, supplemented or modified only by a written instrument duly executed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8.09. </w:t>
      </w:r>
      <w:r>
        <w:rPr>
          <w:rFonts w:ascii="Times New Roman" w:cs="Times New Roman" w:eastAsia="Times New Roman" w:hAnsi="Times New Roman"/>
          <w:sz w:val="18"/>
          <w:szCs w:val="18"/>
          <w:b w:val="1"/>
          <w:bCs w:val="1"/>
          <w:i w:val="1"/>
          <w:iCs w:val="1"/>
          <w:color w:val="auto"/>
        </w:rPr>
        <w:t>No Third Party Beneficiary</w:t>
      </w:r>
      <w:r>
        <w:rPr>
          <w:rFonts w:ascii="Times New Roman" w:cs="Times New Roman" w:eastAsia="Times New Roman" w:hAnsi="Times New Roman"/>
          <w:sz w:val="18"/>
          <w:szCs w:val="18"/>
          <w:color w:val="auto"/>
        </w:rPr>
        <w:t>. The terms and provisions of this Agreement are intended solely for the benefit of each Party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8.10. </w:t>
      </w:r>
      <w:r>
        <w:rPr>
          <w:rFonts w:ascii="Times New Roman" w:cs="Times New Roman" w:eastAsia="Times New Roman" w:hAnsi="Times New Roman"/>
          <w:sz w:val="18"/>
          <w:szCs w:val="18"/>
          <w:b w:val="1"/>
          <w:bCs w:val="1"/>
          <w:i w:val="1"/>
          <w:iCs w:val="1"/>
          <w:color w:val="auto"/>
        </w:rPr>
        <w:t>Assignment</w:t>
      </w:r>
      <w:r>
        <w:rPr>
          <w:rFonts w:ascii="Times New Roman" w:cs="Times New Roman" w:eastAsia="Times New Roman" w:hAnsi="Times New Roman"/>
          <w:sz w:val="18"/>
          <w:szCs w:val="18"/>
          <w:color w:val="auto"/>
        </w:rPr>
        <w:t>. The obligations of the Parties under this Agreement are not assignable without the prior written consent of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such Party may withhold in its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 may assign this Agreement, including the right to acquire the Acquired Interests, without the prior written consent of Seller, to (a) any Affiliate of Purchaser, or (b) any financial institution providing purchase money or other financing to Purchaser from time to time as collateral security for such financing, in each case so long as Purchaser remains fully liable for its obligations under this Agreement.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any provision of this Agreement is held to be illegal, invalid or unenforceable under any present or future Law, and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or obligations of any Party under this Agreement shall not be materially and adversely affected thereby,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such provision shall be fully severable,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this Agreement shall be construed and enforced as if such illegal, invalid or unenforceable provision had never comprised a part hereof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remaining provisions of this Agreement shall remain in full force and effect and shall not be affected by the illegal, invalid or unenforceable provision or by its severance here from.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8.12.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AGREEMENT AND ALL DISPUTES AND CONTROVERSIES ARISING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ALL RESPECTS IN ACCORDANCE WITH THE LAWS OF THE STATE OF NEW YORK WITHOUT GIVING EFFECT TO THE CONFLICTS OF LAWS PRINCIPLES THEREOF EXCEPT FOR SECTIONS 5-1401 AND 5-1402 OF THE NEW YORK GENERAL OBLIGATIONS LAW.</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8.13.</w:t>
      </w:r>
      <w:r>
        <w:rPr>
          <w:sz w:val="20"/>
          <w:szCs w:val="20"/>
          <w:color w:val="auto"/>
        </w:rPr>
        <w:tab/>
      </w:r>
      <w:r>
        <w:rPr>
          <w:rFonts w:ascii="Times New Roman" w:cs="Times New Roman" w:eastAsia="Times New Roman" w:hAnsi="Times New Roman"/>
          <w:sz w:val="17"/>
          <w:szCs w:val="17"/>
          <w:b w:val="1"/>
          <w:bCs w:val="1"/>
          <w:i w:val="1"/>
          <w:iCs w:val="1"/>
          <w:color w:val="auto"/>
        </w:rPr>
        <w:t>Consent to Jurisdiction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234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88"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irrevocably and unconditionally waives, to the fullest extent it may legally and effectively do so:</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8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of an inconvenient forum to the maintenance of such Action or Proceeding in any such court.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9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irrevocably consents to service of process by registered mail, return receipt requested, as provided in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Nothing in this Agreement will affect the right of any Party hereto to serve process in any other manner permitted by Law.</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8.14.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TO THE FULLEST EXTENT PERMITTED BY LAW, EACH PARTY HEREBY WAIVES ALL RIGHTS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 BY JURY IN ANY LEGAL ACTION TO ENFORCE OR INTERPRET THE PROVISIONS OF THIS AGREEMENT OR THAT OTHERWISE RELATES TO THIS AGREEMENT.</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8.15. </w:t>
      </w:r>
      <w:r>
        <w:rPr>
          <w:rFonts w:ascii="Times New Roman" w:cs="Times New Roman" w:eastAsia="Times New Roman" w:hAnsi="Times New Roman"/>
          <w:sz w:val="18"/>
          <w:szCs w:val="18"/>
          <w:b w:val="1"/>
          <w:bCs w:val="1"/>
          <w:i w:val="1"/>
          <w:iCs w:val="1"/>
          <w:color w:val="auto"/>
        </w:rPr>
        <w:t>Limitation on Certain Damages</w:t>
      </w:r>
      <w:r>
        <w:rPr>
          <w:rFonts w:ascii="Times New Roman" w:cs="Times New Roman" w:eastAsia="Times New Roman" w:hAnsi="Times New Roman"/>
          <w:sz w:val="18"/>
          <w:szCs w:val="18"/>
          <w:color w:val="auto"/>
        </w:rPr>
        <w:t>. NOTWITHSTANDING ANYTHING IN THIS AGREEMENT TO THE CONTRARY, NO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LIABLE TO ANY OTHER PARTY FOR ANY CONSEQUENTIAL, SPECIAL, INDIRECT, SPECULATIVE, EXEMPLARY, OR PUNITIVE DAMAGES (COLLECTIVELY, “</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LOSSES ARISING OUT OF THIRD PARTY CLAIMS FOR WHICH A PARTY IS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UNDER THIS AGREEMENT SHALL NOT CONSTITUTE CONSEQUENTIAL DAMAGES. FOR THE AVOIDANCE OF DOUBT, AN ACTION FOR THE PAYMENT OF THE PURCHASE PRICE SHALL NOT BE CONSIDERED CONSEQUENTIAL DAMAGES.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5" w:name="page96"/>
    <w:bookmarkEnd w:id="95"/>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8.16. </w:t>
      </w:r>
      <w:r>
        <w:rPr>
          <w:rFonts w:ascii="Times New Roman" w:cs="Times New Roman" w:eastAsia="Times New Roman" w:hAnsi="Times New Roman"/>
          <w:sz w:val="18"/>
          <w:szCs w:val="18"/>
          <w:b w:val="1"/>
          <w:bCs w:val="1"/>
          <w:i w:val="1"/>
          <w:iCs w:val="1"/>
          <w:color w:val="auto"/>
        </w:rPr>
        <w:t>Disclosures</w:t>
      </w:r>
      <w:r>
        <w:rPr>
          <w:rFonts w:ascii="Times New Roman" w:cs="Times New Roman" w:eastAsia="Times New Roman" w:hAnsi="Times New Roman"/>
          <w:sz w:val="18"/>
          <w:szCs w:val="18"/>
          <w:color w:val="auto"/>
        </w:rPr>
        <w:t>. Seller or Purchaser may, at its option, include in the Disclosure Schedules items that are not material in order to avoid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Company, the Black Rock Entities or Purchaser.</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8.17. </w:t>
      </w:r>
      <w:r>
        <w:rPr>
          <w:rFonts w:ascii="Times New Roman" w:cs="Times New Roman" w:eastAsia="Times New Roman" w:hAnsi="Times New Roman"/>
          <w:sz w:val="18"/>
          <w:szCs w:val="18"/>
          <w:b w:val="1"/>
          <w:bCs w:val="1"/>
          <w:i w:val="1"/>
          <w:iCs w:val="1"/>
          <w:color w:val="auto"/>
        </w:rPr>
        <w:t>PDF Signature; Counterparts</w:t>
      </w:r>
      <w:r>
        <w:rPr>
          <w:rFonts w:ascii="Times New Roman" w:cs="Times New Roman" w:eastAsia="Times New Roman" w:hAnsi="Times New Roman"/>
          <w:sz w:val="18"/>
          <w:szCs w:val="18"/>
          <w:color w:val="auto"/>
        </w:rPr>
        <w:t>. This Agreement may be executed by PDF signature in any number of counterparts, each of which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but all of which together will constitute one and the same instrument.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Membership Interest Purchase Agreement to be executed and delivered by their duly authorized officers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RENEW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Cornelius</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Craig Cornelius</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 Black Rock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ind w:left="45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LIGHTHOUSE RENEWABLE CLASS A LLC, 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Sotos</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Christopher S. Sotos</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r>
    </w:tbl>
    <w:p>
      <w:pPr>
        <w:spacing w:after="0" w:line="19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 Black Rock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Mesquite Sky Holding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Renew LLC, as Seller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Lighthouse Renewable Class A LLC, as Purchaser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December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ind w:left="4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67"/>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PRINCIPLES OF INTERPRETATION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1.01.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1.02.</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Rules of Interpretation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SALE OF MEMBERSHIP INTERESTS AND CLOSING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2.02.</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Payment of Purchase Price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2.03.</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Closing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2.04.</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b w:val="1"/>
                <w:bCs w:val="1"/>
                <w:i w:val="1"/>
                <w:iCs w:val="1"/>
                <w:color w:val="auto"/>
              </w:rPr>
              <w:t>djusted Purchase Price Amount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2.05.</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Post-Closing Additional Turbine Adjustments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2.06.</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Certain Proceeds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3.01.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with respect to Seller, the Company and the Mesquite Sky Entities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3.02.</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with Respect to Purchaser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CONDITIONS PRECEDENT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4.01.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Closing Date Conditions Precedent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CERTAIN COVENANTS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Other Permits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5.02.</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5.03.</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Notification of Certain Matters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5.04.</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5.05.</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Fulfillment of Conditions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5.06.</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Further Assurances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5.07.</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Purchaser’s Substitute Support Obligations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5.08.</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5.09.</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5.10.</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5.11.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Purchaser Parent Guaranty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5.12.</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Post-Execution Date Documents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INDEMNIFICATION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Seller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6.02.</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Purchaser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6.03.</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Survival of Representations, Warranties, Covenants and Agreements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6.04.</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Claims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67"/>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6.05.</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Procedure for Indemnification of Third Party Claims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6.06.</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Rights of the Indemnifying Party in the Defense of Third Party Claims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6.07.</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Direct Claims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6.08.</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Exclusive Remedy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6.09.</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Mitigations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6.10.</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Indemnity Treatment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TERMINATION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7.01.</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7.02.</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GENERAL PROVISIONS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8.01.</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Notices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8.02.</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Entire Agreement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8.03.</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8.04.</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Time of the Essence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8.05.</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8.06.</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Disclosures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8.07.</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Waiver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8.08.</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8.09.</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 Third Party Beneficiary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8.10.</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Assignment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8.11.</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Severability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8.12.</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8.13.</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Consent to Jurisdiction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8.14.</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Waiver of Jury Trial</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8.15.</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Certain Damages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8.16.</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Disclosures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8.17.</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PDF Signature; Counterparts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44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238"/>
        </w:trPr>
        <w:tc>
          <w:tcPr>
            <w:tcW w:w="1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44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(continued)</w:t>
            </w:r>
          </w:p>
        </w:tc>
        <w:tc>
          <w:tcPr>
            <w:tcW w:w="0" w:type="dxa"/>
            <w:vAlign w:val="bottom"/>
          </w:tcPr>
          <w:p>
            <w:pPr>
              <w:spacing w:after="0"/>
              <w:rPr>
                <w:sz w:val="1"/>
                <w:szCs w:val="1"/>
                <w:color w:val="auto"/>
              </w:rPr>
            </w:pPr>
          </w:p>
        </w:tc>
      </w:tr>
      <w:tr>
        <w:trPr>
          <w:trHeight w:val="216"/>
        </w:trPr>
        <w:tc>
          <w:tcPr>
            <w:tcW w:w="1800" w:type="dxa"/>
            <w:vAlign w:val="bottom"/>
            <w:vMerge w:val="continue"/>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Base Case Model</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Officer’s Certificate of Seller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Secretary’s Certificate of Seller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Officer’s Certificate of Purchaser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Secretary’s Certificate of Purchaser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 of Membership Interests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Purchaser Parent Guaranty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Build-Out Agreement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Drop Down Assignment and Assumption Agreement</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Seller Proceeds Agreement</w:t>
            </w:r>
          </w:p>
        </w:tc>
        <w:tc>
          <w:tcPr>
            <w:tcW w:w="0" w:type="dxa"/>
            <w:vAlign w:val="bottom"/>
          </w:tcPr>
          <w:p>
            <w:pPr>
              <w:spacing w:after="0"/>
              <w:rPr>
                <w:sz w:val="1"/>
                <w:szCs w:val="1"/>
                <w:color w:val="auto"/>
              </w:rPr>
            </w:pPr>
          </w:p>
        </w:tc>
      </w:tr>
      <w:tr>
        <w:trPr>
          <w:trHeight w:val="486"/>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9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1.03</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Ancillary Documents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4.01(m)</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 to be Amended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5.04(b)(xxiii)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Covenants</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6.01(b)</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Indemnification Matters</w:t>
            </w:r>
          </w:p>
        </w:tc>
        <w:tc>
          <w:tcPr>
            <w:tcW w:w="0" w:type="dxa"/>
            <w:vAlign w:val="bottom"/>
          </w:tcPr>
          <w:p>
            <w:pPr>
              <w:spacing w:after="0"/>
              <w:rPr>
                <w:sz w:val="1"/>
                <w:szCs w:val="1"/>
                <w:color w:val="auto"/>
              </w:rPr>
            </w:pPr>
          </w:p>
        </w:tc>
      </w:tr>
      <w:tr>
        <w:trPr>
          <w:trHeight w:val="486"/>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Disclosure Schedules:</w:t>
            </w:r>
          </w:p>
        </w:tc>
        <w:tc>
          <w:tcPr>
            <w:tcW w:w="9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Liens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3.01(c)</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Seller Consents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3.01(e)</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Seller Approvals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3.01(f)</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3.01(g)</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Brokers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Business Jurisdictions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Equity Encumbrances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3.01(i)(iii)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Directors and Officers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3.01(i)(v)</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Options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3.01(i)(vi)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Additional Investments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3.01(i)(vii)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Additional Business Operations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3.01(i)(ix)</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Liens on Acquired Interests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3.01(j)</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3.01(k)</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3.01(m)(i)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Contracts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3.01(m)(iii)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Contracts Defaults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3.01(n)(i)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3.01(n)(ii)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Real Property Agreements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3.01(n)(iii)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Property Rights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3.01(p)(i)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Law Non-Compliance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3.01(p)(iii)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Permits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3.01(p)(iv)</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 of Hazardous Substances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3.01(q)(i)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3.01(q)(ii)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Noncompliance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3.01(r)</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Affiliate Transactions</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3.01(s)(i)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0" w:type="dxa"/>
            <w:vAlign w:val="bottom"/>
          </w:tcPr>
          <w:p>
            <w:pPr>
              <w:spacing w:after="0"/>
              <w:rPr>
                <w:sz w:val="1"/>
                <w:szCs w:val="1"/>
                <w:color w:val="auto"/>
              </w:rPr>
            </w:pPr>
          </w:p>
        </w:tc>
      </w:tr>
      <w:tr>
        <w:trPr>
          <w:trHeight w:val="648"/>
        </w:trPr>
        <w:tc>
          <w:tcPr>
            <w:tcW w:w="180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jc w:val="center"/>
              <w:ind w:right="171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2" w:name="page103"/>
    <w:bookmarkEnd w:id="102"/>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(continued)</w:t>
      </w:r>
    </w:p>
    <w:p>
      <w:pPr>
        <w:sectPr>
          <w:pgSz w:w="11900" w:h="16838" w:orient="portrait"/>
          <w:cols w:equalWidth="0" w:num="1">
            <w:col w:w="10139"/>
          </w:cols>
          <w:pgMar w:left="320" w:top="900" w:right="1440"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5.04(b)</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Absence of 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 Approvals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of Business</w:t>
      </w:r>
    </w:p>
    <w:p>
      <w:pPr>
        <w:spacing w:after="0" w:line="200" w:lineRule="exact"/>
        <w:rPr>
          <w:sz w:val="20"/>
          <w:szCs w:val="20"/>
          <w:color w:val="auto"/>
        </w:rPr>
      </w:pPr>
    </w:p>
    <w:p>
      <w:pPr>
        <w:sectPr>
          <w:pgSz w:w="11900" w:h="16838" w:orient="portrait"/>
          <w:cols w:equalWidth="0" w:num="2">
            <w:col w:w="1280" w:space="640"/>
            <w:col w:w="8219"/>
          </w:cols>
          <w:pgMar w:left="320" w:top="900" w:right="1440" w:bottom="1440" w:gutter="0" w:footer="0" w:header="0"/>
          <w:type w:val="continuous"/>
        </w:sect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MEMBERSHIP INTEREST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December 21, 2020 (the “</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is entered into by and between Clearway Renew LLC, a Delaware limited liability company (“</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and Lighthouse Renewable Class A LLC, a Delaware limited liability company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Purchaser and Seller are referred to,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xml:space="preserve">.” Capitalized terms not otherwise defined herein shall have the meaning given them in </w:t>
      </w:r>
      <w:r>
        <w:rPr>
          <w:rFonts w:ascii="Times New Roman" w:cs="Times New Roman" w:eastAsia="Times New Roman" w:hAnsi="Times New Roman"/>
          <w:sz w:val="18"/>
          <w:szCs w:val="18"/>
          <w:i w:val="1"/>
          <w:iCs w:val="1"/>
          <w:color w:val="auto"/>
        </w:rPr>
        <w:t>Section 1.01</w:t>
      </w:r>
      <w:r>
        <w:rPr>
          <w:rFonts w:ascii="Times New Roman" w:cs="Times New Roman" w:eastAsia="Times New Roman" w:hAnsi="Times New Roman"/>
          <w:sz w:val="18"/>
          <w:szCs w:val="18"/>
          <w:color w:val="auto"/>
        </w:rPr>
        <w:t xml:space="preserve">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jc w:val="both"/>
        <w:ind w:firstLine="656"/>
        <w:spacing w:after="0" w:line="267" w:lineRule="auto"/>
        <w:tabs>
          <w:tab w:leader="none" w:pos="143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owns one hundred percent (100%) of the Class B membership interests (the “</w:t>
      </w:r>
      <w:r>
        <w:rPr>
          <w:rFonts w:ascii="Times New Roman" w:cs="Times New Roman" w:eastAsia="Times New Roman" w:hAnsi="Times New Roman"/>
          <w:sz w:val="18"/>
          <w:szCs w:val="18"/>
          <w:i w:val="1"/>
          <w:iCs w:val="1"/>
          <w:color w:val="auto"/>
        </w:rPr>
        <w:t>Class B Units</w:t>
      </w:r>
      <w:r>
        <w:rPr>
          <w:rFonts w:ascii="Times New Roman" w:cs="Times New Roman" w:eastAsia="Times New Roman" w:hAnsi="Times New Roman"/>
          <w:sz w:val="18"/>
          <w:szCs w:val="18"/>
          <w:color w:val="auto"/>
        </w:rPr>
        <w:t>”) of Mesquite Sky Holding LLC,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Apex Clean Energy Holdings, LLC (the “</w:t>
      </w:r>
      <w:r>
        <w:rPr>
          <w:rFonts w:ascii="Times New Roman" w:cs="Times New Roman" w:eastAsia="Times New Roman" w:hAnsi="Times New Roman"/>
          <w:sz w:val="18"/>
          <w:szCs w:val="18"/>
          <w:i w:val="1"/>
          <w:iCs w:val="1"/>
          <w:color w:val="auto"/>
        </w:rPr>
        <w:t>Class A Member</w:t>
      </w:r>
      <w:r>
        <w:rPr>
          <w:rFonts w:ascii="Times New Roman" w:cs="Times New Roman" w:eastAsia="Times New Roman" w:hAnsi="Times New Roman"/>
          <w:sz w:val="18"/>
          <w:szCs w:val="18"/>
          <w:color w:val="auto"/>
        </w:rPr>
        <w:t>”) owns one hundred percent (100%) of the Class A membership interests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sole member and one hundred percent (100%) owner of Mesquite Sky Class B Holdco LLC, a Delaware limited liability company (“</w:t>
      </w:r>
      <w:r>
        <w:rPr>
          <w:rFonts w:ascii="Times New Roman" w:cs="Times New Roman" w:eastAsia="Times New Roman" w:hAnsi="Times New Roman"/>
          <w:sz w:val="18"/>
          <w:szCs w:val="18"/>
          <w:i w:val="1"/>
          <w:iCs w:val="1"/>
          <w:color w:val="auto"/>
        </w:rPr>
        <w:t>Class B Holdco</w:t>
      </w:r>
      <w:r>
        <w:rPr>
          <w:rFonts w:ascii="Times New Roman" w:cs="Times New Roman" w:eastAsia="Times New Roman" w:hAnsi="Times New Roman"/>
          <w:sz w:val="18"/>
          <w:szCs w:val="18"/>
          <w:color w:val="auto"/>
        </w:rPr>
        <w:t>”), and Class B Holdco is the sole member and one hundred percent (100%) owner of Mesquite Sky TE Holdco LLC, a Delaware limited liability company (“</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4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 Holdco is the sole member and one hundred percent (100%) owner of BMP Wind LLC, a Delaware limited liability company (“</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and, together with Class B Holdco and TE Holdco, the “</w:t>
      </w:r>
      <w:r>
        <w:rPr>
          <w:rFonts w:ascii="Times New Roman" w:cs="Times New Roman" w:eastAsia="Times New Roman" w:hAnsi="Times New Roman"/>
          <w:sz w:val="18"/>
          <w:szCs w:val="18"/>
          <w:i w:val="1"/>
          <w:iCs w:val="1"/>
          <w:color w:val="auto"/>
        </w:rPr>
        <w:t>Mesquite Sky Entities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i w:val="1"/>
          <w:iCs w:val="1"/>
          <w:color w:val="auto"/>
        </w:rPr>
        <w:t>Mesquite Sky Entity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6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Company is developing an approximately 345 MW wind power project and associated infrastructure located in Callahan County, Texas (the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and sells electric power therefrom.</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0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subject to the satisfaction or waiver of the applicable conditions precedent set forth herein, fifty and one one-hundredth percent (50.01%) of the Class B Units (the “</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will be sold to Purchaser for the Purchase Price as provided herein.</w:t>
      </w:r>
    </w:p>
    <w:p>
      <w:pPr>
        <w:spacing w:after="0" w:line="159" w:lineRule="exact"/>
        <w:rPr>
          <w:rFonts w:ascii="Times New Roman" w:cs="Times New Roman" w:eastAsia="Times New Roman" w:hAnsi="Times New Roman"/>
          <w:sz w:val="18"/>
          <w:szCs w:val="18"/>
          <w:color w:val="auto"/>
        </w:rPr>
      </w:pPr>
    </w:p>
    <w:p>
      <w:pPr>
        <w:jc w:val="both"/>
        <w:ind w:firstLine="656"/>
        <w:spacing w:after="0" w:line="267" w:lineRule="auto"/>
        <w:tabs>
          <w:tab w:leader="none" w:pos="132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and HASI have agreed that, as sole shareholders of Lighthouse Renewable HoldCo LLC (the “</w:t>
      </w:r>
      <w:r>
        <w:rPr>
          <w:rFonts w:ascii="Times New Roman" w:cs="Times New Roman" w:eastAsia="Times New Roman" w:hAnsi="Times New Roman"/>
          <w:sz w:val="18"/>
          <w:szCs w:val="18"/>
          <w:i w:val="1"/>
          <w:iCs w:val="1"/>
          <w:color w:val="auto"/>
        </w:rPr>
        <w:t>Master JV HoldCo</w:t>
      </w:r>
      <w:r>
        <w:rPr>
          <w:rFonts w:ascii="Times New Roman" w:cs="Times New Roman" w:eastAsia="Times New Roman" w:hAnsi="Times New Roman"/>
          <w:sz w:val="18"/>
          <w:szCs w:val="18"/>
          <w:color w:val="auto"/>
        </w:rPr>
        <w:t>”), they shall, immediately upon the Closing, contribute their respective Class B Units to the Master JV HoldCo and cause Master JV HoldCo to be admitted as the Class B Member of the Company (the “</w:t>
      </w:r>
      <w:r>
        <w:rPr>
          <w:rFonts w:ascii="Times New Roman" w:cs="Times New Roman" w:eastAsia="Times New Roman" w:hAnsi="Times New Roman"/>
          <w:sz w:val="18"/>
          <w:szCs w:val="18"/>
          <w:i w:val="1"/>
          <w:iCs w:val="1"/>
          <w:color w:val="auto"/>
        </w:rPr>
        <w:t>Drop Down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covenants, representations and warranties set forth herein, and intending to be legally bound hereby,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PRINCIPLES OF INTERPRETATION</w:t>
      </w:r>
    </w:p>
    <w:p>
      <w:pPr>
        <w:spacing w:after="0" w:line="203"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in this Agreement, the following defined terms have the meanings indicated below:</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has the meaning set forth in the recitals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 or Proceeding</w:t>
      </w:r>
      <w:r>
        <w:rPr>
          <w:rFonts w:ascii="Times New Roman" w:cs="Times New Roman" w:eastAsia="Times New Roman" w:hAnsi="Times New Roman"/>
          <w:sz w:val="18"/>
          <w:szCs w:val="18"/>
          <w:color w:val="auto"/>
        </w:rPr>
        <w:t>” means any action, suit, proceeding, arbitration or investigation by or before any Governmental Authority.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w:t>
      </w:r>
      <w:r>
        <w:rPr>
          <w:rFonts w:ascii="Times New Roman" w:cs="Times New Roman" w:eastAsia="Times New Roman" w:hAnsi="Times New Roman"/>
          <w:sz w:val="18"/>
          <w:szCs w:val="18"/>
          <w:color w:val="auto"/>
        </w:rPr>
        <w:t>” has the meaning set forth in the Tax Equity Agreement.</w:t>
      </w:r>
    </w:p>
    <w:p>
      <w:pPr>
        <w:spacing w:after="0" w:line="22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 Amount</w:t>
      </w:r>
      <w:r>
        <w:rPr>
          <w:rFonts w:ascii="Times New Roman" w:cs="Times New Roman" w:eastAsia="Times New Roman" w:hAnsi="Times New Roman"/>
          <w:sz w:val="18"/>
          <w:szCs w:val="18"/>
          <w:color w:val="auto"/>
        </w:rPr>
        <w:t xml:space="preserve">” means, with respect to each Additional Turbine, an amount of money that is equal to the Additional Turbine Holdback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Additional Turbines.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 Deadline</w:t>
      </w:r>
      <w:r>
        <w:rPr>
          <w:rFonts w:ascii="Times New Roman" w:cs="Times New Roman" w:eastAsia="Times New Roman" w:hAnsi="Times New Roman"/>
          <w:sz w:val="18"/>
          <w:szCs w:val="18"/>
          <w:color w:val="auto"/>
        </w:rPr>
        <w:t>” means the earlier of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date on which the final Additional Turbine is Placed in Service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Date.</w:t>
      </w:r>
    </w:p>
    <w:p>
      <w:pPr>
        <w:spacing w:after="0" w:line="20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 Holdback Amount</w:t>
      </w:r>
      <w:r>
        <w:rPr>
          <w:rFonts w:ascii="Times New Roman" w:cs="Times New Roman" w:eastAsia="Times New Roman" w:hAnsi="Times New Roman"/>
          <w:sz w:val="18"/>
          <w:szCs w:val="18"/>
          <w:color w:val="auto"/>
        </w:rPr>
        <w:t>” means an amount of money that is equal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the Base Purchase Price (as adjusted pursuant to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fraction that is the result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total number of Additional Turbines,</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69.</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Model</w:t>
      </w:r>
      <w:r>
        <w:rPr>
          <w:rFonts w:ascii="Times New Roman" w:cs="Times New Roman" w:eastAsia="Times New Roman" w:hAnsi="Times New Roman"/>
          <w:sz w:val="18"/>
          <w:szCs w:val="18"/>
          <w:color w:val="auto"/>
        </w:rPr>
        <w:t>” means the Base Case Model, with the following updated by Seller prior to the Closing Date, in each case on the basis of the Pricing Adjustments:</w:t>
      </w:r>
    </w:p>
    <w:p>
      <w:pPr>
        <w:spacing w:after="0" w:line="160" w:lineRule="exact"/>
        <w:rPr>
          <w:sz w:val="20"/>
          <w:szCs w:val="20"/>
          <w:color w:val="auto"/>
        </w:rPr>
      </w:pPr>
    </w:p>
    <w:p>
      <w:pPr>
        <w:ind w:left="2040" w:hanging="736"/>
        <w:spacing w:after="0"/>
        <w:tabs>
          <w:tab w:leader="none" w:pos="2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D - TE, Input Reference J75;</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C24:25;</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Scenario, Input Reference I8;</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TE Depr, Input Reference G106-AT106</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C186, C189, C200, C203, C214, C217, C242 and C245;</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P45:WQ45, P47:AZ47, C11 and C43:C54;</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G144:G182 and H144:H182;</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E457:E492;</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G457:G492 and P505:AX505; and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C390:C391.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calculations shall assume that any expected Additional Turbines will be Placed in Service on the Outside Date.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 specified Person means any other Person that directly or indirectly through one or more intermediaries Controls, is Controlled by or is under common Control with the Person specified. For the purposes of this Agreement, Clearway Energy Group LLC and its direct or indirect subsidiaries, including Seller, the Company and the Mesquite Sky Entities shall not be considered “Affiliates” of Clearway Energy, Inc. and its direct or indirect subsidiaries, including Purchaser.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5" w:name="page106"/>
    <w:bookmarkEnd w:id="105"/>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Ancillary Document</w:t>
      </w:r>
      <w:r>
        <w:rPr>
          <w:rFonts w:ascii="Times New Roman" w:cs="Times New Roman" w:eastAsia="Times New Roman" w:hAnsi="Times New Roman"/>
          <w:sz w:val="18"/>
          <w:szCs w:val="18"/>
          <w:color w:val="auto"/>
        </w:rPr>
        <w:t xml:space="preserve">” means (a) each of the documents set forth on </w:t>
      </w:r>
      <w:r>
        <w:rPr>
          <w:rFonts w:ascii="Times New Roman" w:cs="Times New Roman" w:eastAsia="Times New Roman" w:hAnsi="Times New Roman"/>
          <w:sz w:val="18"/>
          <w:szCs w:val="18"/>
          <w:i w:val="1"/>
          <w:iCs w:val="1"/>
          <w:color w:val="auto"/>
        </w:rPr>
        <w:t>Schedule 1.03</w:t>
      </w:r>
      <w:r>
        <w:rPr>
          <w:rFonts w:ascii="Times New Roman" w:cs="Times New Roman" w:eastAsia="Times New Roman" w:hAnsi="Times New Roman"/>
          <w:sz w:val="18"/>
          <w:szCs w:val="18"/>
          <w:color w:val="auto"/>
        </w:rPr>
        <w:t xml:space="preserve"> and (b) any Financing Document, in each case, other than the Financing Agreement and the Tax Equity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i w:val="1"/>
          <w:iCs w:val="1"/>
          <w:color w:val="auto"/>
        </w:rPr>
        <w:t xml:space="preserve"> Section 5.08(b)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Assignment of Membership Interests</w:t>
      </w:r>
      <w:r>
        <w:rPr>
          <w:rFonts w:ascii="Times New Roman" w:cs="Times New Roman" w:eastAsia="Times New Roman" w:hAnsi="Times New Roman"/>
          <w:sz w:val="18"/>
          <w:szCs w:val="18"/>
          <w:color w:val="auto"/>
        </w:rPr>
        <w:t xml:space="preserve">” means the Assignment and Assumption Agreement, in substantially the form of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attached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Case Model</w:t>
      </w:r>
      <w:r>
        <w:rPr>
          <w:rFonts w:ascii="Times New Roman" w:cs="Times New Roman" w:eastAsia="Times New Roman" w:hAnsi="Times New Roman"/>
          <w:sz w:val="18"/>
          <w:szCs w:val="18"/>
          <w:color w:val="auto"/>
        </w:rPr>
        <w:t xml:space="preserve">” means the financial projections with respect to the Project in file </w:t>
      </w:r>
      <w:r>
        <w:rPr>
          <w:rFonts w:ascii="Times New Roman" w:cs="Times New Roman" w:eastAsia="Times New Roman" w:hAnsi="Times New Roman"/>
          <w:sz w:val="18"/>
          <w:szCs w:val="18"/>
          <w:i w:val="1"/>
          <w:iCs w:val="1"/>
          <w:color w:val="auto"/>
        </w:rPr>
        <w:t>Mesquite Sky Financial Model – CE Vehicle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External CWEN 12142020.xlsb</w:t>
      </w:r>
      <w:r>
        <w:rPr>
          <w:rFonts w:ascii="Times New Roman" w:cs="Times New Roman" w:eastAsia="Times New Roman" w:hAnsi="Times New Roman"/>
          <w:sz w:val="18"/>
          <w:szCs w:val="18"/>
          <w:color w:val="auto"/>
        </w:rPr>
        <w:t>, and attached as</w:t>
      </w:r>
      <w:r>
        <w:rPr>
          <w:rFonts w:ascii="Times New Roman" w:cs="Times New Roman" w:eastAsia="Times New Roman" w:hAnsi="Times New Roman"/>
          <w:sz w:val="18"/>
          <w:szCs w:val="18"/>
          <w:i w:val="1"/>
          <w:iCs w:val="1"/>
          <w:color w:val="auto"/>
        </w:rPr>
        <w:t xml:space="preserve"> Exhibit 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Build-Out Agreement</w:t>
      </w:r>
      <w:r>
        <w:rPr>
          <w:rFonts w:ascii="Times New Roman" w:cs="Times New Roman" w:eastAsia="Times New Roman" w:hAnsi="Times New Roman"/>
          <w:sz w:val="18"/>
          <w:szCs w:val="18"/>
          <w:color w:val="auto"/>
        </w:rPr>
        <w:t xml:space="preserve">” means that certain Build-Out Agreement, to be dated as of the Closing Date, by and among the Project Company, TE HoldCo, Clearway Energy Operating LLC, and each subsequent party that may become a party thereto substantially in the form and to the effect of </w:t>
      </w:r>
      <w:r>
        <w:rPr>
          <w:rFonts w:ascii="Times New Roman" w:cs="Times New Roman" w:eastAsia="Times New Roman" w:hAnsi="Times New Roman"/>
          <w:sz w:val="18"/>
          <w:szCs w:val="18"/>
          <w:i w:val="1"/>
          <w:iCs w:val="1"/>
          <w:color w:val="auto"/>
        </w:rPr>
        <w:t>Exhibit H</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Saturday, Sunday or any day on which banks located in the State of New York or the State of New Jersey are authorized or obligated to close.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Certain Seller Proceeds Agreement</w:t>
      </w:r>
      <w:r>
        <w:rPr>
          <w:rFonts w:ascii="Times New Roman" w:cs="Times New Roman" w:eastAsia="Times New Roman" w:hAnsi="Times New Roman"/>
          <w:sz w:val="18"/>
          <w:szCs w:val="18"/>
          <w:color w:val="auto"/>
        </w:rPr>
        <w:t xml:space="preserve">” means that certain Seller Proceeds Agreement, to be entered into by and between Seller and the Master JV HoldCo, substantially in the form of </w:t>
      </w:r>
      <w:r>
        <w:rPr>
          <w:rFonts w:ascii="Times New Roman" w:cs="Times New Roman" w:eastAsia="Times New Roman" w:hAnsi="Times New Roman"/>
          <w:sz w:val="18"/>
          <w:szCs w:val="18"/>
          <w:i w:val="1"/>
          <w:iCs w:val="1"/>
          <w:color w:val="auto"/>
        </w:rPr>
        <w:t>Exhibit J</w:t>
      </w:r>
      <w:r>
        <w:rPr>
          <w:rFonts w:ascii="Times New Roman" w:cs="Times New Roman" w:eastAsia="Times New Roman" w:hAnsi="Times New Roman"/>
          <w:sz w:val="18"/>
          <w:szCs w:val="18"/>
          <w:color w:val="auto"/>
        </w:rPr>
        <w:t xml:space="preserve"> attached 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Member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Holdco”</w:t>
      </w:r>
      <w:r>
        <w:rPr>
          <w:rFonts w:ascii="Times New Roman" w:cs="Times New Roman" w:eastAsia="Times New Roman" w:hAnsi="Times New Roman"/>
          <w:sz w:val="18"/>
          <w:szCs w:val="18"/>
          <w:color w:val="auto"/>
        </w:rPr>
        <w:t xml:space="preserve">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Units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Schedule Supplement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means all material Contracts and amendments, modifications and supplements thereto, to which the Company or the Mesquite Sky Entities is a party or by which the Company, the Mesquite Sky Entities or any of their assets or properties are bound.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8.15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6" w:name="page107"/>
    <w:bookmarkEnd w:id="10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Constitutive Documents</w:t>
      </w:r>
      <w:r>
        <w:rPr>
          <w:rFonts w:ascii="Times New Roman" w:cs="Times New Roman" w:eastAsia="Times New Roman" w:hAnsi="Times New Roman"/>
          <w:sz w:val="18"/>
          <w:szCs w:val="18"/>
          <w:color w:val="auto"/>
        </w:rPr>
        <w:t>” means the certificate of formation and the limited liability company agreement or partnership agreement of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Schedules</w:t>
      </w:r>
      <w:r>
        <w:rPr>
          <w:rFonts w:ascii="Times New Roman" w:cs="Times New Roman" w:eastAsia="Times New Roman" w:hAnsi="Times New Roman"/>
          <w:sz w:val="18"/>
          <w:szCs w:val="18"/>
          <w:color w:val="auto"/>
        </w:rPr>
        <w:t>” means the schedules to Seller’s and Purchaser’s representations and warranties of even date herewith delivered in connection with the execution and delivery of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Drop Down</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Drop Down Assignment &amp; Assumption Agreement</w:t>
      </w:r>
      <w:r>
        <w:rPr>
          <w:rFonts w:ascii="Times New Roman" w:cs="Times New Roman" w:eastAsia="Times New Roman" w:hAnsi="Times New Roman"/>
          <w:sz w:val="18"/>
          <w:szCs w:val="18"/>
          <w:color w:val="auto"/>
        </w:rPr>
        <w:t xml:space="preserve">” means the assignment of the Acquired Interests to be executed by Purchaser and the Master JV HoldCo immediately upon the Closing in the form attached hereto as </w:t>
      </w:r>
      <w:r>
        <w:rPr>
          <w:rFonts w:ascii="Times New Roman" w:cs="Times New Roman" w:eastAsia="Times New Roman" w:hAnsi="Times New Roman"/>
          <w:sz w:val="18"/>
          <w:szCs w:val="18"/>
          <w:i w:val="1"/>
          <w:iCs w:val="1"/>
          <w:color w:val="auto"/>
        </w:rPr>
        <w:t>Exhibit 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 Plan</w:t>
      </w:r>
      <w:r>
        <w:rPr>
          <w:rFonts w:ascii="Times New Roman" w:cs="Times New Roman" w:eastAsia="Times New Roman" w:hAnsi="Times New Roman"/>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the Company or the Mesquite Sky Entities or any ERISA Affiliate.</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Attributes</w:t>
      </w:r>
      <w:r>
        <w:rPr>
          <w:rFonts w:ascii="Times New Roman" w:cs="Times New Roman" w:eastAsia="Times New Roman" w:hAnsi="Times New Roman"/>
          <w:sz w:val="18"/>
          <w:szCs w:val="18"/>
          <w:color w:val="auto"/>
        </w:rPr>
        <w:t>” means all environmental air quality credits, green credits, carbon credits, emissions reduction credits, certificates, tags, offsets, allowances, or similar products or rights, howsoever entitled, (a) resulting from the avoidance of the emission of any gas, chemical or other substance, including mercury, nitrogen oxide, sulfur dioxide, carbon dioxide, carbon monoxide, particulate matter or similar pollutants or contaminants of air, water, or soil, gas, chemical, or other substance, and (b) attributable to the generation, purchase, sale or use of renewable energy generated or use of renewable generation technologies by the Project, or otherwise attributable to the Project, including any renewable energy credits (“</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ERCOT</w:t>
      </w:r>
      <w:r>
        <w:rPr>
          <w:rFonts w:ascii="Times New Roman" w:cs="Times New Roman" w:eastAsia="Times New Roman" w:hAnsi="Times New Roman"/>
          <w:sz w:val="18"/>
          <w:szCs w:val="18"/>
          <w:color w:val="auto"/>
        </w:rPr>
        <w:t>” means the Electric Reliability Council of Texas, Inc.</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7" w:name="page108"/>
    <w:bookmarkEnd w:id="10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 Affiliate</w:t>
      </w:r>
      <w:r>
        <w:rPr>
          <w:rFonts w:ascii="Times New Roman" w:cs="Times New Roman" w:eastAsia="Times New Roman" w:hAnsi="Times New Roman"/>
          <w:sz w:val="18"/>
          <w:szCs w:val="18"/>
          <w:color w:val="auto"/>
        </w:rPr>
        <w:t xml:space="preserve">” means any entity, trade or business that is a member of a group described in Section 414(b), (c), (m) or (o) of the Code or Section 4001(b)(1) of ERISA that includes Seller, the Company or the Mesquite Sky Entities or that is a member of the same “controlled group” as Seller pursuant to Section 4001(a)(14) of ERISA;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and the Mesquite Sky Entities shall not be considered to be ERISA Affiliates from and after the Closing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Exempt Wholesale Generator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EWG</w:t>
      </w:r>
      <w:r>
        <w:rPr>
          <w:rFonts w:ascii="Times New Roman" w:cs="Times New Roman" w:eastAsia="Times New Roman" w:hAnsi="Times New Roman"/>
          <w:sz w:val="18"/>
          <w:szCs w:val="18"/>
          <w:color w:val="auto"/>
        </w:rPr>
        <w:t>” has the meaning given to such term in PUHCA.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FERC</w:t>
      </w:r>
      <w:r>
        <w:rPr>
          <w:rFonts w:ascii="Times New Roman" w:cs="Times New Roman" w:eastAsia="Times New Roman" w:hAnsi="Times New Roman"/>
          <w:sz w:val="18"/>
          <w:szCs w:val="18"/>
          <w:color w:val="auto"/>
        </w:rPr>
        <w:t>” means the Federal Energy Regulatory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Final Completion</w:t>
      </w:r>
      <w:r>
        <w:rPr>
          <w:rFonts w:ascii="Times New Roman" w:cs="Times New Roman" w:eastAsia="Times New Roman" w:hAnsi="Times New Roman"/>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Final Completion Date</w:t>
      </w:r>
      <w:r>
        <w:rPr>
          <w:rFonts w:ascii="Times New Roman" w:cs="Times New Roman" w:eastAsia="Times New Roman" w:hAnsi="Times New Roman"/>
          <w:sz w:val="18"/>
          <w:szCs w:val="18"/>
          <w:color w:val="auto"/>
        </w:rPr>
        <w:t>” means the date on which Final Completion occurs.</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Agreement</w:t>
      </w:r>
      <w:r>
        <w:rPr>
          <w:rFonts w:ascii="Times New Roman" w:cs="Times New Roman" w:eastAsia="Times New Roman" w:hAnsi="Times New Roman"/>
          <w:sz w:val="18"/>
          <w:szCs w:val="18"/>
          <w:color w:val="auto"/>
        </w:rPr>
        <w:t xml:space="preserve">” means that certain Financing Agreement to be entered into by and among Class B Holdco, as borrower, [***], and the other lenders party thereto, in the form delivered by Seller to Purchaser prior to the Execution Date or as modified from such form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Documents</w:t>
      </w:r>
      <w:r>
        <w:rPr>
          <w:rFonts w:ascii="Times New Roman" w:cs="Times New Roman" w:eastAsia="Times New Roman" w:hAnsi="Times New Roman"/>
          <w:sz w:val="18"/>
          <w:szCs w:val="18"/>
          <w:color w:val="auto"/>
        </w:rPr>
        <w:t>” means, collectively,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Financing Documents (as defined in the Financing Agreement)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Tax Equity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FPA</w:t>
      </w:r>
      <w:r>
        <w:rPr>
          <w:rFonts w:ascii="Times New Roman" w:cs="Times New Roman" w:eastAsia="Times New Roman" w:hAnsi="Times New Roman"/>
          <w:sz w:val="18"/>
          <w:szCs w:val="18"/>
          <w:color w:val="auto"/>
        </w:rPr>
        <w:t>” means the Federal Power Act and all rules and regulations adopted thereunder.</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Fraudulent Action</w:t>
      </w:r>
      <w:r>
        <w:rPr>
          <w:rFonts w:ascii="Times New Roman" w:cs="Times New Roman" w:eastAsia="Times New Roman" w:hAnsi="Times New Roman"/>
          <w:sz w:val="18"/>
          <w:szCs w:val="18"/>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 throughout the relevant periods.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Approval</w:t>
      </w:r>
      <w:r>
        <w:rPr>
          <w:rFonts w:ascii="Times New Roman" w:cs="Times New Roman" w:eastAsia="Times New Roman" w:hAnsi="Times New Roman"/>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ERCOT, and each Regional Entity, or any court or governmental tribunal.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HASI</w:t>
      </w:r>
      <w:r>
        <w:rPr>
          <w:rFonts w:ascii="Times New Roman" w:cs="Times New Roman" w:eastAsia="Times New Roman" w:hAnsi="Times New Roman"/>
          <w:sz w:val="18"/>
          <w:szCs w:val="18"/>
          <w:color w:val="auto"/>
        </w:rPr>
        <w:t>” means HA Lighthouse LLC, a Delaware limited liability company.</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HASI Purchase Agreement</w:t>
      </w:r>
      <w:r>
        <w:rPr>
          <w:rFonts w:ascii="Times New Roman" w:cs="Times New Roman" w:eastAsia="Times New Roman" w:hAnsi="Times New Roman"/>
          <w:sz w:val="18"/>
          <w:szCs w:val="18"/>
          <w:color w:val="auto"/>
        </w:rPr>
        <w:t>” means the membership interest purchase and sale agreement pursuant to which HASI will acquire the remaining 49.99% of the Class B Units from the Seller simultaneously with the Closing.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8" w:name="page109"/>
    <w:bookmarkEnd w:id="10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Hazardous Substances</w:t>
      </w:r>
      <w:r>
        <w:rPr>
          <w:rFonts w:ascii="Times New Roman" w:cs="Times New Roman" w:eastAsia="Times New Roman" w:hAnsi="Times New Roman"/>
          <w:sz w:val="18"/>
          <w:szCs w:val="18"/>
          <w:color w:val="auto"/>
        </w:rPr>
        <w:t>” means any substance, element, compound or mixture, whether solid, liquid or gaseous: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which is defined as “hazardous waste” or “hazardous substance” or “pollutant” or “contaminant” under any Environmental Law;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which is otherwise hazardous and is subject to regulation by any Governmental Authority;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petroleum hydrocarbons (other than naturally occurring petroleum hydrocarbons);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polychlorinated biphenyls (PCBs);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asbestos-containing materials (other than naturally occurring asbestos); or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radioactive materials (other than naturally occurring radioactive materials).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all obligations of a Person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borrowed money,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evidenced by notes, bonds, debentures or similar instruments,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for the deferred purchase price of goods or services (other than trade payables or accruals incurred in the ordinary course of business and not past due),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under capital leases,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secured by a Lien on the assets of such Person, whether or not such obligation has been assumed by such Person,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with respect to reimbursement obligations for letters of credit and other similar instruments (whether or not drawn),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respect of any other amount properly characterized as indebtedness in accordance with GAAP.</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 xml:space="preserve">” means any Person claiming indemnification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Indemnifying Party</w:t>
      </w:r>
      <w:r>
        <w:rPr>
          <w:rFonts w:ascii="Times New Roman" w:cs="Times New Roman" w:eastAsia="Times New Roman" w:hAnsi="Times New Roman"/>
          <w:sz w:val="18"/>
          <w:szCs w:val="18"/>
          <w:color w:val="auto"/>
        </w:rPr>
        <w:t xml:space="preserve">” means any Person against whom a claim for indemnification is being asserted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Interconnection Agreement</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Knowledge</w:t>
      </w:r>
      <w:r>
        <w:rPr>
          <w:rFonts w:ascii="Times New Roman" w:cs="Times New Roman" w:eastAsia="Times New Roman" w:hAnsi="Times New Roman"/>
          <w:sz w:val="18"/>
          <w:szCs w:val="18"/>
          <w:color w:val="auto"/>
        </w:rPr>
        <w:t>” means the actual knowledge of [***], after reasonable inquiry of their direct reports.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3.01(n)(i)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means any liability, Indebtedness, obligation, commitment, or expense, in each case, requiring either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payment of a monetary amount,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type or fulfillment of an obligation, and in each case whether accrued, absolute, contingent, asserted, matured, unmatured, secured or unsecured.</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9" w:name="page110"/>
    <w:bookmarkEnd w:id="109"/>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Major Project Change</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delay in the construction of the Project that is reasonably likely to result in a material delay in achieving commercial operations,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material increase in the costs of, or liability to, the Project that will not be borne by Seller or otherwise paid, extinguished or fully satisfied as of the Closing Date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to the extent not taken into account in the Base Case Model, fact, event, circumstance, condition or change that has a material adverse effect on the expected generation or operating cost of the Project.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Master JV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 the Company or the Mesquite Sky Entities, individually or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economic change generally affecting the international, national or regional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electric generating industry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wholesale markets for electric power;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economic change in markets for commodities or supplies, including electric power, as applicable, used in connection with the Company or the Mesquite Sky Entities;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any change in any Laws (including Environmental Laws), industry standards generally affecting the industry or markets in which the Company or the Mesquite Sky Entities operate or GAAP;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any change in the financial condition of the Company or the Mesquite Sky Entities caused by the transactions contemplated by this Agreement;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any actions to be taken pursuant to or in accordance with this Agreement; or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the announcement or pendency of the transactions contemplated hereby, including any labor union activities or disputes;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fact, event, circumstance, condition, change or effect resulting from clauses (a) through (f) shall nonetheless be taken into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determining whether a Material Adverse Effect has occurred to the extent such changes, events, effects or occurrences have a materially disproportionate impact on the Company or the Mesquite Sky Entities, taken as whole, as compared to similarly situated businesses in the same industry and in the same geographical area, which shall be deemed to include the State of Texas.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Mesquite Sky Entity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Mesquite Sky Entities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MW</w:t>
      </w:r>
      <w:r>
        <w:rPr>
          <w:rFonts w:ascii="Times New Roman" w:cs="Times New Roman" w:eastAsia="Times New Roman" w:hAnsi="Times New Roman"/>
          <w:sz w:val="18"/>
          <w:szCs w:val="18"/>
          <w:color w:val="auto"/>
        </w:rPr>
        <w:t>” means megawatt (alternating current).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NERC</w:t>
      </w:r>
      <w:r>
        <w:rPr>
          <w:rFonts w:ascii="Times New Roman" w:cs="Times New Roman" w:eastAsia="Times New Roman" w:hAnsi="Times New Roman"/>
          <w:sz w:val="18"/>
          <w:szCs w:val="18"/>
          <w:color w:val="auto"/>
        </w:rPr>
        <w:t>” means the North American Electric Reliability Corporation.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w:t>
      </w:r>
    </w:p>
    <w:p>
      <w:pPr>
        <w:spacing w:after="0" w:line="1" w:lineRule="exact"/>
        <w:rPr>
          <w:sz w:val="20"/>
          <w:szCs w:val="20"/>
          <w:color w:val="auto"/>
        </w:rPr>
      </w:pPr>
    </w:p>
    <w:p>
      <w:pPr>
        <w:jc w:val="both"/>
        <w:ind w:firstLine="8"/>
        <w:spacing w:after="0" w:line="253" w:lineRule="auto"/>
        <w:tabs>
          <w:tab w:leader="none" w:pos="26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0" w:name="page111"/>
    <w:bookmarkEnd w:id="110"/>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means any writ, judgment, injunction, ruling, decision, order or similar direction of any Governmental Authority, whether preliminary or final.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i w:val="1"/>
          <w:iCs w:val="1"/>
          <w:color w:val="auto"/>
        </w:rPr>
        <w:t>Section 7.01(b)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w:t>
      </w:r>
      <w:r>
        <w:rPr>
          <w:rFonts w:ascii="Times New Roman" w:cs="Times New Roman" w:eastAsia="Times New Roman" w:hAnsi="Times New Roman"/>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Exceptions</w:t>
      </w:r>
      <w:r>
        <w:rPr>
          <w:rFonts w:ascii="Times New Roman" w:cs="Times New Roman" w:eastAsia="Times New Roman" w:hAnsi="Times New Roman"/>
          <w:sz w:val="18"/>
          <w:szCs w:val="18"/>
          <w:color w:val="auto"/>
        </w:rPr>
        <w:t>” means, with respect to the Real Property Rights, the following:</w:t>
      </w:r>
    </w:p>
    <w:p>
      <w:pPr>
        <w:spacing w:after="0" w:line="225" w:lineRule="exact"/>
        <w:rPr>
          <w:sz w:val="20"/>
          <w:szCs w:val="20"/>
          <w:color w:val="auto"/>
        </w:rPr>
      </w:pPr>
    </w:p>
    <w:p>
      <w:pPr>
        <w:jc w:val="both"/>
        <w:ind w:firstLine="1304"/>
        <w:spacing w:after="0" w:line="267" w:lineRule="auto"/>
        <w:tabs>
          <w:tab w:leader="none" w:pos="203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for Taxes, which are not due and payable as of the Closing Date or, if due,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Mesquite Sky Entities;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7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8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4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6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1" w:name="page112"/>
    <w:bookmarkEnd w:id="111"/>
    <w:p>
      <w:pPr>
        <w:jc w:val="both"/>
        <w:ind w:firstLine="1304"/>
        <w:spacing w:after="0" w:line="258" w:lineRule="auto"/>
        <w:tabs>
          <w:tab w:leader="none" w:pos="216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mechanic’s and materialmen’s liens for construction in progress and workmen’s, repairmen’s, warehousemen’s and carrier’s liens arising in the ordinary course of business of the Company or the Mesquite Sky Entities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to which there is no existing default on the part of the Company or the Mesquite Sky Entities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are being contested in good faith through appropriate proceedings and as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Mesquite Sky Entities.</w:t>
      </w:r>
    </w:p>
    <w:p>
      <w:pPr>
        <w:spacing w:after="0" w:line="18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mechanic’s, laborer’s, workmen’s, repairmen’s and carrier’s Liens, including all statutory Liens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relating to obligations as to which there is no existing default on the part of the Company or the Mesquite Sky Entities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Seller is contesting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Mesquite Sky Entities, as applicable;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for Taxes, assessments and other governmental charges not yet due and payable or, if due,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Mesquite Sky Entities;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good faith deposits in connection with bids, tenders, leases, contracts or other agreements, including rent security deposits;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pledges or deposits to secure public or statutory obligations or appeal bonds;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in the case of personal property owned or held by the Company or the Mesquite Sky Entities, covenants and other restrictions in the Company Contracts;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Liens relating to or arising from the Financing Documents; and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xml:space="preserve">) any other Liens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w:t>
      </w:r>
    </w:p>
    <w:p>
      <w:pPr>
        <w:spacing w:after="0" w:line="18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Placed in Service</w:t>
      </w:r>
      <w:r>
        <w:rPr>
          <w:rFonts w:ascii="Times New Roman" w:cs="Times New Roman" w:eastAsia="Times New Roman" w:hAnsi="Times New Roman"/>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Pricing Adjustments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3.01(aa)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Prudent Industry Practices</w:t>
      </w:r>
      <w:r>
        <w:rPr>
          <w:rFonts w:ascii="Times New Roman" w:cs="Times New Roman" w:eastAsia="Times New Roman" w:hAnsi="Times New Roman"/>
          <w:sz w:val="18"/>
          <w:szCs w:val="18"/>
          <w:color w:val="auto"/>
        </w:rPr>
        <w:t>” means those practices, methods, standards and procedures as are commonly used by a significant portion of those providing operating services on wind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PUCT</w:t>
      </w:r>
      <w:r>
        <w:rPr>
          <w:rFonts w:ascii="Times New Roman" w:cs="Times New Roman" w:eastAsia="Times New Roman" w:hAnsi="Times New Roman"/>
          <w:sz w:val="18"/>
          <w:szCs w:val="18"/>
          <w:color w:val="auto"/>
        </w:rPr>
        <w:t>” means the Public Utility Commission of Texas.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PUHCA</w:t>
      </w:r>
      <w:r>
        <w:rPr>
          <w:rFonts w:ascii="Times New Roman" w:cs="Times New Roman" w:eastAsia="Times New Roman" w:hAnsi="Times New Roman"/>
          <w:sz w:val="18"/>
          <w:szCs w:val="18"/>
          <w:color w:val="auto"/>
        </w:rPr>
        <w:t>” means the Public Utility Holding Company Act of 2005 and the implementing regulations of the FERC thereunder.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PURA</w:t>
      </w:r>
      <w:r>
        <w:rPr>
          <w:rFonts w:ascii="Times New Roman" w:cs="Times New Roman" w:eastAsia="Times New Roman" w:hAnsi="Times New Roman"/>
          <w:sz w:val="18"/>
          <w:szCs w:val="18"/>
          <w:color w:val="auto"/>
        </w:rPr>
        <w:t>” means the Texas Public Utility Regulatory Act and the implementing regulations of the PUCT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Indemnified Parties</w:t>
      </w:r>
      <w:r>
        <w:rPr>
          <w:rFonts w:ascii="Times New Roman" w:cs="Times New Roman" w:eastAsia="Times New Roman" w:hAnsi="Times New Roman"/>
          <w:sz w:val="18"/>
          <w:szCs w:val="18"/>
          <w:color w:val="auto"/>
        </w:rPr>
        <w:t>” means Purchaser,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 Guaranty</w:t>
      </w:r>
      <w:r>
        <w:rPr>
          <w:rFonts w:ascii="Times New Roman" w:cs="Times New Roman" w:eastAsia="Times New Roman" w:hAnsi="Times New Roman"/>
          <w:sz w:val="18"/>
          <w:szCs w:val="18"/>
          <w:color w:val="auto"/>
        </w:rPr>
        <w:t xml:space="preserve">” means the Purchaser Parent Guaranty in the form of </w:t>
      </w:r>
      <w:r>
        <w:rPr>
          <w:rFonts w:ascii="Times New Roman" w:cs="Times New Roman" w:eastAsia="Times New Roman" w:hAnsi="Times New Roman"/>
          <w:sz w:val="18"/>
          <w:szCs w:val="18"/>
          <w:i w:val="1"/>
          <w:iCs w:val="1"/>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Real Property Rights</w:t>
      </w:r>
      <w:r>
        <w:rPr>
          <w:rFonts w:ascii="Times New Roman" w:cs="Times New Roman" w:eastAsia="Times New Roman" w:hAnsi="Times New Roman"/>
          <w:sz w:val="18"/>
          <w:szCs w:val="18"/>
          <w:color w:val="auto"/>
        </w:rPr>
        <w:t>” means all real property rights and interests of the Company or the Mesquite Sky Entities, including all options, leases, easements, land use rights, access easements, transmission line easements, rights to ingress and egress, any and all bids, grants, awards, applications, rights to negotiate, and all other rights relating to the Land.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Regional Entity</w:t>
      </w:r>
      <w:r>
        <w:rPr>
          <w:rFonts w:ascii="Times New Roman" w:cs="Times New Roman" w:eastAsia="Times New Roman" w:hAnsi="Times New Roman"/>
          <w:sz w:val="18"/>
          <w:szCs w:val="18"/>
          <w:color w:val="auto"/>
        </w:rPr>
        <w:t>” means Texas Reliability Entity, Inc.</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Independent Engineer’s Report,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Environmental Report (as defined in the Tax Equity Agreement),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Wind Resource Report (as defined in the Tax Equity Agreement),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the Insurance Consultant’s Report (as defined in the Tax Equity Agreement),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the Transmission Consultant’s Report and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the Cost Seg Report, including any bring downs of such reports delivered pursuant to the Tax Equity Agreement as of the Closing Date.</w:t>
      </w:r>
    </w:p>
    <w:p>
      <w:pPr>
        <w:spacing w:after="0" w:line="18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means with respect to any Person, the officers, directors, employees, counsel, accountants, financing advisors, consultants and agents of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Fundamental Representations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Indemnified Parties</w:t>
      </w:r>
      <w:r>
        <w:rPr>
          <w:rFonts w:ascii="Times New Roman" w:cs="Times New Roman" w:eastAsia="Times New Roman" w:hAnsi="Times New Roman"/>
          <w:sz w:val="18"/>
          <w:szCs w:val="18"/>
          <w:color w:val="auto"/>
        </w:rPr>
        <w:t>” means Seller,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Substitute 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3" w:name="page114"/>
    <w:bookmarkEnd w:id="113"/>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18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Agreement</w:t>
      </w:r>
      <w:r>
        <w:rPr>
          <w:rFonts w:ascii="Times New Roman" w:cs="Times New Roman" w:eastAsia="Times New Roman" w:hAnsi="Times New Roman"/>
          <w:sz w:val="18"/>
          <w:szCs w:val="18"/>
          <w:color w:val="auto"/>
        </w:rPr>
        <w:t>” means that certain Equity Capital Contribution Agreement to be entered into by and between TE Holdco and Tax Equity Investor, that, with respect to the form of such agreement delivered by Seller to Purchaser prior to the Execution Date, is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same in all respects as to those certain conditions to the obligations of the Tax Equity Investor set forth in Section 5.2 of such form of Tax Equity Agreement,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otherwise in all other respect the same or, to the extent modified, so modified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Funding Date</w:t>
      </w:r>
      <w:r>
        <w:rPr>
          <w:rFonts w:ascii="Times New Roman" w:cs="Times New Roman" w:eastAsia="Times New Roman" w:hAnsi="Times New Roman"/>
          <w:sz w:val="18"/>
          <w:szCs w:val="18"/>
          <w:color w:val="auto"/>
        </w:rPr>
        <w:t>” means the Funding Date (as defined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Investor</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Return</w:t>
      </w:r>
      <w:r>
        <w:rPr>
          <w:rFonts w:ascii="Times New Roman" w:cs="Times New Roman" w:eastAsia="Times New Roman" w:hAnsi="Times New Roman"/>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Company</w:t>
      </w:r>
      <w:r>
        <w:rPr>
          <w:rFonts w:ascii="Times New Roman" w:cs="Times New Roman" w:eastAsia="Times New Roman" w:hAnsi="Times New Roman"/>
          <w:sz w:val="18"/>
          <w:szCs w:val="18"/>
          <w:color w:val="auto"/>
        </w:rPr>
        <w:t>” means Stewart Title Guaranty Company.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Policy</w:t>
      </w:r>
      <w:r>
        <w:rPr>
          <w:rFonts w:ascii="Times New Roman" w:cs="Times New Roman" w:eastAsia="Times New Roman" w:hAnsi="Times New Roman"/>
          <w:sz w:val="18"/>
          <w:szCs w:val="18"/>
          <w:color w:val="auto"/>
        </w:rPr>
        <w:t>” means the owner’s policy of title insurance, issued by the Title Company in favor of the Project Company, in the form of the Texas Form T-1 Owner’s Policy of Title Insurance or such replacement form contained in the Basic Manual of Rules, Rates and Forms for the Writing of Title Insurance in the State of Texas, subject only to the exceptions set forth in the Title Proforma or otherwise in a form reasonably acceptable to Purchaser.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Proforma</w:t>
      </w:r>
      <w:r>
        <w:rPr>
          <w:rFonts w:ascii="Times New Roman" w:cs="Times New Roman" w:eastAsia="Times New Roman" w:hAnsi="Times New Roman"/>
          <w:sz w:val="18"/>
          <w:szCs w:val="18"/>
          <w:color w:val="auto"/>
        </w:rPr>
        <w:t>” means the Title Policy Pro Forma (as defined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means the final and temporary regulations promulgated by the U.S. Department of Treasury under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Wind Turbine</w:t>
      </w:r>
      <w:r>
        <w:rPr>
          <w:rFonts w:ascii="Times New Roman" w:cs="Times New Roman" w:eastAsia="Times New Roman" w:hAnsi="Times New Roman"/>
          <w:sz w:val="18"/>
          <w:szCs w:val="18"/>
          <w:color w:val="auto"/>
        </w:rPr>
        <w:t>” has the meaning set forth in the Tax Equity Agreement.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4" w:name="page115"/>
    <w:bookmarkEnd w:id="114"/>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1.02.</w:t>
        <w:tab/>
        <w:t>Rules of Interpretation.</w:t>
      </w:r>
    </w:p>
    <w:p>
      <w:pPr>
        <w:spacing w:after="0" w:line="225" w:lineRule="exact"/>
        <w:rPr>
          <w:sz w:val="20"/>
          <w:szCs w:val="20"/>
          <w:color w:val="auto"/>
        </w:rPr>
      </w:pPr>
    </w:p>
    <w:p>
      <w:pPr>
        <w:ind w:firstLine="1304"/>
        <w:spacing w:after="0" w:line="286" w:lineRule="auto"/>
        <w:tabs>
          <w:tab w:leader="none" w:pos="206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As used herein, the singular shall include the plural, the masculine gender shall include the feminine and neuter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neuter gender shall include the masculine and feminine unless the context otherwise indicates.</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4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References</w:t>
      </w:r>
      <w:r>
        <w:rPr>
          <w:rFonts w:ascii="Times New Roman" w:cs="Times New Roman" w:eastAsia="Times New Roman" w:hAnsi="Times New Roman"/>
          <w:sz w:val="18"/>
          <w:szCs w:val="18"/>
          <w:color w:val="auto"/>
        </w:rPr>
        <w:t>. References to Articles and Sections are intended to refer to Articles and Sections of this Agreement,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88" w:lineRule="exact"/>
        <w:rPr>
          <w:rFonts w:ascii="Times New Roman" w:cs="Times New Roman" w:eastAsia="Times New Roman" w:hAnsi="Times New Roman"/>
          <w:sz w:val="18"/>
          <w:szCs w:val="18"/>
          <w:color w:val="auto"/>
        </w:rPr>
      </w:pPr>
    </w:p>
    <w:p>
      <w:pPr>
        <w:jc w:val="both"/>
        <w:ind w:firstLine="1304"/>
        <w:spacing w:after="0" w:line="259" w:lineRule="auto"/>
        <w:tabs>
          <w:tab w:leader="none" w:pos="213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Terms</w:t>
      </w:r>
      <w:r>
        <w:rPr>
          <w:rFonts w:ascii="Times New Roman" w:cs="Times New Roman" w:eastAsia="Times New Roman" w:hAnsi="Times New Roman"/>
          <w:sz w:val="18"/>
          <w:szCs w:val="18"/>
          <w:color w:val="auto"/>
        </w:rPr>
        <w:t>. As used in this Agreement and in any certificate or other documents made or delivered pursuant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OF MEMBERSHIP INTERESTS AND CLOSING</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2.01. </w:t>
      </w:r>
      <w:r>
        <w:rPr>
          <w:rFonts w:ascii="Times New Roman" w:cs="Times New Roman" w:eastAsia="Times New Roman" w:hAnsi="Times New Roman"/>
          <w:sz w:val="18"/>
          <w:szCs w:val="18"/>
          <w:b w:val="1"/>
          <w:bCs w:val="1"/>
          <w:i w:val="1"/>
          <w:iCs w:val="1"/>
          <w:color w:val="auto"/>
        </w:rPr>
        <w:t>Purchase and Sale</w:t>
      </w:r>
      <w:r>
        <w:rPr>
          <w:rFonts w:ascii="Times New Roman" w:cs="Times New Roman" w:eastAsia="Times New Roman" w:hAnsi="Times New Roman"/>
          <w:sz w:val="18"/>
          <w:szCs w:val="18"/>
          <w:color w:val="auto"/>
        </w:rPr>
        <w:t>. Seller agrees to sell to Purchaser, and Purchaser agrees to purchase from Seller, all of the right, title and interest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in and to the Acquired Interests at the Closing on the terms and subject to the conditions set forth in this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2.02. </w:t>
      </w:r>
      <w:r>
        <w:rPr>
          <w:rFonts w:ascii="Times New Roman" w:cs="Times New Roman" w:eastAsia="Times New Roman" w:hAnsi="Times New Roman"/>
          <w:sz w:val="18"/>
          <w:szCs w:val="18"/>
          <w:b w:val="1"/>
          <w:bCs w:val="1"/>
          <w:i w:val="1"/>
          <w:iCs w:val="1"/>
          <w:color w:val="auto"/>
        </w:rPr>
        <w:t>Payment of Purchase Price</w:t>
      </w:r>
      <w:r>
        <w:rPr>
          <w:rFonts w:ascii="Times New Roman" w:cs="Times New Roman" w:eastAsia="Times New Roman" w:hAnsi="Times New Roman"/>
          <w:sz w:val="18"/>
          <w:szCs w:val="18"/>
          <w:color w:val="auto"/>
        </w:rPr>
        <w:t>. Upon the terms and subject to the conditions hereinafter set forth, in consideration of the delivery by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Acquired Interests, Purchaser, by wire transfer of immediately available United States funds, shall pay to Seller at the Closing an amount equal to Seventy-Seven Million Three Hundred Thirty-One Thousand Eight Hundred Three Dollars ($77,331,803) (the “</w:t>
      </w:r>
      <w:r>
        <w:rPr>
          <w:rFonts w:ascii="Times New Roman" w:cs="Times New Roman" w:eastAsia="Times New Roman" w:hAnsi="Times New Roman"/>
          <w:sz w:val="18"/>
          <w:szCs w:val="18"/>
          <w:i w:val="1"/>
          <w:iCs w:val="1"/>
          <w:color w:val="auto"/>
        </w:rPr>
        <w:t>Base Purchase Price</w:t>
      </w:r>
      <w:r>
        <w:rPr>
          <w:rFonts w:ascii="Times New Roman" w:cs="Times New Roman" w:eastAsia="Times New Roman" w:hAnsi="Times New Roman"/>
          <w:sz w:val="18"/>
          <w:szCs w:val="18"/>
          <w:color w:val="auto"/>
        </w:rPr>
        <w:t xml:space="preserve">” and, as adjusted pursuant to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Section 2.05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304"/>
        <w:spacing w:after="0" w:line="261" w:lineRule="auto"/>
        <w:tabs>
          <w:tab w:leader="none" w:pos="206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closing of the transactions described in </w:t>
      </w:r>
      <w:r>
        <w:rPr>
          <w:rFonts w:ascii="Times New Roman" w:cs="Times New Roman" w:eastAsia="Times New Roman" w:hAnsi="Times New Roman"/>
          <w:sz w:val="18"/>
          <w:szCs w:val="18"/>
          <w:i w:val="1"/>
          <w:iCs w:val="1"/>
          <w:color w:val="auto"/>
        </w:rPr>
        <w:t>Section 2.01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will take place remotely via the electronic exchange of documents and signatures no later than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two (2) Business Days following the fulfillment or waiver of the conditions set forth in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xml:space="preserve"> (other than those conditions that by their nature are to be satisfied on the Closing Date)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such other time as may be determined by mutual agreement of Seller and Purchaser (the day on which the Closing takes place being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following shall occur: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ind w:left="660" w:firstLine="1292"/>
        <w:spacing w:after="0" w:line="282" w:lineRule="auto"/>
        <w:tabs>
          <w:tab w:leader="none" w:pos="285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pay the Purchase Price by wire transfer of immediately available funds to Seller’s account, which account shall be communicated by Seller to Purchaser in writing no later than two (2) Business Days prior to the Closing;</w:t>
      </w:r>
    </w:p>
    <w:p>
      <w:pPr>
        <w:spacing w:after="0" w:line="161"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deliver, or cause to be delivered, to the other Party the certificates and other deliverables pursuant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88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both Parties of the Assignment of Membership Interests and all other agreements, documents, instruments or certificates required to be delivered at or prior to the Closing pursuant to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83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Purchaser a certificate or certificates representing the Acquired Interests, duly endorsed for transfer to Purchaser or accompanied by one or more membership interests powers duly endorsed for transfer to Purchaser.</w:t>
      </w:r>
    </w:p>
    <w:p>
      <w:pPr>
        <w:spacing w:after="0" w:line="15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i w:val="1"/>
          <w:iCs w:val="1"/>
          <w:color w:val="auto"/>
        </w:rPr>
        <w:t>Adjusted Purchase Price Amount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216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less than five (5) Business Days prior to the Closing Date, Seller shall provide to Purchaser an Adjusted Purchase Price Model for purposes of calculating the Adjusted Purchase Price Amount.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Adjusted Purchase Price Amount is positive, then the Base Purchase Price shall be increased by the Adjusted Purchase Price Amount. If the Adjusted Purchase Price Amount is negative, then the Base Purchase Price shall be decreased by the absolute value of the Adjusted Purchase Price Amount. Any adjustment made under this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xml:space="preserve"> will be treated as an adjustment to the Base Purchase Price for Tax purposes.</w:t>
      </w:r>
    </w:p>
    <w:p>
      <w:pPr>
        <w:spacing w:after="0" w:line="173"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shall equal the number set forth in cell PP Adj Table Cell T9 of the Adjusted Purchase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Model.</w:t>
      </w:r>
    </w:p>
    <w:p>
      <w:pPr>
        <w:spacing w:after="0" w:line="20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7"/>
          <w:szCs w:val="17"/>
          <w:b w:val="1"/>
          <w:bCs w:val="1"/>
          <w:i w:val="1"/>
          <w:iCs w:val="1"/>
          <w:color w:val="auto"/>
        </w:rPr>
        <w:t>Post-Closing Additional Turbine Adjustments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2040" w:hanging="736"/>
        <w:spacing w:after="0"/>
        <w:tabs>
          <w:tab w:leader="none" w:pos="20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Closing Date there are no Additional Turbines, then the Base Purchase Price shall not be adjusted by this </w:t>
      </w:r>
      <w:r>
        <w:rPr>
          <w:rFonts w:ascii="Times New Roman" w:cs="Times New Roman" w:eastAsia="Times New Roman" w:hAnsi="Times New Roman"/>
          <w:sz w:val="18"/>
          <w:szCs w:val="18"/>
          <w:i w:val="1"/>
          <w:iCs w:val="1"/>
          <w:color w:val="auto"/>
        </w:rPr>
        <w:t>Section 2.05</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Closing Date there are any Additional Turbines, then:</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Purchase Price shall be decreased by an amount equal to the Additional Turbine Holdback Amount; and</w:t>
      </w:r>
    </w:p>
    <w:p>
      <w:pPr>
        <w:spacing w:after="0" w:line="22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6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there has been an adjustment to the Base Purchase Price pursuant to Section </w:t>
      </w:r>
      <w:r>
        <w:rPr>
          <w:rFonts w:ascii="Times New Roman" w:cs="Times New Roman" w:eastAsia="Times New Roman" w:hAnsi="Times New Roman"/>
          <w:sz w:val="18"/>
          <w:szCs w:val="18"/>
          <w:i w:val="1"/>
          <w:iCs w:val="1"/>
          <w:color w:val="auto"/>
        </w:rPr>
        <w:t>2.05(b)(i)</w:t>
      </w:r>
      <w:r>
        <w:rPr>
          <w:rFonts w:ascii="Times New Roman" w:cs="Times New Roman" w:eastAsia="Times New Roman" w:hAnsi="Times New Roman"/>
          <w:sz w:val="18"/>
          <w:szCs w:val="18"/>
          <w:color w:val="auto"/>
        </w:rPr>
        <w:t xml:space="preserve"> above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there are any Additional Turbines that have been Placed in Service during the period between the Closing Date and the Additional Turbine Deadline, Purchaser shall calculate the Additional Turbine Funding Amount and, within five (5) Business Days after the Additional Turbine Deadline, Purchaser shall pay to Seller the Additional Turbine Funding Amount.</w:t>
      </w:r>
    </w:p>
    <w:p>
      <w:pPr>
        <w:spacing w:after="0" w:line="179" w:lineRule="exact"/>
        <w:rPr>
          <w:rFonts w:ascii="Times New Roman" w:cs="Times New Roman" w:eastAsia="Times New Roman" w:hAnsi="Times New Roman"/>
          <w:sz w:val="18"/>
          <w:szCs w:val="18"/>
          <w:color w:val="auto"/>
        </w:rPr>
      </w:pPr>
    </w:p>
    <w:p>
      <w:pPr>
        <w:ind w:firstLine="1304"/>
        <w:spacing w:after="0" w:line="284" w:lineRule="auto"/>
        <w:tabs>
          <w:tab w:leader="none" w:pos="207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Additional Turbine Funding Amount</w:t>
      </w:r>
      <w:r>
        <w:rPr>
          <w:rFonts w:ascii="Times New Roman" w:cs="Times New Roman" w:eastAsia="Times New Roman" w:hAnsi="Times New Roman"/>
          <w:sz w:val="18"/>
          <w:szCs w:val="18"/>
          <w:color w:val="auto"/>
        </w:rPr>
        <w:t xml:space="preserve">” shall be an amount of money that is equal to the product of the Additional Turbine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Additional Turbines Placed in Service by the Additional Turbine Deadline.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2.06. </w:t>
      </w:r>
      <w:r>
        <w:rPr>
          <w:rFonts w:ascii="Times New Roman" w:cs="Times New Roman" w:eastAsia="Times New Roman" w:hAnsi="Times New Roman"/>
          <w:sz w:val="18"/>
          <w:szCs w:val="18"/>
          <w:b w:val="1"/>
          <w:bCs w:val="1"/>
          <w:i w:val="1"/>
          <w:iCs w:val="1"/>
          <w:color w:val="auto"/>
        </w:rPr>
        <w:t>Certain Proceeds</w:t>
      </w:r>
      <w:r>
        <w:rPr>
          <w:rFonts w:ascii="Times New Roman" w:cs="Times New Roman" w:eastAsia="Times New Roman" w:hAnsi="Times New Roman"/>
          <w:sz w:val="18"/>
          <w:szCs w:val="18"/>
          <w:color w:val="auto"/>
        </w:rPr>
        <w:t>. Notwithstanding anything herein to the contrary, in the event that anytime following the Final Completion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(if Purchaser receives any such payment separately and not from the Company or a Mesquite Sky Entity) or the Company or any Mesquite Sky Entity receives any payment with respect to any amounts released from any completion escrow account or any amounts released from adequate reserves established at or prior to the Closing Date in accordance with GAAP by the Company or any Mesquite Sky Entity, Purchaser and Seller agree that such amount shall be retained by, or immediately refunded to, Seller.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3.01. </w:t>
      </w:r>
      <w:r>
        <w:rPr>
          <w:rFonts w:ascii="Times New Roman" w:cs="Times New Roman" w:eastAsia="Times New Roman" w:hAnsi="Times New Roman"/>
          <w:sz w:val="18"/>
          <w:szCs w:val="18"/>
          <w:b w:val="1"/>
          <w:bCs w:val="1"/>
          <w:i w:val="1"/>
          <w:iCs w:val="1"/>
          <w:color w:val="auto"/>
        </w:rPr>
        <w:t>Representations and Warranties with respect to Seller, the Company and the Mesquite Sky Entities</w:t>
      </w:r>
      <w:r>
        <w:rPr>
          <w:rFonts w:ascii="Times New Roman" w:cs="Times New Roman" w:eastAsia="Times New Roman" w:hAnsi="Times New Roman"/>
          <w:sz w:val="18"/>
          <w:szCs w:val="18"/>
          <w:color w:val="auto"/>
        </w:rPr>
        <w:t>. Seller hereby represents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warrants to Purchaser, as of the Execution Date and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 xml:space="preserve">Section 3.01 </w:t>
      </w:r>
      <w:r>
        <w:rPr>
          <w:rFonts w:ascii="Times New Roman" w:cs="Times New Roman" w:eastAsia="Times New Roman" w:hAnsi="Times New Roman"/>
          <w:sz w:val="18"/>
          <w:szCs w:val="18"/>
          <w:color w:val="auto"/>
        </w:rPr>
        <w:t>and expressly stated to be made only as of a specified date shall be made solely as of such date:</w:t>
      </w:r>
    </w:p>
    <w:p>
      <w:pPr>
        <w:spacing w:after="0" w:line="171" w:lineRule="exact"/>
        <w:rPr>
          <w:sz w:val="20"/>
          <w:szCs w:val="20"/>
          <w:color w:val="auto"/>
        </w:rPr>
      </w:pPr>
    </w:p>
    <w:p>
      <w:pPr>
        <w:jc w:val="both"/>
        <w:ind w:firstLine="1304"/>
        <w:spacing w:after="0" w:line="268" w:lineRule="auto"/>
        <w:tabs>
          <w:tab w:leader="none" w:pos="206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color w:val="auto"/>
        </w:rPr>
        <w:t>. Seller is a limited liability company duly formed, validly existing and in good standing under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Seller has full power and authority to execute and deliver this Agreement and any other agreements to be executed and delivered by Seller hereunder, and to perform its obligations hereunder and thereunder and to consummate the transactions contemplated hereby and thereby.</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2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All actions or proceedings necessary to authorize the execution and delivery by Seller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6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(the “</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and except as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color w:val="auto"/>
        </w:rPr>
        <w:t>. The execution, delivery and performance of this Agreement by Seller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 breach of, or constitute a default under, the Constitutive Documents of Seller or the Company or any material Contract to which Seller, or Company Contract to which the Company or the Mesquite Sky Entities,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Acquired Interests or assets or properties of the Company or the Mesquite Sky Entities;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Seller, the Company or the Mesquite Sky Entities or any rights or benefits are to be received by any Person, under any Contract to which Seller, the Company or the Mesquite Sky Entities is a party;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violate in any material respect any applicable Law.</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4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Approval is required on the part of Seller, the Company or the Mesquite Sky Entities in connection with the execution, delivery and performance of this Agreement or the consummation of the transactions contemplated by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p>
      <w:pPr>
        <w:jc w:val="both"/>
        <w:ind w:firstLine="1304"/>
        <w:spacing w:after="0" w:line="255" w:lineRule="auto"/>
        <w:tabs>
          <w:tab w:leader="none" w:pos="20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except for Actions or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respect of Environmental Laws that are governed exclusively by </w:t>
      </w:r>
      <w:r>
        <w:rPr>
          <w:rFonts w:ascii="Times New Roman" w:cs="Times New Roman" w:eastAsia="Times New Roman" w:hAnsi="Times New Roman"/>
          <w:sz w:val="18"/>
          <w:szCs w:val="18"/>
          <w:i w:val="1"/>
          <w:iCs w:val="1"/>
          <w:color w:val="auto"/>
        </w:rPr>
        <w:t>Section 3.01(p)(ii)</w:t>
      </w:r>
      <w:r>
        <w:rPr>
          <w:rFonts w:ascii="Times New Roman" w:cs="Times New Roman" w:eastAsia="Times New Roman" w:hAnsi="Times New Roman"/>
          <w:sz w:val="18"/>
          <w:szCs w:val="18"/>
          <w:color w:val="auto"/>
        </w:rPr>
        <w:t>, there are no Actions or Proceedings pending or, to the Knowledge of Seller, threatened, as of the date of this Agreement against Seller, the Company or the Mesquite Sky Entities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affect Seller, the Company or the Mesquite Sky Entities or any of their assets or properties (including the Project), except, solely in respect of Seller, which would not reasonably be expected to have a material adverse effect on Seller’s ability to perform under this Agreement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would reasonably be expected to result in the issuance of an Order restraining, enjoining or otherwise prohibiting or making illegal the consummation of any of the transactions contemplated by this Agreement. None of Seller, the Company or the Mesquite Sky Entities is subject to any Order which materially restricts the operation of its business or which would reasonably be expected to have a Material Adverse Effect.</w:t>
      </w:r>
    </w:p>
    <w:p>
      <w:pPr>
        <w:spacing w:after="0" w:line="18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1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Person has any claim against the Seller,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 Mesquite Sky Entities for a finder’s fee, brokerage commission or similar payment directly or indirectly in connection with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4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Neither Seller, the Company nor the Mesquite Sky Entities is or, to the Knowledge of Seller,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past six (6) years in material violation of any material Law or Order applicable to the Company, the Mesquite Sky Entities or the Project or by which any of the Acquired Interests are bound or subject. Notwithstanding the foregoing, compliance with Environmental Laws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hereof. None of Seller, the Company nor the Mesquite Sky Entities has received notice from any Governmental Authority of any material violation of any such Law.</w:t>
      </w:r>
    </w:p>
    <w:p>
      <w:pPr>
        <w:spacing w:after="0" w:line="179"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and the Mesquite Sky Entities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83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Mesquite Sky Entities are limited liability companies validly existing and in good standing under the Laws of Delaware, and each has full power and authority to conduct its business as and to the extent now conducted and to own, use and lease its assets. The Company and the Mesquite Sky Entities are duly qualified, licensed or admitted to do business and are in good standing in those jurisdictions specified in </w:t>
      </w:r>
      <w:r>
        <w:rPr>
          <w:rFonts w:ascii="Times New Roman" w:cs="Times New Roman" w:eastAsia="Times New Roman" w:hAnsi="Times New Roman"/>
          <w:sz w:val="18"/>
          <w:szCs w:val="18"/>
          <w:i w:val="1"/>
          <w:iCs w:val="1"/>
          <w:color w:val="auto"/>
        </w:rPr>
        <w:t>Schedule 3.01(i)</w:t>
      </w:r>
      <w:r>
        <w:rPr>
          <w:rFonts w:ascii="Times New Roman" w:cs="Times New Roman" w:eastAsia="Times New Roman" w:hAnsi="Times New Roman"/>
          <w:sz w:val="18"/>
          <w:szCs w:val="18"/>
          <w:color w:val="auto"/>
        </w:rPr>
        <w:t xml:space="preserve"> of the Disclosure Schedules, which are the only jurisdictions in which the ownership, use or leasing of the Company’s assets and the Mesquite Sky Entities’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76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issued and outstanding Acquired Interests are owned directly, beneficially and of record by Seller free and clear of all Liens,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and for the ownership by the Tax Equity Investor following the consummation of the transactions contemplated by the Tax Equity Agreement, all of the issued and outstanding equity interests of the Mesquite Sky Entities are owned directly or indirectly, beneficially and of record by the Company, free and clear of all Liens except as set forth in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All of the equity interests of the Company and the Mesquite Sky Entities have been duly authorized, validly issued and are fully paid and non-assessable and have been issued in compliance with federal and state securities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p>
      <w:pPr>
        <w:ind w:left="660" w:firstLine="1292"/>
        <w:spacing w:after="0" w:line="282" w:lineRule="auto"/>
        <w:tabs>
          <w:tab w:leader="none" w:pos="280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each director and officer (or similar positions) of the Company and the Mesquite Sky Entities, and the position with the Company or the Mesquite Sky Entities held by each, are listed in </w:t>
      </w:r>
      <w:r>
        <w:rPr>
          <w:rFonts w:ascii="Times New Roman" w:cs="Times New Roman" w:eastAsia="Times New Roman" w:hAnsi="Times New Roman"/>
          <w:sz w:val="18"/>
          <w:szCs w:val="18"/>
          <w:i w:val="1"/>
          <w:iCs w:val="1"/>
          <w:color w:val="auto"/>
        </w:rPr>
        <w:t>Schedule 3.01(i)(iii)</w:t>
      </w:r>
      <w:r>
        <w:rPr>
          <w:rFonts w:ascii="Times New Roman" w:cs="Times New Roman" w:eastAsia="Times New Roman" w:hAnsi="Times New Roman"/>
          <w:sz w:val="18"/>
          <w:szCs w:val="18"/>
          <w:color w:val="auto"/>
        </w:rPr>
        <w:t xml:space="preserve"> of the Disclosure Schedules.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304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prior to the execution of this Agreement, delivered to Purchaser true and complete copies of the Constitutive Documents of the Company and the Mesquite Sky Entities as in effect on the date hereof.</w:t>
      </w:r>
    </w:p>
    <w:p>
      <w:pPr>
        <w:spacing w:after="0" w:line="159"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89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Part I of </w:t>
      </w:r>
      <w:r>
        <w:rPr>
          <w:rFonts w:ascii="Times New Roman" w:cs="Times New Roman" w:eastAsia="Times New Roman" w:hAnsi="Times New Roman"/>
          <w:sz w:val="18"/>
          <w:szCs w:val="18"/>
          <w:i w:val="1"/>
          <w:iCs w:val="1"/>
          <w:color w:val="auto"/>
        </w:rPr>
        <w:t>Schedule 3.01(i)(v)</w:t>
      </w:r>
      <w:r>
        <w:rPr>
          <w:rFonts w:ascii="Times New Roman" w:cs="Times New Roman" w:eastAsia="Times New Roman" w:hAnsi="Times New Roman"/>
          <w:sz w:val="18"/>
          <w:szCs w:val="18"/>
          <w:color w:val="auto"/>
        </w:rPr>
        <w:t xml:space="preserve"> of the Disclosure Schedules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are no outstanding Options issued or granted by, or binding upon, the Company or the Mesquite Sky Entities for any Person to purchase or sell or otherwise acquire or dispose of any equity interest or other security or interest in the Company or the Mesquite Sky Entities other than as set forth under this Agreement. Except as set forth in Part II of </w:t>
      </w:r>
      <w:r>
        <w:rPr>
          <w:rFonts w:ascii="Times New Roman" w:cs="Times New Roman" w:eastAsia="Times New Roman" w:hAnsi="Times New Roman"/>
          <w:sz w:val="18"/>
          <w:szCs w:val="18"/>
          <w:i w:val="1"/>
          <w:iCs w:val="1"/>
          <w:color w:val="auto"/>
        </w:rPr>
        <w:t>Schedule 3.01(i)(v)</w:t>
      </w:r>
      <w:r>
        <w:rPr>
          <w:rFonts w:ascii="Times New Roman" w:cs="Times New Roman" w:eastAsia="Times New Roman" w:hAnsi="Times New Roman"/>
          <w:sz w:val="18"/>
          <w:szCs w:val="18"/>
          <w:color w:val="auto"/>
        </w:rPr>
        <w:t xml:space="preserve"> of the Disclosure Schedules, none of the Acquired Interests or the membership interests of the Mesquite Sky Entities are subject to any voting trust or voting trust agreement, voting agreement, pledge agreement, buy-sell agreement, right of first refusal, preemptive right or proxy.</w:t>
      </w:r>
    </w:p>
    <w:p>
      <w:pPr>
        <w:spacing w:after="0" w:line="182"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78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i w:val="1"/>
          <w:iCs w:val="1"/>
          <w:color w:val="auto"/>
        </w:rPr>
        <w:t>Section 3.01(i)(ii)</w:t>
      </w:r>
      <w:r>
        <w:rPr>
          <w:rFonts w:ascii="Times New Roman" w:cs="Times New Roman" w:eastAsia="Times New Roman" w:hAnsi="Times New Roman"/>
          <w:sz w:val="18"/>
          <w:szCs w:val="18"/>
          <w:color w:val="auto"/>
        </w:rPr>
        <w:t xml:space="preserve"> and as set forth on </w:t>
      </w:r>
      <w:r>
        <w:rPr>
          <w:rFonts w:ascii="Times New Roman" w:cs="Times New Roman" w:eastAsia="Times New Roman" w:hAnsi="Times New Roman"/>
          <w:sz w:val="18"/>
          <w:szCs w:val="18"/>
          <w:i w:val="1"/>
          <w:iCs w:val="1"/>
          <w:color w:val="auto"/>
        </w:rPr>
        <w:t>Schedule 3.01(i)(vi)</w:t>
      </w:r>
      <w:r>
        <w:rPr>
          <w:rFonts w:ascii="Times New Roman" w:cs="Times New Roman" w:eastAsia="Times New Roman" w:hAnsi="Times New Roman"/>
          <w:sz w:val="18"/>
          <w:szCs w:val="18"/>
          <w:color w:val="auto"/>
        </w:rPr>
        <w:t xml:space="preserve"> of the Disclosure Schedules, neither the Company nor the Mesquite Sky Entities have any subsidiaries, equity interests, interests in joint ventures or general or limited partnerships or other investment or portfolio assets of a similar nature.</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78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3.01(i)(vii)</w:t>
      </w:r>
      <w:r>
        <w:rPr>
          <w:rFonts w:ascii="Times New Roman" w:cs="Times New Roman" w:eastAsia="Times New Roman" w:hAnsi="Times New Roman"/>
          <w:sz w:val="18"/>
          <w:szCs w:val="18"/>
          <w:color w:val="auto"/>
        </w:rPr>
        <w:t xml:space="preserve"> of the Disclosure Schedules, neither the Company nor the Mesquite Sky Entities conduct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business other than the development, ownership, operation and management of the Project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any operations other than those incidental to the ownership, operation, and management of the Project.</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2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records of the Company and the Mesquite Sky Entities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all material respects, accurate and complete and have been maintained in accordance with good business practices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state in reasonable detail and accurately and fairly reflect the activities and transactions of the Company and the Mesquite Sky Entities.</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7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execution and delivery by Seller of the Assignment of Membership Interests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except as set forth in </w:t>
      </w:r>
      <w:r>
        <w:rPr>
          <w:rFonts w:ascii="Times New Roman" w:cs="Times New Roman" w:eastAsia="Times New Roman" w:hAnsi="Times New Roman"/>
          <w:sz w:val="18"/>
          <w:szCs w:val="18"/>
          <w:i w:val="1"/>
          <w:iCs w:val="1"/>
          <w:color w:val="auto"/>
        </w:rPr>
        <w:t>Schedule 3.01(i)(ix)</w:t>
      </w:r>
      <w:r>
        <w:rPr>
          <w:rFonts w:ascii="Times New Roman" w:cs="Times New Roman" w:eastAsia="Times New Roman" w:hAnsi="Times New Roman"/>
          <w:sz w:val="18"/>
          <w:szCs w:val="18"/>
          <w:color w:val="auto"/>
        </w:rPr>
        <w:t xml:space="preserve"> of the Disclosure Schedules.</w:t>
      </w:r>
    </w:p>
    <w:p>
      <w:pPr>
        <w:spacing w:after="0" w:line="177"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8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Undisclosed Liabilities</w:t>
      </w:r>
      <w:r>
        <w:rPr>
          <w:rFonts w:ascii="Times New Roman" w:cs="Times New Roman" w:eastAsia="Times New Roman" w:hAnsi="Times New Roman"/>
          <w:sz w:val="18"/>
          <w:szCs w:val="18"/>
          <w:color w:val="auto"/>
        </w:rPr>
        <w:t>. Neither the Company nor the Mesquite Sky Entities has any liability or obligation that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disclosed on a balance sheet prepared in accordance with GAAP, except for the liabilities and obligations of the Company or the Mesquite Sky Entities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incurred in the ordinary course of business consistent with past practice,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that do not and are not individually or in the aggregate reasonably expected to have a Material Adverse Effect,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that constitute amounts payable under the Company Contracts expressly provided for under existing Company Contracts that have not arisen from a breach thereof or thereunder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i w:val="1"/>
          <w:iCs w:val="1"/>
          <w:color w:val="auto"/>
        </w:rPr>
        <w:t>Schedule 3.01(j)</w:t>
      </w:r>
      <w:r>
        <w:rPr>
          <w:rFonts w:ascii="Times New Roman" w:cs="Times New Roman" w:eastAsia="Times New Roman" w:hAnsi="Times New Roman"/>
          <w:sz w:val="18"/>
          <w:szCs w:val="18"/>
          <w:color w:val="auto"/>
        </w:rPr>
        <w:t xml:space="preserve"> of the Disclosure Schedules.</w:t>
      </w:r>
    </w:p>
    <w:p>
      <w:pPr>
        <w:spacing w:after="0" w:line="179" w:lineRule="exact"/>
        <w:rPr>
          <w:rFonts w:ascii="Times New Roman" w:cs="Times New Roman" w:eastAsia="Times New Roman" w:hAnsi="Times New Roman"/>
          <w:sz w:val="18"/>
          <w:szCs w:val="18"/>
          <w:color w:val="auto"/>
        </w:rPr>
      </w:pPr>
    </w:p>
    <w:p>
      <w:pPr>
        <w:ind w:firstLine="1304"/>
        <w:spacing w:after="0" w:line="286" w:lineRule="auto"/>
        <w:tabs>
          <w:tab w:leader="none" w:pos="208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since the date of formation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Mesquite Sky Entities, as applicable: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jc w:val="both"/>
        <w:ind w:left="660" w:firstLine="1292"/>
        <w:spacing w:after="0" w:line="255" w:lineRule="auto"/>
        <w:tabs>
          <w:tab w:leader="none" w:pos="272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federal and all other material Tax Returns required to be filed by or with respect to the Company or the Mesquite Sky Entities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the Company or the Mesquite Sky Entities (or income attributable thereto), and Seller, Affiliates of Seller, the Company and the Mesquite Sky Entities have paid, or made adequate provisions for the payment of, all Taxes, assessments and other charges due or claimed to be due (regardless of whether shown on any Tax Return) from the Company or the Mesquite Sky Entities or for which the Company, Mesquite Sky Entities or the Purchaser could be held liable.</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92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(i) Actions or Proceedings currently pending or threatened in writing against the Company or the Mesquite Sky Entities or related to their business operations, by any Governmental Authority for the assessment or collection of Taxes, (ii) audits or other examinations of any Tax Return of the Company or the Mesquite Sky Entities (or income attributable thereto) in progress nor has Seller, any Affiliate of Seller, the Company or the Mesquite Sky Entities been notified in writing of any request for examination with respect to the Company or the Mesquite Sky Entities, (iii) claims for assessment or collection of Taxes that have been asserted in writing against Seller or any Affiliate of Seller with respect to the Company or the Mesquite Sky Entities, the Company or the Mesquite Sky Entities (or the income attributable thereto) or (iv) matters under discussion with any Governmental Authority regarding claims for assessment or collection of Taxes against the Company or the Mesquite Sky Entities (or income attributable thereto). There are no outstanding agreements, waivers or consents extending the statutory period of limitations applicable to any Tax of the Company or the Mesquite Sky Entities, and, except as set forth on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color w:val="auto"/>
        </w:rPr>
        <w:t xml:space="preserve"> of the Disclosure Schedules, neither the Company nor the Mesquite Sky Entities has requested any extensions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2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Mesquite Sky Entities have been properly classified for federal and state income Tax purposes as disregarded entities or partnerships under Treasury Regulations Section 301.7701-2 and -3 and neither Seller nor any Affiliate of Seller has made or caused to be made any election for any Tax purposes to classify the Company or the Mesquite Sky Entities as other than a disregarded entity or partnership.</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3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Mesquite Sky Entities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7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never entered into or been a party to any “listed transaction,” as defined in Section 1.6011-4(b)(2)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Treasury Regulations.</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71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property owned by either the Company or the Mesquite Sky Entities is “tax exempt use property” within the meaning of Section 168(h) of the Code or “tax exempt bond financed property” within the meaning of Code Section 168(g)(5).</w:t>
      </w:r>
    </w:p>
    <w:p>
      <w:pPr>
        <w:spacing w:after="0" w:line="157" w:lineRule="exact"/>
        <w:rPr>
          <w:rFonts w:ascii="Times New Roman" w:cs="Times New Roman" w:eastAsia="Times New Roman" w:hAnsi="Times New Roman"/>
          <w:sz w:val="18"/>
          <w:szCs w:val="18"/>
          <w:color w:val="auto"/>
        </w:rPr>
      </w:pPr>
    </w:p>
    <w:p>
      <w:pPr>
        <w:ind w:firstLine="1304"/>
        <w:spacing w:after="0" w:line="286" w:lineRule="auto"/>
        <w:tabs>
          <w:tab w:leader="none" w:pos="201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Neither the Company nor the Mesquite Sky Entities has, nor has ever had, any employees or any liability, actual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with respect to any Employee Plan.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ind w:left="980" w:hanging="796"/>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Contracts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60" w:firstLine="1292"/>
        <w:spacing w:after="0" w:line="284" w:lineRule="auto"/>
        <w:tabs>
          <w:tab w:leader="none" w:pos="155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3.01(m)(i) </w:t>
      </w:r>
      <w:r>
        <w:rPr>
          <w:rFonts w:ascii="Times New Roman" w:cs="Times New Roman" w:eastAsia="Times New Roman" w:hAnsi="Times New Roman"/>
          <w:sz w:val="18"/>
          <w:szCs w:val="18"/>
          <w:color w:val="auto"/>
        </w:rPr>
        <w:t>of the Disclosure Schedules contains a true, correct and complete list of all Company Contracts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Execution Date, which includes as of such Execution Date:</w:t>
      </w:r>
    </w:p>
    <w:p>
      <w:pPr>
        <w:spacing w:after="0" w:line="160" w:lineRule="exact"/>
        <w:rPr>
          <w:rFonts w:ascii="Times New Roman" w:cs="Times New Roman" w:eastAsia="Times New Roman" w:hAnsi="Times New Roman"/>
          <w:sz w:val="18"/>
          <w:szCs w:val="18"/>
          <w:color w:val="auto"/>
        </w:rPr>
      </w:pPr>
    </w:p>
    <w:p>
      <w:pPr>
        <w:ind w:left="2720" w:hanging="1240"/>
        <w:spacing w:after="0"/>
        <w:tabs>
          <w:tab w:leader="none" w:pos="272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purchase, exchange or sale of electric power, capacity, ancillary services or</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Attributes;</w:t>
      </w:r>
    </w:p>
    <w:p>
      <w:pPr>
        <w:spacing w:after="0" w:line="206" w:lineRule="exact"/>
        <w:rPr>
          <w:rFonts w:ascii="Times New Roman" w:cs="Times New Roman" w:eastAsia="Times New Roman" w:hAnsi="Times New Roman"/>
          <w:sz w:val="18"/>
          <w:szCs w:val="18"/>
          <w:color w:val="auto"/>
        </w:rPr>
      </w:pPr>
    </w:p>
    <w:p>
      <w:pPr>
        <w:ind w:left="2260" w:hanging="780"/>
        <w:spacing w:after="0"/>
        <w:tabs>
          <w:tab w:leader="none" w:pos="226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transmission of electric power;</w:t>
      </w:r>
    </w:p>
    <w:p>
      <w:pPr>
        <w:spacing w:after="0" w:line="225" w:lineRule="exact"/>
        <w:rPr>
          <w:rFonts w:ascii="Times New Roman" w:cs="Times New Roman" w:eastAsia="Times New Roman" w:hAnsi="Times New Roman"/>
          <w:sz w:val="18"/>
          <w:szCs w:val="18"/>
          <w:color w:val="auto"/>
        </w:rPr>
      </w:pPr>
    </w:p>
    <w:p>
      <w:pPr>
        <w:ind w:left="2260" w:hanging="780"/>
        <w:spacing w:after="0"/>
        <w:tabs>
          <w:tab w:leader="none" w:pos="226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interconnection Contracts for electricity;</w:t>
      </w:r>
    </w:p>
    <w:p>
      <w:pPr>
        <w:spacing w:after="0" w:line="225" w:lineRule="exact"/>
        <w:rPr>
          <w:rFonts w:ascii="Times New Roman" w:cs="Times New Roman" w:eastAsia="Times New Roman" w:hAnsi="Times New Roman"/>
          <w:sz w:val="18"/>
          <w:szCs w:val="18"/>
          <w:color w:val="auto"/>
        </w:rPr>
      </w:pPr>
    </w:p>
    <w:p>
      <w:pPr>
        <w:ind w:left="2260" w:hanging="780"/>
        <w:spacing w:after="0"/>
        <w:tabs>
          <w:tab w:leader="none" w:pos="226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Seller, HASI or any of their respective Affiliates; and</w:t>
      </w:r>
    </w:p>
    <w:p>
      <w:pPr>
        <w:spacing w:after="0" w:line="225" w:lineRule="exact"/>
        <w:rPr>
          <w:rFonts w:ascii="Times New Roman" w:cs="Times New Roman" w:eastAsia="Times New Roman" w:hAnsi="Times New Roman"/>
          <w:sz w:val="18"/>
          <w:szCs w:val="18"/>
          <w:color w:val="auto"/>
        </w:rPr>
      </w:pPr>
    </w:p>
    <w:p>
      <w:pPr>
        <w:ind w:left="2300" w:hanging="820"/>
        <w:spacing w:after="0"/>
        <w:tabs>
          <w:tab w:leader="none" w:pos="230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Acquired Interests or membership interests of the Company or the Mesquite Sky</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w:t>
      </w:r>
    </w:p>
    <w:p>
      <w:pPr>
        <w:spacing w:after="0" w:line="206"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7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has provided Purchaser with, or access to, true, correct and complete copies of all the Company Contracts required to be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and the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and all amendments, modifications and supplements thereto. Each Company Contract constitutes the legal, valid, binding and enforceable obligation of the Company or the Mesquite Sky Entities party thereto and to the Knowledge of Seller, the other parties thereto, except as may be limited by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bankruptcy, insolvency, reorganization, moratorium and other similar laws of general application affecting the rights and remedies of creditors,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general principles of equity (regardless of whether such enforcement is considered in a proceeding in equity or at law). Each Company Contract is in full force and effect.</w:t>
      </w:r>
    </w:p>
    <w:p>
      <w:pPr>
        <w:spacing w:after="0" w:line="186"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59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i w:val="1"/>
          <w:iCs w:val="1"/>
          <w:color w:val="auto"/>
        </w:rPr>
        <w:t>Schedule 3.01(m)(iii)</w:t>
      </w:r>
      <w:r>
        <w:rPr>
          <w:rFonts w:ascii="Times New Roman" w:cs="Times New Roman" w:eastAsia="Times New Roman" w:hAnsi="Times New Roman"/>
          <w:sz w:val="18"/>
          <w:szCs w:val="18"/>
          <w:color w:val="auto"/>
        </w:rPr>
        <w:t xml:space="preserve"> of the Disclosure Schedules, neither the Company nor the Mesquite Sky Entities or, to the Knowledge of Seller, the other parties thereto, is in material violation or material breach of or material default under any Company Contract to which it is a party.</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85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the Company or any of the Mesquite Sky Entities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175"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62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3.01(n)(i) </w:t>
      </w:r>
      <w:r>
        <w:rPr>
          <w:rFonts w:ascii="Times New Roman" w:cs="Times New Roman" w:eastAsia="Times New Roman" w:hAnsi="Times New Roman"/>
          <w:sz w:val="18"/>
          <w:szCs w:val="18"/>
          <w:color w:val="auto"/>
        </w:rPr>
        <w:t>of the Disclosure Schedules lists all Real Property Rights of the Company and the Mesquite Sky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the real property in which the Company and the Mesquite Sky Entities have Real Property Rights, and appurtenances thereto (collectively, the “</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The Land is free and clear of all Liens except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Permitted Exceptions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as disclosed in the Title Proforma.</w:t>
      </w:r>
    </w:p>
    <w:p>
      <w:pPr>
        <w:spacing w:after="0" w:line="3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121" w:name="page122"/>
    <w:bookmarkEnd w:id="121"/>
    <w:p>
      <w:pPr>
        <w:jc w:val="both"/>
        <w:ind w:left="660" w:firstLine="1292"/>
        <w:spacing w:after="0" w:line="267" w:lineRule="auto"/>
        <w:tabs>
          <w:tab w:leader="none" w:pos="2811"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3.01(n)(ii)</w:t>
      </w:r>
      <w:r>
        <w:rPr>
          <w:rFonts w:ascii="Times New Roman" w:cs="Times New Roman" w:eastAsia="Times New Roman" w:hAnsi="Times New Roman"/>
          <w:sz w:val="18"/>
          <w:szCs w:val="18"/>
          <w:color w:val="auto"/>
        </w:rPr>
        <w:t xml:space="preserve"> of the Disclosure Schedules, neither the Company nor the Mesquite Sky Entities has entered into any assignment, lease, license, sublease, easement or other agreement granting to any Person any right to the possession, use, occupancy or enjoyment of the Land.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3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the Mesquite Sky Entities has caused or suffered to exist any easement, right-of-way, covenant, condition, restriction, reservation, license, agreement or other similar matter that would materially interfere with the operation of the Project or the business of the Company or the Mesquite Sky Entities in respect of the Real Property Rights, except as set forth on Part I of </w:t>
      </w:r>
      <w:r>
        <w:rPr>
          <w:rFonts w:ascii="Times New Roman" w:cs="Times New Roman" w:eastAsia="Times New Roman" w:hAnsi="Times New Roman"/>
          <w:sz w:val="18"/>
          <w:szCs w:val="18"/>
          <w:i w:val="1"/>
          <w:iCs w:val="1"/>
          <w:color w:val="auto"/>
        </w:rPr>
        <w:t xml:space="preserve">Schedule 3.01(n)(iii) </w:t>
      </w:r>
      <w:r>
        <w:rPr>
          <w:rFonts w:ascii="Times New Roman" w:cs="Times New Roman" w:eastAsia="Times New Roman" w:hAnsi="Times New Roman"/>
          <w:sz w:val="18"/>
          <w:szCs w:val="18"/>
          <w:color w:val="auto"/>
        </w:rPr>
        <w:t>of the Disclosure Schedules or in the Title Proforma.</w:t>
      </w:r>
    </w:p>
    <w:p>
      <w:pPr>
        <w:spacing w:after="0" w:line="177" w:lineRule="exact"/>
        <w:rPr>
          <w:rFonts w:ascii="Times New Roman" w:cs="Times New Roman" w:eastAsia="Times New Roman" w:hAnsi="Times New Roman"/>
          <w:sz w:val="18"/>
          <w:szCs w:val="18"/>
          <w:color w:val="auto"/>
        </w:rPr>
      </w:pPr>
    </w:p>
    <w:p>
      <w:pPr>
        <w:ind w:left="660" w:firstLine="1292"/>
        <w:spacing w:after="0" w:line="284" w:lineRule="auto"/>
        <w:tabs>
          <w:tab w:leader="none" w:pos="270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Part II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the Real Property Rights are all the real property rights necessary for the Company and the Mesquite Sky Entities to develop, construct, own and operate the Project.</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6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the Company or the Mesquite Sky Entities has received any written notice of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condemnation, eminent domain or similar governmental proceeding materially affecting, individually or in the aggregate, the Project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zoning, ordinance, building, fire, health, or safety code violations materially affecting the Project.</w:t>
      </w:r>
    </w:p>
    <w:p>
      <w:pPr>
        <w:spacing w:after="0" w:line="171" w:lineRule="exact"/>
        <w:rPr>
          <w:rFonts w:ascii="Times New Roman" w:cs="Times New Roman" w:eastAsia="Times New Roman" w:hAnsi="Times New Roman"/>
          <w:sz w:val="18"/>
          <w:szCs w:val="18"/>
          <w:color w:val="auto"/>
        </w:rPr>
      </w:pPr>
    </w:p>
    <w:p>
      <w:pPr>
        <w:jc w:val="both"/>
        <w:ind w:firstLine="1304"/>
        <w:spacing w:after="0" w:line="268" w:lineRule="auto"/>
        <w:tabs>
          <w:tab w:leader="none" w:pos="209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Title Policy</w:t>
      </w:r>
      <w:r>
        <w:rPr>
          <w:rFonts w:ascii="Times New Roman" w:cs="Times New Roman" w:eastAsia="Times New Roman" w:hAnsi="Times New Roman"/>
          <w:sz w:val="18"/>
          <w:szCs w:val="18"/>
          <w:color w:val="auto"/>
        </w:rPr>
        <w:t>. As of the Closing Date, Seller has provided to Purchaser a true and correct copy of the Title Policy covering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 Property Rights. The Real Property Rights are subject only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Permitted Exceptions,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matters disclosed in the Title Policy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matters consented to in writing by Purchaser.</w:t>
      </w:r>
    </w:p>
    <w:p>
      <w:pPr>
        <w:spacing w:after="0" w:line="170"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6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3.01(p)(i)</w:t>
      </w:r>
      <w:r>
        <w:rPr>
          <w:rFonts w:ascii="Times New Roman" w:cs="Times New Roman" w:eastAsia="Times New Roman" w:hAnsi="Times New Roman"/>
          <w:sz w:val="18"/>
          <w:szCs w:val="18"/>
          <w:color w:val="auto"/>
        </w:rPr>
        <w:t xml:space="preserve"> of the Disclosure Schedules, the Company and the Mesquite Sky Entities are in compliance with all Environmental Laws, except to the extent that any such material non-compliance would not reasonably be expected to have a Material Adverse Effect. There is no material violation of any Environmental Law or other material liability arising under any Environmental Law with respect to the Project or the Land.</w:t>
      </w:r>
    </w:p>
    <w:p>
      <w:pPr>
        <w:spacing w:after="0" w:line="18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97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or Proceedings pending or, to the Knowledge of Seller, threatened, as of the date of this Agreement against Seller (solely in respect of the Project, the Company or the Mesquite Sky Entities), the Company or the Mesquite Sky Entities relating to any material violation of Environmental Law. None of Seller, the Company or the Mesquite Sky Entities has received written notice from any Governmental Authority of any material violation of any Environmental Law in respect of the Project, the Company or the Mesquite Sky Entities (other than those violations that have been resolved or remedied).</w:t>
      </w:r>
    </w:p>
    <w:p>
      <w:pPr>
        <w:spacing w:after="0" w:line="18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316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3.01(p)(iii) </w:t>
      </w:r>
      <w:r>
        <w:rPr>
          <w:rFonts w:ascii="Times New Roman" w:cs="Times New Roman" w:eastAsia="Times New Roman" w:hAnsi="Times New Roman"/>
          <w:sz w:val="18"/>
          <w:szCs w:val="18"/>
          <w:color w:val="auto"/>
        </w:rPr>
        <w:t>of the Disclosure Schedules sets forth all material Permits required pursuant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Environmental Law to be acquired or held by or for the benefit of Seller, the Company or the Mesquite Sky Entities for the development, construction, ownership, use or operation of the Land or the business of the Company and the Mesquite Sky Entities as currently conducted. Except as set forth in </w:t>
      </w:r>
      <w:r>
        <w:rPr>
          <w:rFonts w:ascii="Times New Roman" w:cs="Times New Roman" w:eastAsia="Times New Roman" w:hAnsi="Times New Roman"/>
          <w:sz w:val="18"/>
          <w:szCs w:val="18"/>
          <w:i w:val="1"/>
          <w:iCs w:val="1"/>
          <w:color w:val="auto"/>
        </w:rPr>
        <w:t>Schedule 3.01(p)(iii)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the Company or the Mesquite Sky Entities.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2" w:name="page123"/>
    <w:bookmarkEnd w:id="122"/>
    <w:p>
      <w:pPr>
        <w:jc w:val="both"/>
        <w:ind w:left="660" w:firstLine="1292"/>
        <w:spacing w:after="0" w:line="258" w:lineRule="auto"/>
        <w:tabs>
          <w:tab w:leader="none" w:pos="2756"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3.01(p)(iv)</w:t>
      </w:r>
      <w:r>
        <w:rPr>
          <w:rFonts w:ascii="Times New Roman" w:cs="Times New Roman" w:eastAsia="Times New Roman" w:hAnsi="Times New Roman"/>
          <w:sz w:val="18"/>
          <w:szCs w:val="18"/>
          <w:color w:val="auto"/>
        </w:rPr>
        <w:t xml:space="preserve"> of the Disclosure Schedules, 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the Company and the Mesquite Sky Entities as currently conducted that would be reasonably expected to trigger any obligation of Seller, the Company or the Mesquite Sky Entities under Environmental Laws to report, investigate, remove or remediate such Release.</w:t>
      </w:r>
    </w:p>
    <w:p>
      <w:pPr>
        <w:spacing w:after="0" w:line="185" w:lineRule="exact"/>
        <w:rPr>
          <w:rFonts w:ascii="Times New Roman" w:cs="Times New Roman" w:eastAsia="Times New Roman" w:hAnsi="Times New Roman"/>
          <w:sz w:val="18"/>
          <w:szCs w:val="18"/>
          <w:color w:val="auto"/>
        </w:rPr>
      </w:pPr>
    </w:p>
    <w:p>
      <w:pPr>
        <w:jc w:val="both"/>
        <w:ind w:left="660" w:right="20" w:firstLine="1292"/>
        <w:spacing w:after="0" w:line="266" w:lineRule="auto"/>
        <w:tabs>
          <w:tab w:leader="none" w:pos="2769"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made available to Purchaser all material environmental reports, assessments and documents that are in the possession of Seller, the Company or the Mesquite Sky Entities and that relate to actual or potential material liabilities or obligations under Environmental Laws with respect to the Project or the Land.</w:t>
      </w:r>
    </w:p>
    <w:p>
      <w:pPr>
        <w:spacing w:after="0" w:line="17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828"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3.01(q)(i) </w:t>
      </w:r>
      <w:r>
        <w:rPr>
          <w:rFonts w:ascii="Times New Roman" w:cs="Times New Roman" w:eastAsia="Times New Roman" w:hAnsi="Times New Roman"/>
          <w:sz w:val="18"/>
          <w:szCs w:val="18"/>
          <w:color w:val="auto"/>
        </w:rPr>
        <w:t>of the Disclosure Schedules sets forth all material Permits required pursuant to any Law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or held by or for the benefit of Seller, the Company or the Mesquite Sky Entities in connection with the development, construction, ownership, maintenance, or operation of the Project, except for those required by the Environmental Laws, which are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hereof, or those of a type that are routinely granted on application and for which none of Seller, the Company or the Mesquite Sky Entities has reason to believe will not be obtained in due course. Except as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the Company or the Mesquite Sky Entities.</w:t>
      </w:r>
    </w:p>
    <w:p>
      <w:pPr>
        <w:spacing w:after="0" w:line="182"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897"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3.01(q)(ii)</w:t>
      </w:r>
      <w:r>
        <w:rPr>
          <w:rFonts w:ascii="Times New Roman" w:cs="Times New Roman" w:eastAsia="Times New Roman" w:hAnsi="Times New Roman"/>
          <w:sz w:val="18"/>
          <w:szCs w:val="18"/>
          <w:color w:val="auto"/>
        </w:rPr>
        <w:t xml:space="preserve"> of the Disclosure Schedules, and except as relates to compliance with Environmental Laws which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hereof, Seller, the Company and the Mesquite Sky Entities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not in full force and effect,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subject to any Action or Proceeding or unsatisfied condition, in each case of clause (i) and</w:t>
      </w:r>
    </w:p>
    <w:p>
      <w:pPr>
        <w:spacing w:after="0" w:line="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not been remedied or resolved.</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801"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proceedings pending or, to the Knowledge of Seller, threatened which would reasonably be expected to result in the modification, revocation or termination of any material Permit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w:t>
      </w:r>
    </w:p>
    <w:p>
      <w:pPr>
        <w:spacing w:after="0" w:line="157" w:lineRule="exact"/>
        <w:rPr>
          <w:rFonts w:ascii="Times New Roman" w:cs="Times New Roman" w:eastAsia="Times New Roman" w:hAnsi="Times New Roman"/>
          <w:sz w:val="18"/>
          <w:szCs w:val="18"/>
          <w:color w:val="auto"/>
        </w:rPr>
      </w:pPr>
    </w:p>
    <w:p>
      <w:pPr>
        <w:jc w:val="both"/>
        <w:ind w:firstLine="1304"/>
        <w:spacing w:after="0" w:line="262" w:lineRule="auto"/>
        <w:tabs>
          <w:tab w:leader="none" w:pos="2137"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Affiliate Transactions</w:t>
      </w:r>
      <w:r>
        <w:rPr>
          <w:rFonts w:ascii="Times New Roman" w:cs="Times New Roman" w:eastAsia="Times New Roman" w:hAnsi="Times New Roman"/>
          <w:sz w:val="18"/>
          <w:szCs w:val="18"/>
          <w:color w:val="auto"/>
        </w:rPr>
        <w:t>. Except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for transactions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Contracts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under Company Contracts entered into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for this Agreement, there are no existing or pending transactions, Contracts or Liabilities between or among the Company or the Mesquite Sky Entity on the one hand, and Seller or any of Seller’s Affiliates on the other hand.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3" w:name="page124"/>
    <w:bookmarkEnd w:id="123"/>
    <w:p>
      <w:pPr>
        <w:ind w:left="2040" w:hanging="736"/>
        <w:spacing w:after="0"/>
        <w:tabs>
          <w:tab w:leader="none" w:pos="20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6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Seller, except as set forth in </w:t>
      </w:r>
      <w:r>
        <w:rPr>
          <w:rFonts w:ascii="Times New Roman" w:cs="Times New Roman" w:eastAsia="Times New Roman" w:hAnsi="Times New Roman"/>
          <w:sz w:val="18"/>
          <w:szCs w:val="18"/>
          <w:i w:val="1"/>
          <w:iCs w:val="1"/>
          <w:color w:val="auto"/>
        </w:rPr>
        <w:t>Schedule 3.01(s)(i)</w:t>
      </w:r>
      <w:r>
        <w:rPr>
          <w:rFonts w:ascii="Times New Roman" w:cs="Times New Roman" w:eastAsia="Times New Roman" w:hAnsi="Times New Roman"/>
          <w:sz w:val="18"/>
          <w:szCs w:val="18"/>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Company or the Mesquite Sky Entities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Company or the Mesquite Sky Entities and which is owned by any third party and which, in each case, would reasonably be expected to have a Material Adverse Effect.</w:t>
      </w:r>
    </w:p>
    <w:p>
      <w:pPr>
        <w:spacing w:after="0" w:line="184"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1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Mesquite Sky Entities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19"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Company or the Mesquite Sky Entities that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0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contains a true, correct and complete list of all insurance policies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date of this Agreement that insure the assets and properties and business of the Company or the Mesquite Sky Entities or affect or relate to the ownership of any of the assets and properties the Company or the Mesquite Sky Entities. Seller has delivered to Purchaser detailed summaries of all the insurance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all of which are in full force and effect. None of Seller, the Company or the Mesquite Sky Entities has received any notice with respect to the assets and properties and business of the Company or the Mesquite Sky Entities from any insurer under any insurance policy applicable to the assets and properties and business of the Company or the Mesquite Sky Entities disclaiming coverage, reserving rights with respect to a particular claim or such policy in general or canceling any such policy. All premiums due and payable under all such policies have been paid and the terms of such policies have been complied with by Seller, the Company and the Mesquite Sky Entities, as applicable, in all material respects. The insurance maintained by or on behalf of the Company or the Mesquite Sky Entities is adequate to comply with all Laws and Company Contracts. Except as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spacing w:after="0" w:line="187" w:lineRule="exact"/>
        <w:rPr>
          <w:rFonts w:ascii="Times New Roman" w:cs="Times New Roman" w:eastAsia="Times New Roman" w:hAnsi="Times New Roman"/>
          <w:sz w:val="18"/>
          <w:szCs w:val="18"/>
          <w:color w:val="auto"/>
        </w:rPr>
      </w:pPr>
    </w:p>
    <w:p>
      <w:pPr>
        <w:jc w:val="both"/>
        <w:ind w:firstLine="1304"/>
        <w:spacing w:after="0" w:line="257" w:lineRule="auto"/>
        <w:tabs>
          <w:tab w:leader="none" w:pos="21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Balance Sheet</w:t>
      </w:r>
      <w:r>
        <w:rPr>
          <w:rFonts w:ascii="Times New Roman" w:cs="Times New Roman" w:eastAsia="Times New Roman" w:hAnsi="Times New Roman"/>
          <w:sz w:val="18"/>
          <w:szCs w:val="18"/>
          <w:color w:val="auto"/>
        </w:rPr>
        <w:t>. Seller has previously delivered to Purchaser true, correct and complete copies of the most recent 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(the “</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of the Company and the Mesquite Sky Entities on a consolidated basis for the quarter ended November 30, 2020 (the “</w:t>
      </w:r>
      <w:r>
        <w:rPr>
          <w:rFonts w:ascii="Times New Roman" w:cs="Times New Roman" w:eastAsia="Times New Roman" w:hAnsi="Times New Roman"/>
          <w:sz w:val="18"/>
          <w:szCs w:val="18"/>
          <w:i w:val="1"/>
          <w:iCs w:val="1"/>
          <w:color w:val="auto"/>
        </w:rPr>
        <w:t>Balance Sheet Date</w:t>
      </w:r>
      <w:r>
        <w:rPr>
          <w:rFonts w:ascii="Times New Roman" w:cs="Times New Roman" w:eastAsia="Times New Roman" w:hAnsi="Times New Roman"/>
          <w:sz w:val="18"/>
          <w:szCs w:val="18"/>
          <w:color w:val="auto"/>
        </w:rPr>
        <w:t>”). The Balance Sheet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fairly presents, in all material respects, the consolidated financial position and consolidated results of operations of the Company and the Mesquite Sky Entities, as of the Balance Sheet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has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been prepared from the books and records of the Company and the Mesquite Sky Entities.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4" w:name="page125"/>
    <w:bookmarkEnd w:id="124"/>
    <w:p>
      <w:pPr>
        <w:ind w:firstLine="1304"/>
        <w:spacing w:after="0" w:line="286" w:lineRule="auto"/>
        <w:tabs>
          <w:tab w:leader="none" w:pos="220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Absence of Changes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since the Balance Sheet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indicated in subparagraph (vii) below) until the date of this Agreement, there has not been:</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89" w:lineRule="auto"/>
        <w:tabs>
          <w:tab w:leader="none" w:pos="2666"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repurchase, redemption or other acquisition of any equity interests of the Company or the Mesquite Sky Entities or any interests convertible into equity interests of the Company or the Mesquite Sky Entities or any other change in the capitalization or ownership of the Company or the Mesquite Sky Entities, other than as permitted pursuant to the terms and subject to the conditions of </w:t>
      </w:r>
      <w:r>
        <w:rPr>
          <w:rFonts w:ascii="Times New Roman" w:cs="Times New Roman" w:eastAsia="Times New Roman" w:hAnsi="Times New Roman"/>
          <w:sz w:val="17"/>
          <w:szCs w:val="17"/>
          <w:i w:val="1"/>
          <w:iCs w:val="1"/>
          <w:color w:val="auto"/>
        </w:rPr>
        <w:t>Section 5.12(a)</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jc w:val="both"/>
        <w:ind w:left="660" w:firstLine="1292"/>
        <w:spacing w:after="0" w:line="266" w:lineRule="auto"/>
        <w:tabs>
          <w:tab w:leader="none" w:pos="269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the Company or the Mesquite Sky Entities into or with any other Person, consolidation of the Company or the Mesquite Sky Entities with any other Person or acquisition by the Company or the Mesquite Sky Entities of all or substantially all of the business or assets of any Person;</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5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by the Company or the Mesquite Sky Entities or any commitment entered into by any member of the Company or the Mesquite Sky Entities with respect to or in contemplation of any liquidation, dissolution, recapitalization, reorganization or other winding up of its business or operations;</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68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accounting policies or practices (including any change in depreciation or amortization policies) of the Company or the Mesquite Sky Entities, except as required under GAAP;</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9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(as lessor), transfer or other disposal of (including any transfers to any of its Affiliates), or mortgage or pledge, or imposition of any Lien on, any of its assets or properties, or interests therein, other than (x) inventory and personal property sold or otherwise disposed of in the ordinary course of business, and (y) Permitted Liens;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81" w:lineRule="auto"/>
        <w:tabs>
          <w:tab w:leader="none" w:pos="2666"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as permitted pursuant to the terms and subject to the conditions of </w:t>
      </w:r>
      <w:r>
        <w:rPr>
          <w:rFonts w:ascii="Times New Roman" w:cs="Times New Roman" w:eastAsia="Times New Roman" w:hAnsi="Times New Roman"/>
          <w:sz w:val="17"/>
          <w:szCs w:val="17"/>
          <w:i w:val="1"/>
          <w:iCs w:val="1"/>
          <w:color w:val="auto"/>
        </w:rPr>
        <w:t>Section 5.12(a)</w:t>
      </w:r>
      <w:r>
        <w:rPr>
          <w:rFonts w:ascii="Times New Roman" w:cs="Times New Roman" w:eastAsia="Times New Roman" w:hAnsi="Times New Roman"/>
          <w:sz w:val="17"/>
          <w:szCs w:val="17"/>
          <w:color w:val="auto"/>
        </w:rPr>
        <w:t>; or</w:t>
      </w:r>
    </w:p>
    <w:p>
      <w:pPr>
        <w:spacing w:after="0" w:line="164" w:lineRule="exact"/>
        <w:rPr>
          <w:rFonts w:ascii="Times New Roman" w:cs="Times New Roman" w:eastAsia="Times New Roman" w:hAnsi="Times New Roman"/>
          <w:sz w:val="17"/>
          <w:szCs w:val="17"/>
          <w:color w:val="auto"/>
        </w:rPr>
      </w:pPr>
    </w:p>
    <w:p>
      <w:pPr>
        <w:ind w:left="660" w:firstLine="1292"/>
        <w:spacing w:after="0" w:line="282" w:lineRule="auto"/>
        <w:tabs>
          <w:tab w:leader="none" w:pos="267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circumstance, condition or change relating or with respect to the Company or the Mesquite Sky Entities that would reasonably be expected to have, individually or in the aggregate, a Material Adverse Effect.</w:t>
      </w:r>
    </w:p>
    <w:p>
      <w:pPr>
        <w:spacing w:after="0" w:line="158" w:lineRule="exact"/>
        <w:rPr>
          <w:sz w:val="20"/>
          <w:szCs w:val="20"/>
          <w:color w:val="auto"/>
        </w:rPr>
      </w:pPr>
    </w:p>
    <w:p>
      <w:pPr>
        <w:jc w:val="both"/>
        <w:ind w:firstLine="1304"/>
        <w:spacing w:after="0" w:line="268" w:lineRule="auto"/>
        <w:tabs>
          <w:tab w:leader="none" w:pos="19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 Accounts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the names and locations of banks, trust companies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financial institutions at which the Company or the Mesquite Sky Entities maintain bank accounts or safe deposit boxes, in each case listing the type of account, the account number, and the names of all Persons authorized to draw thereupon or who have access thereto.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5" w:name="page126"/>
    <w:bookmarkEnd w:id="125"/>
    <w:p>
      <w:pPr>
        <w:ind w:left="2060" w:hanging="756"/>
        <w:spacing w:after="0"/>
        <w:tabs>
          <w:tab w:leader="none" w:pos="20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Status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firstLine="1292"/>
        <w:spacing w:after="0" w:line="282" w:lineRule="auto"/>
        <w:tabs>
          <w:tab w:leader="none" w:pos="293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Company is an “exempt wholesale generator,” as such term is defined in PUHCA. As an “exempt wholesale generator,” the Project Company is exempt from PUHCA to the extent provided for in 18 C.F.R. § 366.7(e).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7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each of the Mesquite Sky Entities other than the Project Company will become a “holding company,” as defined in PUHCA, solely with respect to its direct or indirect, as applicable, ownership of the Project Company and, therefore, Company and each of the Mesquite Sky Entities other than the Project Company is entitled to the exemptions and waivers set forth in at 18 C.F.R. § 366.3(a). The Project Company is not a “holding company.”</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843"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Purchaser, solely by virtue of its indirect ownership of the Project Company, will not be subject to, or will not lose the exemption from, (A) FERC regulation as an “electric utility company,” a “public-utility company,” or a “holding company,” or an “affiliate” or “subsidiary company” as defined under PUHCA, (B) as “public utility” under the FPA, and (C) PUCT regulation as an “electric utility,” “public utility,” “utility,” “transmission and distribution utility,” or “retail electric provider” under PURA.</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71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Mesquite Sky Entities is subject to regulation as a “public utility” as that term is defined under FPA Section 201(e).</w:t>
      </w:r>
    </w:p>
    <w:p>
      <w:pPr>
        <w:spacing w:after="0" w:line="158" w:lineRule="exact"/>
        <w:rPr>
          <w:sz w:val="20"/>
          <w:szCs w:val="20"/>
          <w:color w:val="auto"/>
        </w:rPr>
      </w:pPr>
    </w:p>
    <w:p>
      <w:pPr>
        <w:ind w:left="1300"/>
        <w:spacing w:after="0"/>
        <w:tabs>
          <w:tab w:leader="none" w:pos="2200" w:val="left"/>
        </w:tabs>
        <w:rPr>
          <w:sz w:val="20"/>
          <w:szCs w:val="20"/>
          <w:color w:val="auto"/>
        </w:rPr>
      </w:pPr>
      <w:r>
        <w:rPr>
          <w:rFonts w:ascii="Times New Roman" w:cs="Times New Roman" w:eastAsia="Times New Roman" w:hAnsi="Times New Roman"/>
          <w:sz w:val="18"/>
          <w:szCs w:val="18"/>
          <w:color w:val="auto"/>
        </w:rPr>
        <w:t>(y)</w:t>
      </w:r>
      <w:r>
        <w:rPr>
          <w:sz w:val="20"/>
          <w:szCs w:val="20"/>
          <w:color w:val="auto"/>
        </w:rPr>
        <w:tab/>
      </w:r>
      <w:r>
        <w:rPr>
          <w:rFonts w:ascii="Times New Roman" w:cs="Times New Roman" w:eastAsia="Times New Roman" w:hAnsi="Times New Roman"/>
          <w:sz w:val="18"/>
          <w:szCs w:val="18"/>
          <w:b w:val="1"/>
          <w:bCs w:val="1"/>
          <w:color w:val="auto"/>
        </w:rPr>
        <w:t>Support Obligations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a true and complete list of all the Support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w:t>
      </w:r>
    </w:p>
    <w:p>
      <w:pPr>
        <w:spacing w:after="0" w:line="203" w:lineRule="exact"/>
        <w:rPr>
          <w:sz w:val="20"/>
          <w:szCs w:val="20"/>
          <w:color w:val="auto"/>
        </w:rPr>
      </w:pPr>
    </w:p>
    <w:p>
      <w:pPr>
        <w:jc w:val="both"/>
        <w:ind w:firstLine="1304"/>
        <w:spacing w:after="0" w:line="259" w:lineRule="auto"/>
        <w:tabs>
          <w:tab w:leader="none" w:pos="231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Disclosures</w:t>
      </w:r>
      <w:r>
        <w:rPr>
          <w:rFonts w:ascii="Times New Roman" w:cs="Times New Roman" w:eastAsia="Times New Roman" w:hAnsi="Times New Roman"/>
          <w:sz w:val="18"/>
          <w:szCs w:val="18"/>
          <w:color w:val="auto"/>
        </w:rPr>
        <w:t>. To the Knowledge of Seller, no representation or warranty by Seller contained in this Agreement,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contained in the Disclosure Schedules or any other document, certificate or other instrument delivered to or to be delivered by or on behalf of Seller, the Company or the Mesquite Sky Entities contains, or will contain any untrue statement of a material fact or omits or will omit to state any material fact necessary, in light of the circumstances under which it was or will be made, in order to make the statements herein or therein not misleading when taken as a whole.</w:t>
      </w:r>
    </w:p>
    <w:p>
      <w:pPr>
        <w:spacing w:after="0" w:line="179" w:lineRule="exact"/>
        <w:rPr>
          <w:sz w:val="20"/>
          <w:szCs w:val="20"/>
          <w:color w:val="auto"/>
        </w:rPr>
      </w:pPr>
    </w:p>
    <w:p>
      <w:pPr>
        <w:jc w:val="both"/>
        <w:ind w:firstLine="1304"/>
        <w:spacing w:after="0" w:line="268" w:lineRule="auto"/>
        <w:tabs>
          <w:tab w:leader="none" w:pos="206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Seller has made available to Purchaser true, complete and correct copies of all Reports delivered pursuant to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Agreement as of the Execution Date. As of the Closing Date, Seller has made available to Purchaser true, correct and complete copies of all Reports that were not made available to Purchaser on the Execution Date.</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Seller has prepared the financial projections for the Company and the Mesquite Sky Entities, which are reflected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Base Case Model (the “</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in good faith. To the Knowledge of Seller, the Projections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are based on reasonable assumptions,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are consistent in all material respects with Prudent Industry Practices,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reflect all material payments to be made by the Company or the Mesquite Sky Entities to Sellers or its Affiliates.</w:t>
      </w:r>
    </w:p>
    <w:p>
      <w:pPr>
        <w:spacing w:after="0" w:line="176"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4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Other Warranties</w:t>
      </w:r>
      <w:r>
        <w:rPr>
          <w:rFonts w:ascii="Times New Roman" w:cs="Times New Roman" w:eastAsia="Times New Roman" w:hAnsi="Times New Roman"/>
          <w:sz w:val="18"/>
          <w:szCs w:val="18"/>
          <w:color w:val="auto"/>
        </w:rPr>
        <w:t>. EXCEPT FOR THE WARRANTIES SET FORTH HEREIN, THE ACQUIRED INTERESTS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BEING SOLD HEREUNDER ON AN “AS IS,” “WHERE IS” BASIS. THE WARRANTIES SET FORTH HEREIN ARE EXCLUSIVE AND ARE IN LIEU OF ALL OTHER WARRANTIES, WHETHER STATUTORY, WRITTEN OR ORAL, EXPRESS OR IMPLIED; SELLER PROVIDES NO OTHER WARRANTIES WITH RESPECT TO THE ACQUIRED INTERESTS, THE COMPANY, THE PROJECT, THE MESQUITE SKY ENTITIES, THE ASSETS OF THE COMPANY, OR THE ASSETS OF THE MESQUITE SKY ENTITIES, INCLUDING IMPLIED WARRANTIES OF MERCHANTABILITY AND FITNESS FOR A PARTICULAR PURPOSE, AND WARRANTIES ARISING FROM COURSE OF DEALING OR USAGE OF TRADE, ALL OF WHICH ARE EXPRESSLY DISCLAIMED. EXCEPT AS EXPRESSLY SET FORTH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SELLER MAKES NO REPRESENTATION OR WARRANTY TO PURCHASER WITH RESPECT TO ANY FINANCIAL PROJECTIONS, FORECASTS OR FORWARD LOOKING STATEMENTS OF ANY KIND OR NATURE WHATSOEVER RELATING TO THE COMPANY, THE PROJECT, THE MESQUITE SKY ENTITIES, THE ASSETS OF THE COMPANY, THE ASSETS OF THE MESQUITE SKY ENTITIES OR THE ACQUIRED INTERESTS.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6" w:name="page127"/>
    <w:bookmarkEnd w:id="126"/>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3.02.</w:t>
      </w:r>
      <w:r>
        <w:rPr>
          <w:sz w:val="20"/>
          <w:szCs w:val="20"/>
          <w:color w:val="auto"/>
        </w:rPr>
        <w:tab/>
      </w:r>
      <w:r>
        <w:rPr>
          <w:rFonts w:ascii="Times New Roman" w:cs="Times New Roman" w:eastAsia="Times New Roman" w:hAnsi="Times New Roman"/>
          <w:sz w:val="17"/>
          <w:szCs w:val="17"/>
          <w:b w:val="1"/>
          <w:bCs w:val="1"/>
          <w:i w:val="1"/>
          <w:iCs w:val="1"/>
          <w:color w:val="auto"/>
        </w:rPr>
        <w:t>Representations and Warranties with Respect to Purchaser</w:t>
      </w:r>
    </w:p>
    <w:p>
      <w:pPr>
        <w:spacing w:after="0" w:line="227" w:lineRule="exact"/>
        <w:rPr>
          <w:sz w:val="20"/>
          <w:szCs w:val="20"/>
          <w:color w:val="auto"/>
        </w:rPr>
      </w:pPr>
    </w:p>
    <w:p>
      <w:pPr>
        <w:ind w:right="20" w:firstLine="8"/>
        <w:spacing w:after="0" w:line="284" w:lineRule="auto"/>
        <w:tabs>
          <w:tab w:leader="none" w:pos="9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hereby represents to Seller as of the Execution Date and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Section 3.02</w:t>
      </w:r>
      <w:r>
        <w:rPr>
          <w:rFonts w:ascii="Times New Roman" w:cs="Times New Roman" w:eastAsia="Times New Roman" w:hAnsi="Times New Roman"/>
          <w:sz w:val="18"/>
          <w:szCs w:val="18"/>
          <w:color w:val="auto"/>
        </w:rPr>
        <w:t xml:space="preserve"> and expressly stated to be made only as of a specified date shall be made solely as of such date:</w:t>
      </w:r>
    </w:p>
    <w:p>
      <w:pPr>
        <w:spacing w:after="0" w:line="156" w:lineRule="exact"/>
        <w:rPr>
          <w:rFonts w:ascii="Times New Roman" w:cs="Times New Roman" w:eastAsia="Times New Roman" w:hAnsi="Times New Roman"/>
          <w:sz w:val="18"/>
          <w:szCs w:val="18"/>
          <w:color w:val="auto"/>
        </w:rPr>
      </w:pPr>
    </w:p>
    <w:p>
      <w:pPr>
        <w:jc w:val="both"/>
        <w:ind w:firstLine="1304"/>
        <w:spacing w:after="0" w:line="262" w:lineRule="auto"/>
        <w:tabs>
          <w:tab w:leader="none" w:pos="211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is a limited liability company duly formed,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8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actions or proceedings necessary to authorize the execution and delivery by Purchaser of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7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except as would not, individually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4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of this Agreement by Purchaser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 breach of, or constitute a default under, Purchaser’s Constitutive Documents, or any material Contract to which Purchaser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assets or properties of Purchaser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1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 and Filings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Permit is required on the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207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There are no Actions or Proceedings pending or, to the knowledge of Purchaser, threatened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7" w:name="page128"/>
    <w:bookmarkEnd w:id="127"/>
    <w:p>
      <w:pPr>
        <w:jc w:val="both"/>
        <w:ind w:firstLine="1304"/>
        <w:spacing w:after="0" w:line="255" w:lineRule="auto"/>
        <w:tabs>
          <w:tab w:leader="none" w:pos="225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Purchaser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acquiring the Acquired Interests for its own account and not with a view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an “accredited investor” as such term is defined in Rule 501(a) under the Securities Act of 1933,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sufficient knowledge and experience in financial and business matters so as to be able to evaluate the merits and risk of an investment in the Acquired Interests and is able financially to bear the risks thereof, and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84" w:lineRule="exact"/>
        <w:rPr>
          <w:rFonts w:ascii="Times New Roman" w:cs="Times New Roman" w:eastAsia="Times New Roman" w:hAnsi="Times New Roman"/>
          <w:sz w:val="18"/>
          <w:szCs w:val="18"/>
          <w:color w:val="auto"/>
        </w:rPr>
      </w:pPr>
    </w:p>
    <w:p>
      <w:pPr>
        <w:ind w:firstLine="1304"/>
        <w:spacing w:after="0" w:line="286" w:lineRule="auto"/>
        <w:tabs>
          <w:tab w:leader="none" w:pos="204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Person has any claim against Purchaser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finder’s fee, brokerage commission or similar payment directly or indirectly in connection with the transactions contemplated by this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4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or which have already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no Governmental Approval is required on the part of Purchaser in connection with the execution, delivery and performance of this Agreement or the consummation of the transactions contemplated hereby.</w:t>
      </w:r>
    </w:p>
    <w:p>
      <w:pPr>
        <w:spacing w:after="0" w:line="170" w:lineRule="exact"/>
        <w:rPr>
          <w:rFonts w:ascii="Times New Roman" w:cs="Times New Roman" w:eastAsia="Times New Roman" w:hAnsi="Times New Roman"/>
          <w:sz w:val="18"/>
          <w:szCs w:val="18"/>
          <w:color w:val="auto"/>
        </w:rPr>
      </w:pPr>
    </w:p>
    <w:p>
      <w:pPr>
        <w:ind w:right="20" w:firstLine="1304"/>
        <w:spacing w:after="0" w:line="286" w:lineRule="auto"/>
        <w:tabs>
          <w:tab w:leader="none" w:pos="203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Purchaser is not in material violation of any Law except where any such material violation would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aggregate reasonably be expected to have a material adverse effect on Purchaser’s ability to satisfy its obligations under this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9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Purchaser, or its Representatives, have had the opportunity to conduct all such due diligence investigations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Acquired Interests, the Company, the Mesquite Sky Entities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IN MAKING ITS DECISION TO ACQUIRE THE ACQUIRED INTERESTS AND HAS NOT RELIED ON ANY OTHER STATEMENTS OR ADVICE FROM SELLER OR ITS REPRESENTATIVES.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4.01. </w:t>
      </w:r>
      <w:r>
        <w:rPr>
          <w:rFonts w:ascii="Times New Roman" w:cs="Times New Roman" w:eastAsia="Times New Roman" w:hAnsi="Times New Roman"/>
          <w:sz w:val="18"/>
          <w:szCs w:val="18"/>
          <w:b w:val="1"/>
          <w:bCs w:val="1"/>
          <w:i w:val="1"/>
          <w:iCs w:val="1"/>
          <w:color w:val="auto"/>
        </w:rPr>
        <w:t>Closing Date Conditions Precedent</w:t>
      </w:r>
      <w:r>
        <w:rPr>
          <w:rFonts w:ascii="Times New Roman" w:cs="Times New Roman" w:eastAsia="Times New Roman" w:hAnsi="Times New Roman"/>
          <w:sz w:val="18"/>
          <w:szCs w:val="18"/>
          <w:color w:val="auto"/>
        </w:rPr>
        <w:t>. The obligations of the Parties to sell and purchase, respectively, the Acquired Interests are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fulfillment (or waiver by the applicable Party), at or before the Closing, by the applicable Party of each of the following conditions:</w:t>
      </w:r>
    </w:p>
    <w:p>
      <w:pPr>
        <w:spacing w:after="0" w:line="155" w:lineRule="exact"/>
        <w:rPr>
          <w:sz w:val="20"/>
          <w:szCs w:val="20"/>
          <w:color w:val="auto"/>
        </w:rPr>
      </w:pPr>
    </w:p>
    <w:p>
      <w:pPr>
        <w:ind w:left="2000" w:hanging="696"/>
        <w:spacing w:after="0"/>
        <w:tabs>
          <w:tab w:leader="none" w:pos="2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Equity Funding</w:t>
      </w:r>
      <w:r>
        <w:rPr>
          <w:rFonts w:ascii="Times New Roman" w:cs="Times New Roman" w:eastAsia="Times New Roman" w:hAnsi="Times New Roman"/>
          <w:sz w:val="18"/>
          <w:szCs w:val="18"/>
          <w:color w:val="auto"/>
        </w:rPr>
        <w:t>. The Tax Equity Funding Date shall have occurred.</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20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Approvals/Consents</w:t>
      </w:r>
      <w:r>
        <w:rPr>
          <w:rFonts w:ascii="Times New Roman" w:cs="Times New Roman" w:eastAsia="Times New Roman" w:hAnsi="Times New Roman"/>
          <w:sz w:val="18"/>
          <w:szCs w:val="18"/>
          <w:color w:val="auto"/>
        </w:rPr>
        <w:t>. All consents of Purchaser specified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all approvals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specified in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color w:val="auto"/>
        </w:rPr>
        <w:t xml:space="preserve"> of the Disclosure Schedules shall have been obtained by the Purchaser; and all Seller Approvals and Seller Consents shall have been obtained by the Seller and shall in each case be in full force and effect.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8" w:name="page129"/>
    <w:bookmarkEnd w:id="128"/>
    <w:p>
      <w:pPr>
        <w:jc w:val="both"/>
        <w:ind w:firstLine="1304"/>
        <w:spacing w:after="0" w:line="262" w:lineRule="auto"/>
        <w:tabs>
          <w:tab w:leader="none" w:pos="249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No Order shall have been entered which restrains, enjoins or otherwise prohibits or makes illegal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210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Seller Representations and Warranties</w:t>
      </w:r>
      <w:r>
        <w:rPr>
          <w:rFonts w:ascii="Times New Roman" w:cs="Times New Roman" w:eastAsia="Times New Roman" w:hAnsi="Times New Roman"/>
          <w:sz w:val="18"/>
          <w:szCs w:val="18"/>
          <w:color w:val="auto"/>
        </w:rPr>
        <w:t>. The representations and warranties made by Seller in this Agreement shall be true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correct in all material respects (except for any of such representations and warranties that are qualified by materiality, including by reference to Material Adverse Effect,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79" w:lineRule="exact"/>
        <w:rPr>
          <w:rFonts w:ascii="Times New Roman" w:cs="Times New Roman" w:eastAsia="Times New Roman" w:hAnsi="Times New Roman"/>
          <w:sz w:val="18"/>
          <w:szCs w:val="18"/>
          <w:color w:val="auto"/>
        </w:rPr>
      </w:pPr>
    </w:p>
    <w:p>
      <w:pPr>
        <w:ind w:firstLine="1304"/>
        <w:spacing w:after="0" w:line="286" w:lineRule="auto"/>
        <w:tabs>
          <w:tab w:leader="none" w:pos="203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Seller Covenants</w:t>
      </w:r>
      <w:r>
        <w:rPr>
          <w:rFonts w:ascii="Times New Roman" w:cs="Times New Roman" w:eastAsia="Times New Roman" w:hAnsi="Times New Roman"/>
          <w:sz w:val="18"/>
          <w:szCs w:val="18"/>
          <w:color w:val="auto"/>
        </w:rPr>
        <w:t>. The covenants and obligations required by this Agreement to be performed or complied with by Seller 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Closing Date have been duly performed or complied with in all material respects.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07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There will not exist on the Closing Date any condition or fact that, individually or in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or would reasonably be expected to result in a Material Adverse Effect.</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6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Representations and Warranties</w:t>
      </w:r>
      <w:r>
        <w:rPr>
          <w:rFonts w:ascii="Times New Roman" w:cs="Times New Roman" w:eastAsia="Times New Roman" w:hAnsi="Times New Roman"/>
          <w:sz w:val="18"/>
          <w:szCs w:val="18"/>
          <w:color w:val="auto"/>
        </w:rPr>
        <w:t>. The representations and warranties made by Purchaser in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true and correct in all material respects (except for any of such representations and warranties that are qualified by materiality,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223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Covenants</w:t>
      </w:r>
      <w:r>
        <w:rPr>
          <w:rFonts w:ascii="Times New Roman" w:cs="Times New Roman" w:eastAsia="Times New Roman" w:hAnsi="Times New Roman"/>
          <w:sz w:val="18"/>
          <w:szCs w:val="18"/>
          <w:color w:val="auto"/>
        </w:rPr>
        <w:t>. The covenants and obligations required by this Agreement to be performed or complied with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at or before the Closing Date have been duly performed or complied with in all material respects.</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4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Certificate</w:t>
      </w:r>
      <w:r>
        <w:rPr>
          <w:rFonts w:ascii="Times New Roman" w:cs="Times New Roman" w:eastAsia="Times New Roman" w:hAnsi="Times New Roman"/>
          <w:sz w:val="18"/>
          <w:szCs w:val="18"/>
          <w:color w:val="auto"/>
        </w:rPr>
        <w:t>. Seller shall have delivered to the Purchaser a certificate in form and substance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to the Purchaser, certifying that the transactions contemplated by this Agreement are exempt from withholding under Code Sections 1445 and 1446(f).</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226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HASI Purchase Agreement</w:t>
      </w:r>
      <w:r>
        <w:rPr>
          <w:rFonts w:ascii="Times New Roman" w:cs="Times New Roman" w:eastAsia="Times New Roman" w:hAnsi="Times New Roman"/>
          <w:sz w:val="18"/>
          <w:szCs w:val="18"/>
          <w:color w:val="auto"/>
        </w:rPr>
        <w:t>. HASI shall, simultaneously with or prior to the Closing, have closed the acquisition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B Units (other than the Acquired Interests) pursuant to the HASI Purchase Agreement.</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04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Drop-Down Assignment</w:t>
      </w:r>
      <w:r>
        <w:rPr>
          <w:rFonts w:ascii="Times New Roman" w:cs="Times New Roman" w:eastAsia="Times New Roman" w:hAnsi="Times New Roman"/>
          <w:sz w:val="18"/>
          <w:szCs w:val="18"/>
          <w:color w:val="auto"/>
        </w:rPr>
        <w:t>. Each of Purchaser and the Master JV HoldCo shall have delivered executed counterparts to the Drop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Down Assignment &amp; Assumption Agreement, to be held in escrow and released immediately following the Closing.</w:t>
      </w:r>
    </w:p>
    <w:p>
      <w:pPr>
        <w:spacing w:after="0" w:line="154"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of Certain Agreements</w:t>
      </w:r>
      <w:r>
        <w:rPr>
          <w:rFonts w:ascii="Times New Roman" w:cs="Times New Roman" w:eastAsia="Times New Roman" w:hAnsi="Times New Roman"/>
          <w:sz w:val="18"/>
          <w:szCs w:val="18"/>
          <w:color w:val="auto"/>
        </w:rPr>
        <w:t>. The agreement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4.01(m)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have been amended as provided in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schedule.</w:t>
      </w:r>
    </w:p>
    <w:p>
      <w:pPr>
        <w:spacing w:after="0" w:line="202"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9" w:name="page130"/>
    <w:bookmarkEnd w:id="129"/>
    <w:p>
      <w:pPr>
        <w:jc w:val="both"/>
        <w:ind w:firstLine="1304"/>
        <w:spacing w:after="0" w:line="254" w:lineRule="auto"/>
        <w:tabs>
          <w:tab w:leader="none" w:pos="212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Certificates; Other Ancillary Documents</w:t>
      </w:r>
      <w:r>
        <w:rPr>
          <w:rFonts w:ascii="Times New Roman" w:cs="Times New Roman" w:eastAsia="Times New Roman" w:hAnsi="Times New Roman"/>
          <w:sz w:val="18"/>
          <w:szCs w:val="18"/>
          <w:color w:val="auto"/>
        </w:rPr>
        <w:t>. Seller shall have delivered to Purchaser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 certificate, dated as of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and executed by an authorized officer of Seller substantially in the form and to the effect of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 certificate, dated as of the Closing Date and executed by the Secretary of Seller substantially in the form and to the effect of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 duly executed counterpart to the Certain Seller Proceeds Agreement, to be held in escrow and released immediately following the Drop Down;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the Title Policy consistent with the Title Proforma in all material respects; and (</w:t>
      </w: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8"/>
          <w:szCs w:val="18"/>
          <w:color w:val="auto"/>
        </w:rPr>
        <w:t>) copies of all recorded documents referred to, or listed as exceptions to title in, the Title Policy and a copy of all other material documents affecting the Real Property Rights. Purchaser shall have delivered to Seller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a certificate, dated as of the Closing Date and executed by an authorized officer of Purchaser substantially in the form and to the effect of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 certificate, dated as of the Closing Date and executed by the Secretary of Purchaser substantially in the form and to the effect of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 executed counterpart to the Build-Out Agreement executed by the Project Company, TE HoldCo, and Clearway Energy Operating LLC, to be held in escrow and released immediately following the Closing; and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an executed counterpart to the Certain Seller Proceeds Agreement, executed by the Master JV HoldCo, to be held in escrow and released immediately following the Drop Down.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5.01. </w:t>
      </w:r>
      <w:r>
        <w:rPr>
          <w:rFonts w:ascii="Times New Roman" w:cs="Times New Roman" w:eastAsia="Times New Roman" w:hAnsi="Times New Roman"/>
          <w:sz w:val="18"/>
          <w:szCs w:val="18"/>
          <w:b w:val="1"/>
          <w:bCs w:val="1"/>
          <w:i w:val="1"/>
          <w:iCs w:val="1"/>
          <w:color w:val="auto"/>
        </w:rPr>
        <w:t>Regulatory and Other Permits</w:t>
      </w:r>
      <w:r>
        <w:rPr>
          <w:rFonts w:ascii="Times New Roman" w:cs="Times New Roman" w:eastAsia="Times New Roman" w:hAnsi="Times New Roman"/>
          <w:sz w:val="18"/>
          <w:szCs w:val="18"/>
          <w:color w:val="auto"/>
        </w:rPr>
        <w:t>. Seller shall, or shall cause the Company and the Mesquite Sky Entities to, as promptly as practicable,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(A) prior to the first sale of test power from the Project, Project Company shall have obtained EWG status and (B) Project Company shall register as a Power Generation Company and certify as a REC generator pursuant to the requirements of PURA.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Seller shall provide a status report to Purchaser upon the reasonable request of Purchaser. Seller shall use commercially reasonable efforts not to cause its Representatives, or the Company, the Mesquite Sky Entities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 w:cs="Times New Roman" w:eastAsia="Times New Roman" w:hAnsi="Times New Roman"/>
          <w:sz w:val="18"/>
          <w:szCs w:val="18"/>
          <w:i w:val="1"/>
          <w:iCs w:val="1"/>
          <w:color w:val="auto"/>
        </w:rPr>
        <w:t>Section 5.01</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5.02. </w:t>
      </w:r>
      <w:r>
        <w:rPr>
          <w:rFonts w:ascii="Times New Roman" w:cs="Times New Roman" w:eastAsia="Times New Roman" w:hAnsi="Times New Roman"/>
          <w:sz w:val="18"/>
          <w:szCs w:val="18"/>
          <w:b w:val="1"/>
          <w:bCs w:val="1"/>
          <w:i w:val="1"/>
          <w:iCs w:val="1"/>
          <w:color w:val="auto"/>
        </w:rPr>
        <w:t>Access to Information</w:t>
      </w:r>
      <w:r>
        <w:rPr>
          <w:rFonts w:ascii="Times New Roman" w:cs="Times New Roman" w:eastAsia="Times New Roman" w:hAnsi="Times New Roman"/>
          <w:sz w:val="18"/>
          <w:szCs w:val="18"/>
          <w:color w:val="auto"/>
        </w:rPr>
        <w:t>. From the Execution Date and continuing until the earlier of the termination of this Agreement or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Seller shall at all reasonable times and upon reasonable prior notice during regular business hours make the properties, assets, books and records pertaining to the Company and the Mesquite Sky Entities, the Acquired Interests or the Project reasonably available for examination, inspection and review by Purchaser and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Purchaser and its Representatives shall be subject to customary confidentiality undertakings with respect to any such information or access made available,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for any site visit or access, Purchaser and its Representatives will agree to comply with all safety and other policies and procedures disclosed to it while conducting such visit or access,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Purchaser’s and its Representatives’ inspections and examinations shall not unreasonably disrupt the normal operations of Seller, the Company, the Mesquite Sky Entities or the Project and shall be at Purchaser’s sole cost and expense;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neither Purchaser, nor any of its Affiliates or Representatives, shall conduct any intrusive environmental site assessment or activities with respect to the Company or the Mesquite Sky Entities or their properties without the prior written consent of Seller.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0" w:name="page131"/>
    <w:bookmarkEnd w:id="130"/>
    <w:p>
      <w:pPr>
        <w:ind w:left="6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5.03.</w:t>
      </w:r>
      <w:r>
        <w:rPr>
          <w:sz w:val="20"/>
          <w:szCs w:val="20"/>
          <w:color w:val="auto"/>
        </w:rPr>
        <w:tab/>
      </w:r>
      <w:r>
        <w:rPr>
          <w:rFonts w:ascii="Times New Roman" w:cs="Times New Roman" w:eastAsia="Times New Roman" w:hAnsi="Times New Roman"/>
          <w:sz w:val="18"/>
          <w:szCs w:val="18"/>
          <w:b w:val="1"/>
          <w:bCs w:val="1"/>
          <w:i w:val="1"/>
          <w:iCs w:val="1"/>
          <w:color w:val="auto"/>
        </w:rPr>
        <w:t>Notification of Certain Matters</w:t>
      </w:r>
      <w:r>
        <w:rPr>
          <w:rFonts w:ascii="Times New Roman" w:cs="Times New Roman" w:eastAsia="Times New Roman" w:hAnsi="Times New Roman"/>
          <w:sz w:val="18"/>
          <w:szCs w:val="18"/>
          <w:color w:val="auto"/>
        </w:rPr>
        <w:t>. Seller shall have the right (but not the obligation) to deliver to Purchaser, not later than ten</w:t>
      </w:r>
    </w:p>
    <w:p>
      <w:pPr>
        <w:spacing w:after="0" w:line="31" w:lineRule="exact"/>
        <w:rPr>
          <w:sz w:val="20"/>
          <w:szCs w:val="20"/>
          <w:color w:val="auto"/>
        </w:rPr>
      </w:pPr>
    </w:p>
    <w:p>
      <w:pPr>
        <w:jc w:val="both"/>
        <w:ind w:firstLine="8"/>
        <w:spacing w:after="0" w:line="251" w:lineRule="auto"/>
        <w:tabs>
          <w:tab w:leader="none" w:pos="35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Closing Date, a supplement to the Disclosure Schedules (the “</w:t>
      </w:r>
      <w:r>
        <w:rPr>
          <w:rFonts w:ascii="Times New Roman" w:cs="Times New Roman" w:eastAsia="Times New Roman" w:hAnsi="Times New Roman"/>
          <w:sz w:val="18"/>
          <w:szCs w:val="18"/>
          <w:i w:val="1"/>
          <w:iCs w:val="1"/>
          <w:color w:val="auto"/>
        </w:rPr>
        <w:t>Closing Date Schedule Supplement</w:t>
      </w:r>
      <w:r>
        <w:rPr>
          <w:rFonts w:ascii="Times New Roman" w:cs="Times New Roman" w:eastAsia="Times New Roman" w:hAnsi="Times New Roman"/>
          <w:sz w:val="18"/>
          <w:szCs w:val="18"/>
          <w:color w:val="auto"/>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exercise of any Land Option by the applicable counterparty, Seller shall be entitled to supplement </w:t>
      </w:r>
      <w:r>
        <w:rPr>
          <w:rFonts w:ascii="Times New Roman" w:cs="Times New Roman" w:eastAsia="Times New Roman" w:hAnsi="Times New Roman"/>
          <w:sz w:val="18"/>
          <w:szCs w:val="18"/>
          <w:i w:val="1"/>
          <w:iCs w:val="1"/>
          <w:color w:val="auto"/>
        </w:rPr>
        <w:t>Schedule 3.01(n)(i)</w:t>
      </w:r>
      <w:r>
        <w:rPr>
          <w:rFonts w:ascii="Times New Roman" w:cs="Times New Roman" w:eastAsia="Times New Roman" w:hAnsi="Times New Roman"/>
          <w:sz w:val="18"/>
          <w:szCs w:val="18"/>
          <w:color w:val="auto"/>
        </w:rPr>
        <w:t xml:space="preserve"> of the Disclosure Schedules with respect to the Real Property Right Seller acquired in accordance with such Land Option (each such update, a “</w:t>
      </w:r>
      <w:r>
        <w:rPr>
          <w:rFonts w:ascii="Times New Roman" w:cs="Times New Roman" w:eastAsia="Times New Roman" w:hAnsi="Times New Roman"/>
          <w:sz w:val="18"/>
          <w:szCs w:val="18"/>
          <w:i w:val="1"/>
          <w:iCs w:val="1"/>
          <w:color w:val="auto"/>
        </w:rPr>
        <w:t>Land Option Schedule Supplement</w:t>
      </w:r>
      <w:r>
        <w:rPr>
          <w:rFonts w:ascii="Times New Roman" w:cs="Times New Roman" w:eastAsia="Times New Roman" w:hAnsi="Times New Roman"/>
          <w:sz w:val="18"/>
          <w:szCs w:val="18"/>
          <w:color w:val="auto"/>
        </w:rPr>
        <w:t xml:space="preserve">”), and the Disclosure Schedules shall be deemed to be modified, supplemented and amended for all purposes hereunder.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but shall not be deemed to have irrevocably waived its right to indemnification under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with respect to such item.</w:t>
      </w:r>
    </w:p>
    <w:p>
      <w:pPr>
        <w:spacing w:after="0" w:line="18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5.04.</w:t>
      </w:r>
      <w:r>
        <w:rPr>
          <w:sz w:val="20"/>
          <w:szCs w:val="20"/>
          <w:color w:val="auto"/>
        </w:rPr>
        <w:tab/>
      </w:r>
      <w:r>
        <w:rPr>
          <w:rFonts w:ascii="Times New Roman" w:cs="Times New Roman" w:eastAsia="Times New Roman" w:hAnsi="Times New Roman"/>
          <w:sz w:val="17"/>
          <w:szCs w:val="17"/>
          <w:b w:val="1"/>
          <w:bCs w:val="1"/>
          <w:i w:val="1"/>
          <w:iCs w:val="1"/>
          <w:color w:val="auto"/>
        </w:rPr>
        <w:t>Conduct of Business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20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Seller shall cause the Company and each Mesquite Sky Entity to operate and carry on its business in the ordinary course and substantially as operated prior to the date of this Agreement. Without limiting the foregoing, Seller shall cause the Company and each Mesquite Sky Entity to perform in all material respects the Company Contracts to which the Company or such Mesquite Sky Entity is a party and use commercially reasonable efforts consistent with good business practice to preserve the goodwill of the suppliers, contractors, lenders, Governmental Authorities, licensors, customers, distributors and others having business relations with the Company and the Mesquite Sky Entities.</w:t>
      </w:r>
    </w:p>
    <w:p>
      <w:pPr>
        <w:spacing w:after="0" w:line="18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1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i w:val="1"/>
          <w:iCs w:val="1"/>
          <w:color w:val="auto"/>
        </w:rPr>
        <w:t>Section 5.04(a)</w:t>
      </w:r>
      <w:r>
        <w:rPr>
          <w:rFonts w:ascii="Times New Roman" w:cs="Times New Roman" w:eastAsia="Times New Roman" w:hAnsi="Times New Roman"/>
          <w:sz w:val="18"/>
          <w:szCs w:val="18"/>
          <w:color w:val="auto"/>
        </w:rPr>
        <w:t>, except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i w:val="1"/>
          <w:iCs w:val="1"/>
          <w:color w:val="auto"/>
        </w:rPr>
        <w:t>Schedule 5.04(b)</w:t>
      </w:r>
      <w:r>
        <w:rPr>
          <w:rFonts w:ascii="Times New Roman" w:cs="Times New Roman" w:eastAsia="Times New Roman" w:hAnsi="Times New Roman"/>
          <w:sz w:val="18"/>
          <w:szCs w:val="18"/>
          <w:color w:val="auto"/>
        </w:rPr>
        <w:t xml:space="preserve"> of the Disclosure Schedules,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xml:space="preserve">) as would not be reasonably likely to cause a Major Project Change (with respect to clauses (vi), (vii), (ix) and (xiv) of this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xml:space="preserve"> only) or (</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 with the express written approval of Purchaser, such approval not to be unreasonably withheld or delayed, during the Interim Period, Seller shall cause the Company and each Mesquite Sky Entity not to:</w:t>
      </w:r>
    </w:p>
    <w:p>
      <w:pPr>
        <w:spacing w:after="0" w:line="181" w:lineRule="exact"/>
        <w:rPr>
          <w:rFonts w:ascii="Times New Roman" w:cs="Times New Roman" w:eastAsia="Times New Roman" w:hAnsi="Times New Roman"/>
          <w:sz w:val="18"/>
          <w:szCs w:val="18"/>
          <w:color w:val="auto"/>
        </w:rPr>
      </w:pPr>
    </w:p>
    <w:p>
      <w:pPr>
        <w:ind w:left="660" w:firstLine="1292"/>
        <w:spacing w:after="0" w:line="282" w:lineRule="auto"/>
        <w:tabs>
          <w:tab w:leader="none" w:pos="276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any of the Acquired Interests to any Person or create or suffer to exist any Lien upon the Acquired Interests other than Permitted Liens set forth in clauses (f) and (g) of the definition thereof;</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76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grant, deliver or sell or authorize or propose to issue, grant, deliver or sell, or purchase or propose to purchase, any of its equity securities (other than the sale and delivery of the Acquired Interests pursuant to this Agreement and the issuance of membership interests in TE Holdco pursuant to the Tax Equity Agreement),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this Agreement and the Tax Equity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1" w:name="page132"/>
    <w:bookmarkEnd w:id="131"/>
    <w:p>
      <w:pPr>
        <w:jc w:val="both"/>
        <w:ind w:firstLine="1292"/>
        <w:spacing w:after="0" w:line="258" w:lineRule="auto"/>
        <w:tabs>
          <w:tab w:leader="none" w:pos="217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a distribution by the Company to Seller of up to Thirty-Nine Million, Five Hundred Thousand Dollars ($39,500,000) from the proceeds received by Class B HoldCo from the closing of the debt financing under the Financing Agreement;</w:t>
      </w:r>
    </w:p>
    <w:p>
      <w:pPr>
        <w:spacing w:after="0" w:line="183" w:lineRule="exact"/>
        <w:rPr>
          <w:rFonts w:ascii="Times New Roman" w:cs="Times New Roman" w:eastAsia="Times New Roman" w:hAnsi="Times New Roman"/>
          <w:sz w:val="18"/>
          <w:szCs w:val="18"/>
          <w:color w:val="auto"/>
        </w:rPr>
      </w:pPr>
    </w:p>
    <w:p>
      <w:pPr>
        <w:ind w:right="20" w:firstLine="1292"/>
        <w:spacing w:after="0" w:line="282" w:lineRule="auto"/>
        <w:tabs>
          <w:tab w:leader="none" w:pos="218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enter into any commitment with respect to or in contemplation of any liquidation, dissolution, recapitalization, reorganization, or other winding up of business or operations;</w:t>
      </w:r>
    </w:p>
    <w:p>
      <w:pPr>
        <w:spacing w:after="0" w:line="161" w:lineRule="exact"/>
        <w:rPr>
          <w:rFonts w:ascii="Times New Roman" w:cs="Times New Roman" w:eastAsia="Times New Roman" w:hAnsi="Times New Roman"/>
          <w:sz w:val="18"/>
          <w:szCs w:val="18"/>
          <w:color w:val="auto"/>
        </w:rPr>
      </w:pPr>
    </w:p>
    <w:p>
      <w:pPr>
        <w:ind w:left="2000" w:hanging="708"/>
        <w:spacing w:after="0"/>
        <w:tabs>
          <w:tab w:leader="none" w:pos="2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or establish any new accounts with financial institutions;</w:t>
      </w:r>
    </w:p>
    <w:p>
      <w:pPr>
        <w:spacing w:after="0" w:line="225" w:lineRule="exact"/>
        <w:rPr>
          <w:rFonts w:ascii="Times New Roman" w:cs="Times New Roman" w:eastAsia="Times New Roman" w:hAnsi="Times New Roman"/>
          <w:sz w:val="18"/>
          <w:szCs w:val="18"/>
          <w:color w:val="auto"/>
        </w:rPr>
      </w:pPr>
    </w:p>
    <w:p>
      <w:pPr>
        <w:ind w:left="2080" w:hanging="788"/>
        <w:spacing w:after="0"/>
        <w:tabs>
          <w:tab w:leader="none" w:pos="2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its business or operations, except such changes as may be required to comply with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206" w:lineRule="exact"/>
        <w:rPr>
          <w:rFonts w:ascii="Times New Roman" w:cs="Times New Roman" w:eastAsia="Times New Roman" w:hAnsi="Times New Roman"/>
          <w:sz w:val="18"/>
          <w:szCs w:val="18"/>
          <w:color w:val="auto"/>
        </w:rPr>
      </w:pPr>
    </w:p>
    <w:p>
      <w:pPr>
        <w:ind w:right="20" w:firstLine="1292"/>
        <w:spacing w:after="0" w:line="282" w:lineRule="auto"/>
        <w:tabs>
          <w:tab w:leader="none" w:pos="207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capital expenditures (or enter into any Contracts in respect of material capital expenditures) other than as contemplated by the Company Contracts;</w:t>
      </w:r>
    </w:p>
    <w:p>
      <w:pPr>
        <w:spacing w:after="0" w:line="161" w:lineRule="exact"/>
        <w:rPr>
          <w:rFonts w:ascii="Times New Roman" w:cs="Times New Roman" w:eastAsia="Times New Roman" w:hAnsi="Times New Roman"/>
          <w:sz w:val="18"/>
          <w:szCs w:val="18"/>
          <w:color w:val="auto"/>
        </w:rPr>
      </w:pPr>
    </w:p>
    <w:p>
      <w:pPr>
        <w:ind w:firstLine="1292"/>
        <w:spacing w:after="0" w:line="282" w:lineRule="auto"/>
        <w:tabs>
          <w:tab w:leader="none" w:pos="207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Company or any Mesquite Sky Entity into or with any other Person or consolidate Company or any Mesquite Sky Entity with any other Person;</w:t>
      </w:r>
    </w:p>
    <w:p>
      <w:pPr>
        <w:spacing w:after="0" w:line="161" w:lineRule="exact"/>
        <w:rPr>
          <w:rFonts w:ascii="Times New Roman" w:cs="Times New Roman" w:eastAsia="Times New Roman" w:hAnsi="Times New Roman"/>
          <w:sz w:val="18"/>
          <w:szCs w:val="18"/>
          <w:color w:val="auto"/>
        </w:rPr>
      </w:pPr>
    </w:p>
    <w:p>
      <w:pPr>
        <w:ind w:left="2040" w:hanging="748"/>
        <w:spacing w:after="0"/>
        <w:tabs>
          <w:tab w:leader="none" w:pos="20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for the purchase of real property or any interests therein;</w:t>
      </w:r>
    </w:p>
    <w:p>
      <w:pPr>
        <w:spacing w:after="0" w:line="225" w:lineRule="exact"/>
        <w:rPr>
          <w:rFonts w:ascii="Times New Roman" w:cs="Times New Roman" w:eastAsia="Times New Roman" w:hAnsi="Times New Roman"/>
          <w:sz w:val="18"/>
          <w:szCs w:val="18"/>
          <w:color w:val="auto"/>
        </w:rPr>
      </w:pPr>
    </w:p>
    <w:p>
      <w:pPr>
        <w:ind w:firstLine="1292"/>
        <w:spacing w:after="0" w:line="282" w:lineRule="auto"/>
        <w:tabs>
          <w:tab w:leader="none" w:pos="211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enter into any Contract for any acquisitions (by merger, consolidation, or acquisition of stock or assets or any other business combination), of any Person or business or any division thereof;</w:t>
      </w:r>
    </w:p>
    <w:p>
      <w:pPr>
        <w:spacing w:after="0" w:line="161" w:lineRule="exact"/>
        <w:rPr>
          <w:rFonts w:ascii="Times New Roman" w:cs="Times New Roman" w:eastAsia="Times New Roman" w:hAnsi="Times New Roman"/>
          <w:sz w:val="18"/>
          <w:szCs w:val="18"/>
          <w:color w:val="auto"/>
        </w:rPr>
      </w:pPr>
    </w:p>
    <w:p>
      <w:pPr>
        <w:jc w:val="both"/>
        <w:ind w:firstLine="1292"/>
        <w:spacing w:after="0" w:line="266" w:lineRule="auto"/>
        <w:tabs>
          <w:tab w:leader="none" w:pos="20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(as lessor), transfer or otherwise dispose of (including any transfers to any of its Affiliates), or mortgage or pledge, or impose or suffer to be imposed any Lien on, any of its assets or properties, other than (x) inventory and personal property sold or otherwise disposed of in the ordinary course of business, and (y) Permitted Liens;</w:t>
      </w:r>
    </w:p>
    <w:p>
      <w:pPr>
        <w:spacing w:after="0" w:line="175" w:lineRule="exact"/>
        <w:rPr>
          <w:rFonts w:ascii="Times New Roman" w:cs="Times New Roman" w:eastAsia="Times New Roman" w:hAnsi="Times New Roman"/>
          <w:sz w:val="18"/>
          <w:szCs w:val="18"/>
          <w:color w:val="auto"/>
        </w:rPr>
      </w:pPr>
    </w:p>
    <w:p>
      <w:pPr>
        <w:jc w:val="both"/>
        <w:ind w:firstLine="1292"/>
        <w:spacing w:after="0" w:line="258" w:lineRule="auto"/>
        <w:tabs>
          <w:tab w:leader="none" w:pos="223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guarantee, or agree to create, incur, assume or guarantee any Indebtedness for borrowed money or enter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any Indebtedness arising from the Financing Agreement, any of the Financing Documents or the Morgan Stanley Capital Hedge (as defined in the Disclosure Schedules);</w:t>
      </w:r>
    </w:p>
    <w:p>
      <w:pPr>
        <w:spacing w:after="0" w:line="183" w:lineRule="exact"/>
        <w:rPr>
          <w:rFonts w:ascii="Times New Roman" w:cs="Times New Roman" w:eastAsia="Times New Roman" w:hAnsi="Times New Roman"/>
          <w:sz w:val="18"/>
          <w:szCs w:val="18"/>
          <w:color w:val="auto"/>
        </w:rPr>
      </w:pPr>
    </w:p>
    <w:p>
      <w:pPr>
        <w:ind w:left="2060" w:hanging="768"/>
        <w:spacing w:after="0"/>
        <w:tabs>
          <w:tab w:leader="none" w:pos="20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any Person, except in the ordinary course of business consistent with past practice;</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32" w:name="page133"/>
    <w:bookmarkEnd w:id="132"/>
    <w:p>
      <w:pPr>
        <w:jc w:val="both"/>
        <w:ind w:left="660" w:firstLine="1292"/>
        <w:spacing w:after="0" w:line="266" w:lineRule="auto"/>
        <w:tabs>
          <w:tab w:leader="none" w:pos="279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Company or any Mesquite Sky Entity;</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policies or practices (including any change in depreciation or amortization policies) of Company or any Mesquite Sky Entity, except as required under Seller’s GAAP or revalue any of the Company’s or any Mesquite Sky Entity’s assets;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8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change an annual accounting period, adopt or change any accounting method with respect to Taxes, file any amended Tax Return, enter into any closing agreement, settle or compromise any proceeding with respect to any Tax claim or assessment, surrender any right to claim a refund of Taxes, consent to any extension or waiver of the limitation period applicable to any material Tax claim or assessment relating to Company or the Mesquite Sky Entities, or take any other similar action relating to the filing of any Tax Return or the payment of any Tax;</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0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self-report or mitigation plan to FERC, NERC or the applicable Regional Entity in connection with the violation or possible violation of an applicable NERC reliability standard without first notifying Purchaser and providing information regarding the violation or possible violation;</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76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discharge, settle or satisfy any claims, liabilities or obligations prior to the same being due in excess of $50,000 in the aggregate other than as due and payable in the ordinary course under material Contracts;</w:t>
      </w:r>
    </w:p>
    <w:p>
      <w:pPr>
        <w:spacing w:after="0" w:line="161"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employees or adopt any Employee Plans;</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joint venture;</w:t>
      </w:r>
    </w:p>
    <w:p>
      <w:pPr>
        <w:spacing w:after="0" w:line="225"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insurance coverage substantially equivalent to its insurance coverage as in effect on the date hereof;</w:t>
      </w:r>
    </w:p>
    <w:p>
      <w:pPr>
        <w:spacing w:after="0" w:line="223"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 inconsistent with </w:t>
      </w:r>
      <w:r>
        <w:rPr>
          <w:rFonts w:ascii="Times New Roman" w:cs="Times New Roman" w:eastAsia="Times New Roman" w:hAnsi="Times New Roman"/>
          <w:sz w:val="18"/>
          <w:szCs w:val="18"/>
          <w:i w:val="1"/>
          <w:iCs w:val="1"/>
          <w:color w:val="auto"/>
        </w:rPr>
        <w:t>Schedule 5.04(b)(xxiii)</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make any commitment to do any of the foregoing in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foregoing, Seller may permit the Mesquite Sky Entities to take commercially reasonable actions with respect to emergency situations so long as Seller shall, upon receipt of notice of any such actions, promptly inform Purchaser of any such actions taken outside the ordinary course of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ind w:firstLine="1304"/>
        <w:spacing w:after="0" w:line="284" w:lineRule="auto"/>
        <w:tabs>
          <w:tab w:leader="none" w:pos="208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 xml:space="preserve">, an action taken by Seller or any of the Mesquite Sky Entities in accordance with </w:t>
      </w:r>
      <w:r>
        <w:rPr>
          <w:rFonts w:ascii="Times New Roman" w:cs="Times New Roman" w:eastAsia="Times New Roman" w:hAnsi="Times New Roman"/>
          <w:sz w:val="18"/>
          <w:szCs w:val="18"/>
          <w:i w:val="1"/>
          <w:iCs w:val="1"/>
          <w:color w:val="auto"/>
        </w:rPr>
        <w:t>Section 5.12</w:t>
      </w:r>
      <w:r>
        <w:rPr>
          <w:rFonts w:ascii="Times New Roman" w:cs="Times New Roman" w:eastAsia="Times New Roman" w:hAnsi="Times New Roman"/>
          <w:sz w:val="18"/>
          <w:szCs w:val="18"/>
          <w:color w:val="auto"/>
        </w:rPr>
        <w:t xml:space="preserve"> shall in no event be deemed a breach of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5.05. </w:t>
      </w:r>
      <w:r>
        <w:rPr>
          <w:rFonts w:ascii="Times New Roman" w:cs="Times New Roman" w:eastAsia="Times New Roman" w:hAnsi="Times New Roman"/>
          <w:sz w:val="18"/>
          <w:szCs w:val="18"/>
          <w:b w:val="1"/>
          <w:bCs w:val="1"/>
          <w:i w:val="1"/>
          <w:iCs w:val="1"/>
          <w:color w:val="auto"/>
        </w:rPr>
        <w:t>Fulfillment of Conditions</w:t>
      </w:r>
      <w:r>
        <w:rPr>
          <w:rFonts w:ascii="Times New Roman" w:cs="Times New Roman" w:eastAsia="Times New Roman" w:hAnsi="Times New Roman"/>
          <w:sz w:val="18"/>
          <w:szCs w:val="18"/>
          <w:color w:val="auto"/>
        </w:rPr>
        <w:t>. Each Party shall take all commercially reasonable steps necessary or desirable, and proceed diligently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faith to satisfy each other condition to the obligations of the other Party contained in this 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5.06. </w:t>
      </w:r>
      <w:r>
        <w:rPr>
          <w:rFonts w:ascii="Times New Roman" w:cs="Times New Roman" w:eastAsia="Times New Roman" w:hAnsi="Times New Roman"/>
          <w:sz w:val="18"/>
          <w:szCs w:val="18"/>
          <w:b w:val="1"/>
          <w:bCs w:val="1"/>
          <w:i w:val="1"/>
          <w:iCs w:val="1"/>
          <w:color w:val="auto"/>
        </w:rPr>
        <w:t>Further Assurances</w:t>
      </w:r>
      <w:r>
        <w:rPr>
          <w:rFonts w:ascii="Times New Roman" w:cs="Times New Roman" w:eastAsia="Times New Roman" w:hAnsi="Times New Roman"/>
          <w:sz w:val="18"/>
          <w:szCs w:val="18"/>
          <w:color w:val="auto"/>
        </w:rPr>
        <w:t>. During the Interim Period, each Party shall use its commercially reasonable efforts to execute and deliver,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shall not apply.</w:t>
      </w:r>
    </w:p>
    <w:p>
      <w:pPr>
        <w:spacing w:after="0" w:line="18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5.07.</w:t>
      </w:r>
      <w:r>
        <w:rPr>
          <w:sz w:val="20"/>
          <w:szCs w:val="20"/>
          <w:color w:val="auto"/>
        </w:rPr>
        <w:tab/>
      </w:r>
      <w:r>
        <w:rPr>
          <w:rFonts w:ascii="Times New Roman" w:cs="Times New Roman" w:eastAsia="Times New Roman" w:hAnsi="Times New Roman"/>
          <w:sz w:val="17"/>
          <w:szCs w:val="17"/>
          <w:b w:val="1"/>
          <w:bCs w:val="1"/>
          <w:i w:val="1"/>
          <w:iCs w:val="1"/>
          <w:color w:val="auto"/>
        </w:rPr>
        <w:t>Purchaser’s Substitute Support Obligations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235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acknowledges that Seller and certain Affiliates have provided certain credit support pursuant to the support obligations and related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From the Execution Date and continuing until the earlier of the termination of this Agreement or the replacement and/or release of each Support Obligation, Purchaser shall use commercially reasonable efforts to negotiate a replacement of each Support Obligations (each, a “</w:t>
      </w:r>
      <w:r>
        <w:rPr>
          <w:rFonts w:ascii="Times New Roman" w:cs="Times New Roman" w:eastAsia="Times New Roman" w:hAnsi="Times New Roman"/>
          <w:sz w:val="18"/>
          <w:szCs w:val="18"/>
          <w:i w:val="1"/>
          <w:iCs w:val="1"/>
          <w:color w:val="auto"/>
        </w:rPr>
        <w:t>Substitute Support Obligation</w:t>
      </w:r>
      <w:r>
        <w:rPr>
          <w:rFonts w:ascii="Times New Roman" w:cs="Times New Roman" w:eastAsia="Times New Roman" w:hAnsi="Times New Roman"/>
          <w:sz w:val="18"/>
          <w:szCs w:val="18"/>
          <w:color w:val="auto"/>
        </w:rPr>
        <w:t>”) with the beneficiary thereof and/or to effect the complete and unconditional release of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Closing Date.</w:t>
      </w:r>
    </w:p>
    <w:p>
      <w:pPr>
        <w:spacing w:after="0" w:line="18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0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Execution Date and continuing until the earlier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termination of this Agreement,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effective date of the applicable Substitute Support Obligation,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date such Support Obligation is no longer required to be maintained under the applicable Company Contract, Seller shall, and shall cause its Affiliates to,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maintain each Support Obligation in full force and effect in accordance with the requirements under the applicable Company Contract,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perform all of its obligations under each Support Obligation and (</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 xml:space="preserve">) not amend, modify, grant a waiver in respect of, cancel or consent to the termination of such Support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solely to the extent that a Support Obligation cannot be released, terminated or replaced by Purchaser at or prior to the Closing (a “</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i w:val="1"/>
          <w:iCs w:val="1"/>
          <w:color w:val="auto"/>
        </w:rPr>
        <w:t>Section 5.07(c)</w:t>
      </w:r>
      <w:r>
        <w:rPr>
          <w:rFonts w:ascii="Times New Roman" w:cs="Times New Roman" w:eastAsia="Times New Roman" w:hAnsi="Times New Roman"/>
          <w:sz w:val="18"/>
          <w:szCs w:val="18"/>
          <w:color w:val="auto"/>
        </w:rPr>
        <w:t xml:space="preserve"> below, Seller shall, and shall cause its Affiliates to, perform its obligations with respect to such Retained Support Obligation.</w:t>
      </w:r>
    </w:p>
    <w:p>
      <w:pPr>
        <w:spacing w:after="0" w:line="182"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1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there is a Retained Support Obligation, Purchaser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the Company or the Mesquite Sky Entities conducted, existing or arising after the Closing (including as a result of any draw or demand for or making of any payment by Seller or any such Affiliate of Seller under any Support Obligation),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diligently continue to seek the release, termination and replacement of such Support Obligation,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reimburse Seller or its Affiliates (as applicable) for the actual out-of-pocket costs of, and fees paid by, Seller or its Affiliates in maintaining such Retained Support Obligation accruing at any time after the Closing and until such time as such Retained Support Obligation is replaced;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indemnification obligations under clause (i) shall not affect Seller’s indemnification obligations under </w:t>
      </w:r>
      <w:r>
        <w:rPr>
          <w:rFonts w:ascii="Times New Roman" w:cs="Times New Roman" w:eastAsia="Times New Roman" w:hAnsi="Times New Roman"/>
          <w:sz w:val="18"/>
          <w:szCs w:val="18"/>
          <w:i w:val="1"/>
          <w:iCs w:val="1"/>
          <w:color w:val="auto"/>
        </w:rPr>
        <w:t>Section 5.07(d)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4" w:name="page135"/>
    <w:bookmarkEnd w:id="134"/>
    <w:p>
      <w:pPr>
        <w:jc w:val="both"/>
        <w:ind w:firstLine="1304"/>
        <w:spacing w:after="0" w:line="256" w:lineRule="auto"/>
        <w:tabs>
          <w:tab w:leader="none" w:pos="214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replacement of a Support Obligation by Purchaser for the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the Company or the Mesquite Sky Entities conducted, existing or arising at or prior to the Closing (including as a result of any draw or demand for or making of any payment by Purchaser or any such Affiliate of Purchaser under any Substitute Support Obligation).</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5.08.</w:t>
      </w:r>
      <w:r>
        <w:rPr>
          <w:sz w:val="20"/>
          <w:szCs w:val="20"/>
          <w:color w:val="auto"/>
        </w:rPr>
        <w:tab/>
      </w:r>
      <w:r>
        <w:rPr>
          <w:rFonts w:ascii="Times New Roman" w:cs="Times New Roman" w:eastAsia="Times New Roman" w:hAnsi="Times New Roman"/>
          <w:sz w:val="17"/>
          <w:szCs w:val="17"/>
          <w:b w:val="1"/>
          <w:bCs w:val="1"/>
          <w:i w:val="1"/>
          <w:iCs w:val="1"/>
          <w:color w:val="auto"/>
        </w:rPr>
        <w:t>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224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use transfer, controlling interest transfer, recording, stock transfer, real property transfer, value-added and other similar Taxes and fees (“</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if any, arising out of or in connection with the consummation of the transactions contemplated by this Agreement shall be shared equally by Purchaser and Seller. Tax Returns that must be filed in connection with such Transfer Taxes shall be prepared and filed by the Party primarily or customarily responsible under applicable local Law for filing such Tax Returns, and such Party will use commercially reasonable efforts to provide such Tax Returns to the other Party at least ten (10) business days prior to the date such Tax Returns are due to be filed.</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Taxes, personal property Taxes and similar obligations of the Company and Mesquite Sky Entities imposed by any Governmental Authority that are due or become due for Tax periods within which the Closing Date occurs shall be apportioned between Seller for the pre-Closing Date period (which shall include the Closing Date), on the one hand, and the Company (or the applicable Mesquite Sky Entity) for the post-Closing Date period, on the other hand, as of the Closing Date, based upon the actual number of days of the Tax period that have elapsed before and after the Closing Date, and any income Taxes imposed on the Company and the Mesquite Sky Entities shall be allocated between the pre-Closing Date period and the post-Closing Date period as though a taxable year of the Company and the Mesquite Sky Entities (as applicable) has ended on (and includes) the Closing Date (collectively, the “</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xml:space="preserve">”). Seller shall be responsible for the portion of such Apportioned Obligations attributable to the period ending on (and including) the Closing Date. The Company (or the applicable Mesquite Sky Entity)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Company (or the applicable Mesquite Sky Entity) pursuant to the preceding sentence shall be paid by the Company (or the applicable Mesquite Sky Entity). If any refund, rebate or similar payment is received by the Company or the Mesquite Sky Entities for any real property Taxes, personal property Taxes or similar obligations referred to above that are Apportioned Obligations, such refund shall be apportioned between Seller and the Company (or the applicable Mesquite Sky Entity) as aforesaid on the basis of the obligations of the Company and the Mesquite Sky Entities during the applicable Tax period. Any refund, rebate or similar payment received by the Company or a Mesquite Sky Entity for any income Tax or Transfer Tax (other than Transfer Taxes governed under </w:t>
      </w:r>
      <w:r>
        <w:rPr>
          <w:rFonts w:ascii="Times New Roman" w:cs="Times New Roman" w:eastAsia="Times New Roman" w:hAnsi="Times New Roman"/>
          <w:sz w:val="18"/>
          <w:szCs w:val="18"/>
          <w:i w:val="1"/>
          <w:iCs w:val="1"/>
          <w:color w:val="auto"/>
        </w:rPr>
        <w:t>Section 5.08(a)</w:t>
      </w:r>
      <w:r>
        <w:rPr>
          <w:rFonts w:ascii="Times New Roman" w:cs="Times New Roman" w:eastAsia="Times New Roman" w:hAnsi="Times New Roman"/>
          <w:sz w:val="18"/>
          <w:szCs w:val="18"/>
          <w:color w:val="auto"/>
        </w:rPr>
        <w:t>) attributable to the pre-Closing Date period, as determined above, shall be for the benefit of Seller; and any such refund, rebate or similar payment attributable to the post-Closing Date period, as determined above, shall be for the benefit of the Company (or the applicable Mesquite Sky Entity).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1304"/>
        <w:spacing w:after="0" w:line="258" w:lineRule="auto"/>
        <w:tabs>
          <w:tab w:leader="none" w:pos="20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Taxes with respect to which the taxable period of the Company or the Mesquite Sky Entities (as applicable) ends on or before the Closing Date, Seller shall, at its sole cost and expense, timely prepare and file with the appropriate authorities all Tax Returns required to be filed by the Company and the Mesquite Sky Entities (as applicable), and pay or cause to be paid all Taxes shown to be due thereon. After the Closing Date, the Company shall, at its sole cost and expense, timely prepare and file, or cause to be timely prepared and filed, with the appropriate authorities all other Tax Returns required to be filed by the Company and the Mesquite Sky Entities, as applicable, and pay all Taxes shown to be due thereon.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and Purchaser shall reasonably cooperate, and shall cause their respective Affiliates, employees and agents reasonably to cooperate, in preparing and filing all Tax Returns of the Company and applicable Mesquite Sky Entities, including maintaining and making available to each other all records that are necessary for the preparation of any Tax Returns that the Party is required to file under this </w:t>
      </w:r>
      <w:r>
        <w:rPr>
          <w:rFonts w:ascii="Times New Roman" w:cs="Times New Roman" w:eastAsia="Times New Roman" w:hAnsi="Times New Roman"/>
          <w:sz w:val="18"/>
          <w:szCs w:val="18"/>
          <w:i w:val="1"/>
          <w:iCs w:val="1"/>
          <w:color w:val="auto"/>
        </w:rPr>
        <w:t>Section 5.08</w:t>
      </w:r>
      <w:r>
        <w:rPr>
          <w:rFonts w:ascii="Times New Roman" w:cs="Times New Roman" w:eastAsia="Times New Roman" w:hAnsi="Times New Roman"/>
          <w:sz w:val="18"/>
          <w:szCs w:val="18"/>
          <w:color w:val="auto"/>
        </w:rPr>
        <w:t>, and in resolving all Actions or Proceedings, and audits or examinations with respect to such Tax Returns.</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5.09.</w:t>
      </w:r>
      <w:r>
        <w:rPr>
          <w:sz w:val="20"/>
          <w:szCs w:val="20"/>
          <w:color w:val="auto"/>
        </w:rPr>
        <w:tab/>
      </w:r>
      <w:r>
        <w:rPr>
          <w:rFonts w:ascii="Times New Roman" w:cs="Times New Roman" w:eastAsia="Times New Roman" w:hAnsi="Times New Roman"/>
          <w:sz w:val="17"/>
          <w:szCs w:val="17"/>
          <w:b w:val="1"/>
          <w:bCs w:val="1"/>
          <w:i w:val="1"/>
          <w:iCs w:val="1"/>
          <w:color w:val="auto"/>
        </w:rPr>
        <w:t>No Solicitation</w:t>
      </w:r>
    </w:p>
    <w:p>
      <w:pPr>
        <w:spacing w:after="0" w:line="229" w:lineRule="exact"/>
        <w:rPr>
          <w:sz w:val="20"/>
          <w:szCs w:val="20"/>
          <w:color w:val="auto"/>
        </w:rPr>
      </w:pPr>
    </w:p>
    <w:p>
      <w:pPr>
        <w:jc w:val="both"/>
        <w:ind w:firstLine="1304"/>
        <w:spacing w:after="0" w:line="253" w:lineRule="auto"/>
        <w:tabs>
          <w:tab w:leader="none" w:pos="138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Closing, Seller shall not, and shall not authorize or permit the Company, the Mesquite Sky Entities, any of its or their Affiliates or any of its or their Representatives to, directly or indirectly,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encourage, solicit, initiate, facilitate or continue inquiries regarding an Acquisition Proposal,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enter into discussions or negotiations with, or provide any information to, any Person concerning a possible Acquisition Proposal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enter into any agreements or other instruments (whether or not binding) regarding an Acquisition Proposal. Seller shall immediately cease and cause to be terminated, and shall cause the Company, the Mesquite Sky Entities, any of its and their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shall mean (other than with respect to the transactions contemplated by the Tax Equity Agreement, the Financing Documents and the HASI Purchase Agreement) any inquiry, proposal or offer from any Person concerning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 merger, consolidation, liquidation, recapitalization, share exchange or other business combination transaction involving the Company or the Mesquite Sky Entities,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issuance or acquisition of equity securities of the Company or the Mesquite Sky Entities,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sale, lease, exchange or other disposition of any significant portion of the Company’s or the Mesquite Sky Entities’ properties or assets.</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i w:val="1"/>
          <w:iCs w:val="1"/>
          <w:color w:val="auto"/>
        </w:rPr>
        <w:t>Purchaser Parent Guaranty</w:t>
      </w:r>
      <w:r>
        <w:rPr>
          <w:rFonts w:ascii="Times New Roman" w:cs="Times New Roman" w:eastAsia="Times New Roman" w:hAnsi="Times New Roman"/>
          <w:sz w:val="18"/>
          <w:szCs w:val="18"/>
          <w:color w:val="auto"/>
        </w:rPr>
        <w:t>. Purchaser shall, concurrently with the execution and delivery of this Agreement, cause to be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Seller the Purchaser Parent Guaranty.</w:t>
      </w:r>
    </w:p>
    <w:p>
      <w:pPr>
        <w:spacing w:after="0" w:line="15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i w:val="1"/>
          <w:iCs w:val="1"/>
          <w:color w:val="auto"/>
        </w:rPr>
        <w:t>Post-Execution Date Documents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206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with respect to the Financing Documents, in no event later than January 29, 2021), Seller shall (or shall cause the Company and/or applicable Mesquite Sky Entity to) enter into the Financing Documents and the Ancillary Documents on the following terms and conditions: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jc w:val="both"/>
        <w:ind w:left="660" w:firstLine="1292"/>
        <w:spacing w:after="0" w:line="257" w:lineRule="auto"/>
        <w:tabs>
          <w:tab w:leader="none" w:pos="266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Financing Agreement and the Tax Equity Agreement: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to the extent such Financing Document is in a form that deviates in any material respect from the latest form of such Financing Document provided to Purchaser prior to the Execution Date (provided that, for the avoidance of doubt, any deviation in those certain conditions to the obligations of the Tax Equity Investor set forth in Article V of such form of Tax Equity Agreement shall be deemed a material deviation), enter into such Financing Document only upon the prior written consent of Purchaser;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to the extent such Financing Document is not otherwise subject to the terms and conditions of the foregoing clause (A), enter into such Financing Document without the necessity of Purchaser’s prior consent in any respect; and</w:t>
      </w:r>
    </w:p>
    <w:p>
      <w:pPr>
        <w:spacing w:after="0" w:line="182"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76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Ancillary Document: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to the extent such Ancillary Document is (</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material to the Company and/or applicable Mesquite Sky Entity and such Ancillary Document is not designated with an asterisk on </w:t>
      </w:r>
      <w:r>
        <w:rPr>
          <w:rFonts w:ascii="Times New Roman" w:cs="Times New Roman" w:eastAsia="Times New Roman" w:hAnsi="Times New Roman"/>
          <w:sz w:val="18"/>
          <w:szCs w:val="18"/>
          <w:i w:val="1"/>
          <w:iCs w:val="1"/>
          <w:color w:val="auto"/>
        </w:rPr>
        <w:t>Schedule 1.03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has been designated with an asterisk but deviates in any material respect from the latest form of such Ancillary Document provided to Purchaser prior to the Execution Date, enter into such Ancillary Document only upon the prior written consent of Purchaser (which consent shall not be unreasonably withheld or delayed);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to the extent such Ancillary Document is not subject to the terms and conditions of the foregoing clause (A), enter into such Ancillary Document without the necessity of Purchaser’s consent in any respect.</w:t>
      </w:r>
    </w:p>
    <w:p>
      <w:pPr>
        <w:spacing w:after="0" w:line="184" w:lineRule="exact"/>
        <w:rPr>
          <w:sz w:val="20"/>
          <w:szCs w:val="20"/>
          <w:color w:val="auto"/>
        </w:rPr>
      </w:pPr>
    </w:p>
    <w:p>
      <w:pPr>
        <w:ind w:firstLine="1304"/>
        <w:spacing w:after="0" w:line="282" w:lineRule="auto"/>
        <w:tabs>
          <w:tab w:leader="none" w:pos="22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entry into any Financing Document or Ancillary Document, Seller shall promptly provide to Purchaser a true, complete and correct copy of such Contract or document.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6.01. </w:t>
      </w:r>
      <w:r>
        <w:rPr>
          <w:rFonts w:ascii="Times New Roman" w:cs="Times New Roman" w:eastAsia="Times New Roman" w:hAnsi="Times New Roman"/>
          <w:sz w:val="18"/>
          <w:szCs w:val="18"/>
          <w:b w:val="1"/>
          <w:bCs w:val="1"/>
          <w:i w:val="1"/>
          <w:iCs w:val="1"/>
          <w:color w:val="auto"/>
        </w:rPr>
        <w:t>Indemnification by Seller</w:t>
      </w:r>
      <w:r>
        <w:rPr>
          <w:rFonts w:ascii="Times New Roman" w:cs="Times New Roman" w:eastAsia="Times New Roman" w:hAnsi="Times New Roman"/>
          <w:sz w:val="18"/>
          <w:szCs w:val="18"/>
          <w:color w:val="auto"/>
        </w:rPr>
        <w:t>. Seller hereby indemnifies and holds harmless the Purchaser Indemnified Parties in respect of, and holds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them harmless from and against, any and all Losses suffered, incurred or sustained by any of them or to which any of them become subject, resulting from, arising out of or related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breach of any representation, warranty, covenant, agreement or obligation made by Seller in this Agreement or any certificate delivered by Seller pursuant to this Agreement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w:t>
      </w:r>
      <w:r>
        <w:rPr>
          <w:rFonts w:ascii="Times New Roman" w:cs="Times New Roman" w:eastAsia="Times New Roman" w:hAnsi="Times New Roman"/>
          <w:sz w:val="18"/>
          <w:szCs w:val="18"/>
          <w:color w:val="auto"/>
        </w:rPr>
        <w:t>r, that the foregoing indemnity shall not apply to Losses to the extent caused by the gross negligence or willful misconduct of Purchaser Indemnified Parties or their agents, officers, employees or contractors.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6.02. </w:t>
      </w:r>
      <w:r>
        <w:rPr>
          <w:rFonts w:ascii="Times New Roman" w:cs="Times New Roman" w:eastAsia="Times New Roman" w:hAnsi="Times New Roman"/>
          <w:sz w:val="18"/>
          <w:szCs w:val="18"/>
          <w:b w:val="1"/>
          <w:bCs w:val="1"/>
          <w:i w:val="1"/>
          <w:iCs w:val="1"/>
          <w:color w:val="auto"/>
        </w:rPr>
        <w:t>Indemnification by Purchaser</w:t>
      </w:r>
      <w:r>
        <w:rPr>
          <w:rFonts w:ascii="Times New Roman" w:cs="Times New Roman" w:eastAsia="Times New Roman" w:hAnsi="Times New Roman"/>
          <w:sz w:val="18"/>
          <w:szCs w:val="18"/>
          <w:color w:val="auto"/>
        </w:rPr>
        <w:t>. Purchaser hereby indemnifies and holds harmless the Seller Indemnified Parties in respect of, and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w:t>
      </w:r>
      <w:r>
        <w:rPr>
          <w:rFonts w:ascii="Times New Roman" w:cs="Times New Roman" w:eastAsia="Times New Roman" w:hAnsi="Times New Roman"/>
          <w:sz w:val="18"/>
          <w:szCs w:val="18"/>
          <w:color w:val="auto"/>
        </w:rPr>
        <w:t>r, that the foregoing indemnity shall not apply to Losses to the extent caused by the gross negligence or willful misconduct of Seller Indemnified Parties or their agents, officers, employees or contractors.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6.03. </w:t>
      </w:r>
      <w:r>
        <w:rPr>
          <w:rFonts w:ascii="Times New Roman" w:cs="Times New Roman" w:eastAsia="Times New Roman" w:hAnsi="Times New Roman"/>
          <w:sz w:val="18"/>
          <w:szCs w:val="18"/>
          <w:b w:val="1"/>
          <w:bCs w:val="1"/>
          <w:i w:val="1"/>
          <w:iCs w:val="1"/>
          <w:color w:val="auto"/>
        </w:rPr>
        <w:t>Survival of Representations, Warranties, Covenants and Agreements</w:t>
      </w:r>
      <w:r>
        <w:rPr>
          <w:rFonts w:ascii="Times New Roman" w:cs="Times New Roman" w:eastAsia="Times New Roman" w:hAnsi="Times New Roman"/>
          <w:sz w:val="18"/>
          <w:szCs w:val="18"/>
          <w:color w:val="auto"/>
        </w:rPr>
        <w:t>. The representations, warranties, covenants,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of Seller and Purchaser contained in this Agreement are material, were relied on by such Parties, and will survive the Closing Date as provided in this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 xml:space="preserve">. Subject to the limitations and other provisions of this Agreement, the representations and warranties contained herein shall survive the Closing for twelve (12) months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i w:val="1"/>
          <w:iCs w:val="1"/>
          <w:color w:val="auto"/>
        </w:rPr>
        <w:t>Section 3.01(a)</w:t>
      </w:r>
      <w:r>
        <w:rPr>
          <w:rFonts w:ascii="Times New Roman" w:cs="Times New Roman" w:eastAsia="Times New Roman" w:hAnsi="Times New Roman"/>
          <w:sz w:val="18"/>
          <w:szCs w:val="18"/>
          <w:color w:val="auto"/>
        </w:rPr>
        <w:t xml:space="preserve"> (Existence), </w:t>
      </w:r>
      <w:r>
        <w:rPr>
          <w:rFonts w:ascii="Times New Roman" w:cs="Times New Roman" w:eastAsia="Times New Roman" w:hAnsi="Times New Roman"/>
          <w:sz w:val="18"/>
          <w:szCs w:val="18"/>
          <w:i w:val="1"/>
          <w:iCs w:val="1"/>
          <w:color w:val="auto"/>
        </w:rPr>
        <w:t xml:space="preserve">Section 3.01(b) </w:t>
      </w:r>
      <w:r>
        <w:rPr>
          <w:rFonts w:ascii="Times New Roman" w:cs="Times New Roman" w:eastAsia="Times New Roman" w:hAnsi="Times New Roman"/>
          <w:sz w:val="18"/>
          <w:szCs w:val="18"/>
          <w:color w:val="auto"/>
        </w:rPr>
        <w:t>(Authority),</w:t>
      </w:r>
      <w:r>
        <w:rPr>
          <w:rFonts w:ascii="Times New Roman" w:cs="Times New Roman" w:eastAsia="Times New Roman" w:hAnsi="Times New Roman"/>
          <w:sz w:val="18"/>
          <w:szCs w:val="18"/>
          <w:i w:val="1"/>
          <w:iCs w:val="1"/>
          <w:color w:val="auto"/>
        </w:rPr>
        <w:t xml:space="preserve"> Section 3.01(g) </w:t>
      </w:r>
      <w:r>
        <w:rPr>
          <w:rFonts w:ascii="Times New Roman" w:cs="Times New Roman" w:eastAsia="Times New Roman" w:hAnsi="Times New Roman"/>
          <w:sz w:val="18"/>
          <w:szCs w:val="18"/>
          <w:color w:val="auto"/>
        </w:rPr>
        <w:t>(Brokers),</w:t>
      </w:r>
      <w:r>
        <w:rPr>
          <w:rFonts w:ascii="Times New Roman" w:cs="Times New Roman" w:eastAsia="Times New Roman" w:hAnsi="Times New Roman"/>
          <w:sz w:val="18"/>
          <w:szCs w:val="18"/>
          <w:i w:val="1"/>
          <w:iCs w:val="1"/>
          <w:color w:val="auto"/>
        </w:rPr>
        <w:t xml:space="preserve"> Sections 3.01(i)(i)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(ii), (v) and (ix) </w:t>
      </w:r>
      <w:r>
        <w:rPr>
          <w:rFonts w:ascii="Times New Roman" w:cs="Times New Roman" w:eastAsia="Times New Roman" w:hAnsi="Times New Roman"/>
          <w:sz w:val="18"/>
          <w:szCs w:val="18"/>
          <w:color w:val="auto"/>
        </w:rPr>
        <w:t>(Company and Mesquite Sky Entities),</w:t>
      </w:r>
      <w:r>
        <w:rPr>
          <w:rFonts w:ascii="Times New Roman" w:cs="Times New Roman" w:eastAsia="Times New Roman" w:hAnsi="Times New Roman"/>
          <w:sz w:val="18"/>
          <w:szCs w:val="18"/>
          <w:i w:val="1"/>
          <w:iCs w:val="1"/>
          <w:color w:val="auto"/>
        </w:rPr>
        <w:t xml:space="preserve"> Section 3.02(a) </w:t>
      </w:r>
      <w:r>
        <w:rPr>
          <w:rFonts w:ascii="Times New Roman" w:cs="Times New Roman" w:eastAsia="Times New Roman" w:hAnsi="Times New Roman"/>
          <w:sz w:val="18"/>
          <w:szCs w:val="18"/>
          <w:color w:val="auto"/>
        </w:rPr>
        <w:t>(Existence),</w:t>
      </w:r>
      <w:r>
        <w:rPr>
          <w:rFonts w:ascii="Times New Roman" w:cs="Times New Roman" w:eastAsia="Times New Roman" w:hAnsi="Times New Roman"/>
          <w:sz w:val="18"/>
          <w:szCs w:val="18"/>
          <w:i w:val="1"/>
          <w:iCs w:val="1"/>
          <w:color w:val="auto"/>
        </w:rPr>
        <w:t xml:space="preserve"> Section 3.02(b) </w:t>
      </w:r>
      <w:r>
        <w:rPr>
          <w:rFonts w:ascii="Times New Roman" w:cs="Times New Roman" w:eastAsia="Times New Roman" w:hAnsi="Times New Roman"/>
          <w:sz w:val="18"/>
          <w:szCs w:val="18"/>
          <w:color w:val="auto"/>
        </w:rPr>
        <w:t>(Authority) and</w:t>
      </w:r>
      <w:r>
        <w:rPr>
          <w:rFonts w:ascii="Times New Roman" w:cs="Times New Roman" w:eastAsia="Times New Roman" w:hAnsi="Times New Roman"/>
          <w:sz w:val="18"/>
          <w:szCs w:val="18"/>
          <w:i w:val="1"/>
          <w:iCs w:val="1"/>
          <w:color w:val="auto"/>
        </w:rPr>
        <w:t xml:space="preserve"> Section 3.02(h) </w:t>
      </w:r>
      <w:r>
        <w:rPr>
          <w:rFonts w:ascii="Times New Roman" w:cs="Times New Roman" w:eastAsia="Times New Roman" w:hAnsi="Times New Roman"/>
          <w:sz w:val="18"/>
          <w:szCs w:val="18"/>
          <w:color w:val="auto"/>
        </w:rPr>
        <w:t>(Brokers) (the “</w:t>
      </w:r>
      <w:r>
        <w:rPr>
          <w:rFonts w:ascii="Times New Roman" w:cs="Times New Roman" w:eastAsia="Times New Roman" w:hAnsi="Times New Roman"/>
          <w:sz w:val="18"/>
          <w:szCs w:val="18"/>
          <w:i w:val="1"/>
          <w:iCs w:val="1"/>
          <w:color w:val="auto"/>
        </w:rPr>
        <w:t>Seller Fundamental Representations</w:t>
      </w:r>
      <w:r>
        <w:rPr>
          <w:rFonts w:ascii="Times New Roman" w:cs="Times New Roman" w:eastAsia="Times New Roman" w:hAnsi="Times New Roman"/>
          <w:sz w:val="18"/>
          <w:szCs w:val="18"/>
          <w:color w:val="auto"/>
        </w:rPr>
        <w:t>”) shall survive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for five (5) years after the Closing Date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representations and warranties in </w:t>
      </w:r>
      <w:r>
        <w:rPr>
          <w:rFonts w:ascii="Times New Roman" w:cs="Times New Roman" w:eastAsia="Times New Roman" w:hAnsi="Times New Roman"/>
          <w:sz w:val="18"/>
          <w:szCs w:val="18"/>
          <w:i w:val="1"/>
          <w:iCs w:val="1"/>
          <w:color w:val="auto"/>
        </w:rPr>
        <w:t>Section 3.01(k)</w:t>
      </w:r>
      <w:r>
        <w:rPr>
          <w:rFonts w:ascii="Times New Roman" w:cs="Times New Roman" w:eastAsia="Times New Roman" w:hAnsi="Times New Roman"/>
          <w:sz w:val="18"/>
          <w:szCs w:val="18"/>
          <w:color w:val="auto"/>
        </w:rPr>
        <w:t xml:space="preserve"> (Taxes) shall survive the Closing until thirty</w:t>
      </w:r>
    </w:p>
    <w:p>
      <w:pPr>
        <w:spacing w:after="0" w:line="1" w:lineRule="exact"/>
        <w:rPr>
          <w:sz w:val="20"/>
          <w:szCs w:val="20"/>
          <w:color w:val="auto"/>
        </w:rPr>
      </w:pPr>
    </w:p>
    <w:p>
      <w:pPr>
        <w:jc w:val="both"/>
        <w:ind w:firstLine="8"/>
        <w:spacing w:after="0" w:line="252" w:lineRule="auto"/>
        <w:tabs>
          <w:tab w:leader="none" w:pos="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expiration of the applicable Tax statute of limitations. The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a written notice of claim prior to the applicable survival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written notice for a claim of indemnification has been provided by the Indemnified Party pursuant to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 xml:space="preserve"> on or prior to the applicable survival expiration date, then the obligation of the Indemnifying Party to indemnify the Indemnified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shall survive with respect to such claim until such claim is finally resolved.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7" w:name="page138"/>
    <w:bookmarkEnd w:id="137"/>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6.04.</w:t>
      </w:r>
      <w:r>
        <w:rPr>
          <w:sz w:val="20"/>
          <w:szCs w:val="20"/>
          <w:color w:val="auto"/>
        </w:rPr>
        <w:tab/>
      </w:r>
      <w:r>
        <w:rPr>
          <w:rFonts w:ascii="Times New Roman" w:cs="Times New Roman" w:eastAsia="Times New Roman" w:hAnsi="Times New Roman"/>
          <w:sz w:val="17"/>
          <w:szCs w:val="17"/>
          <w:b w:val="1"/>
          <w:bCs w:val="1"/>
          <w:i w:val="1"/>
          <w:iCs w:val="1"/>
          <w:color w:val="auto"/>
        </w:rPr>
        <w:t>Limitations on Claims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215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equal or exceed [***] of the Purchase Price (the “</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in which event the Indemnifying Party shall be liable for Losses only to the extent they are in excess of the Deductible;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Deductible shall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Fraudulent Action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7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liability of the Seller Indemnifying Parties and the Purchaser Indemnifying Parties under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resulting from any claims under any breaches of representations or warranties herein and in any certificates delivered pursuant hereto, shall be limited to an amount equal to [***] of the Purchase Price (the “</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Cap shall not apply to Losses resulting from, arising out of or relating to (i) any Fraudulent Action or (ii) a breach of the Seller Fundamental Representations;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aggregate liability of the Seller Indemnifying Parties resulting from the Seller Fundamental Representations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other Losses resulting from any claims under breaches of representations or warranties herein and in any certificates delivered pursuant hereto shall be limited to an amount equal to the Purchase Price. For the avoidance of doubt, the foregoing limitation will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breach of any covenant, agreement or obligation made herein or any certificate delivered pursuant hereto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4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payment shall not exceed the amount of the indemnity payment.</w:t>
      </w:r>
    </w:p>
    <w:p>
      <w:pPr>
        <w:spacing w:after="0" w:line="18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6.05.</w:t>
      </w:r>
      <w:r>
        <w:rPr>
          <w:sz w:val="20"/>
          <w:szCs w:val="20"/>
          <w:color w:val="auto"/>
        </w:rPr>
        <w:tab/>
      </w:r>
      <w:r>
        <w:rPr>
          <w:rFonts w:ascii="Times New Roman" w:cs="Times New Roman" w:eastAsia="Times New Roman" w:hAnsi="Times New Roman"/>
          <w:sz w:val="17"/>
          <w:szCs w:val="17"/>
          <w:b w:val="1"/>
          <w:bCs w:val="1"/>
          <w:i w:val="1"/>
          <w:iCs w:val="1"/>
          <w:color w:val="auto"/>
        </w:rPr>
        <w:t>Procedure for Indemnification of Third Party Claims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7" w:lineRule="auto"/>
        <w:tabs>
          <w:tab w:leader="none" w:pos="214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Whenever any claim by a third party shall arise for indemnification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Indemnified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8" w:name="page139"/>
    <w:bookmarkEnd w:id="138"/>
    <w:p>
      <w:pPr>
        <w:jc w:val="both"/>
        <w:ind w:firstLine="1304"/>
        <w:spacing w:after="0" w:line="268" w:lineRule="auto"/>
        <w:tabs>
          <w:tab w:leader="none" w:pos="211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If the Indemnified Party has assumed the defense of any claim by a third party which may give rise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indemnity hereunder pursuant to </w:t>
      </w:r>
      <w:r>
        <w:rPr>
          <w:rFonts w:ascii="Times New Roman" w:cs="Times New Roman" w:eastAsia="Times New Roman" w:hAnsi="Times New Roman"/>
          <w:sz w:val="18"/>
          <w:szCs w:val="18"/>
          <w:i w:val="1"/>
          <w:iCs w:val="1"/>
          <w:color w:val="auto"/>
        </w:rPr>
        <w:t>Section 6.06(c)</w:t>
      </w:r>
      <w:r>
        <w:rPr>
          <w:rFonts w:ascii="Times New Roman" w:cs="Times New Roman" w:eastAsia="Times New Roman" w:hAnsi="Times New Roman"/>
          <w:sz w:val="18"/>
          <w:szCs w:val="18"/>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7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6.06.</w:t>
      </w:r>
      <w:r>
        <w:rPr>
          <w:sz w:val="20"/>
          <w:szCs w:val="20"/>
          <w:color w:val="auto"/>
        </w:rPr>
        <w:tab/>
      </w:r>
      <w:r>
        <w:rPr>
          <w:rFonts w:ascii="Times New Roman" w:cs="Times New Roman" w:eastAsia="Times New Roman" w:hAnsi="Times New Roman"/>
          <w:sz w:val="17"/>
          <w:szCs w:val="17"/>
          <w:b w:val="1"/>
          <w:bCs w:val="1"/>
          <w:i w:val="1"/>
          <w:iCs w:val="1"/>
          <w:color w:val="auto"/>
        </w:rPr>
        <w:t>Rights of the Indemnifying Party in the Defense of Third Party Claims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2" w:lineRule="auto"/>
        <w:tabs>
          <w:tab w:leader="none" w:pos="207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to Assume the Defense</w:t>
      </w:r>
      <w:r>
        <w:rPr>
          <w:rFonts w:ascii="Times New Roman" w:cs="Times New Roman" w:eastAsia="Times New Roman" w:hAnsi="Times New Roman"/>
          <w:sz w:val="18"/>
          <w:szCs w:val="18"/>
          <w:color w:val="auto"/>
        </w:rPr>
        <w:t>. In connection with any claim by a third party which may give rise to indemnity hereunder,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7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 If the Indemnifying Party assumes the defense of any such claim, the Indemnifying Party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select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acceptable to the Indemnified Party to conduct the defense of such claim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0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The Indemnifying Party shall not consent to a settlement of or the entry of any judgment arising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such claim or legal proceeding, without the prior written consent of the Indemnified Party (which consent shall not be unreasonably withheld or delayed).</w:t>
      </w:r>
    </w:p>
    <w:p>
      <w:pPr>
        <w:spacing w:after="0" w:line="170"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4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Decline to Assume the Defense</w:t>
      </w:r>
      <w:r>
        <w:rPr>
          <w:rFonts w:ascii="Times New Roman" w:cs="Times New Roman" w:eastAsia="Times New Roman" w:hAnsi="Times New Roman"/>
          <w:sz w:val="18"/>
          <w:szCs w:val="18"/>
          <w:color w:val="auto"/>
        </w:rPr>
        <w:t>. The Indemnified Party may defend against any such claim, at the sole cost and expense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in such manner as it may deem reasonably appropriate, including settling such claim in accordance with the terms hereof if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Indemnified Party reasonably concludes that the Indemnifying Party is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not diligently defending the Indemnified Party,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not contesting such claim in good faith through appropriate proceedings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9" w:name="page140"/>
    <w:bookmarkEnd w:id="13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6.07. </w:t>
      </w:r>
      <w:r>
        <w:rPr>
          <w:rFonts w:ascii="Times New Roman" w:cs="Times New Roman" w:eastAsia="Times New Roman" w:hAnsi="Times New Roman"/>
          <w:sz w:val="18"/>
          <w:szCs w:val="18"/>
          <w:b w:val="1"/>
          <w:bCs w:val="1"/>
          <w:i w:val="1"/>
          <w:iCs w:val="1"/>
          <w:color w:val="auto"/>
        </w:rPr>
        <w:t>Direct Claims</w:t>
      </w:r>
      <w:r>
        <w:rPr>
          <w:rFonts w:ascii="Times New Roman" w:cs="Times New Roman" w:eastAsia="Times New Roman" w:hAnsi="Times New Roman"/>
          <w:sz w:val="18"/>
          <w:szCs w:val="18"/>
          <w:color w:val="auto"/>
        </w:rPr>
        <w:t>. In the event that any Indemnified Party has a claim against any Indemnifying Party which may give rise to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against the Indemnifying Party.</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6.08. </w:t>
      </w:r>
      <w:r>
        <w:rPr>
          <w:rFonts w:ascii="Times New Roman" w:cs="Times New Roman" w:eastAsia="Times New Roman" w:hAnsi="Times New Roman"/>
          <w:sz w:val="18"/>
          <w:szCs w:val="18"/>
          <w:b w:val="1"/>
          <w:bCs w:val="1"/>
          <w:i w:val="1"/>
          <w:iCs w:val="1"/>
          <w:color w:val="auto"/>
        </w:rPr>
        <w:t>Exclusive Remedy</w:t>
      </w:r>
      <w:r>
        <w:rPr>
          <w:rFonts w:ascii="Times New Roman" w:cs="Times New Roman" w:eastAsia="Times New Roman" w:hAnsi="Times New Roman"/>
          <w:sz w:val="18"/>
          <w:szCs w:val="18"/>
          <w:color w:val="auto"/>
        </w:rPr>
        <w:t>. Absent any Fraudulent Action, the indemnities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exclusive remedies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6.09.</w:t>
      </w:r>
      <w:r>
        <w:rPr>
          <w:sz w:val="20"/>
          <w:szCs w:val="20"/>
          <w:color w:val="auto"/>
        </w:rPr>
        <w:tab/>
      </w:r>
      <w:r>
        <w:rPr>
          <w:rFonts w:ascii="Times New Roman" w:cs="Times New Roman" w:eastAsia="Times New Roman" w:hAnsi="Times New Roman"/>
          <w:sz w:val="17"/>
          <w:szCs w:val="17"/>
          <w:b w:val="1"/>
          <w:bCs w:val="1"/>
          <w:i w:val="1"/>
          <w:iCs w:val="1"/>
          <w:color w:val="auto"/>
        </w:rPr>
        <w:t>Mitigations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233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59" w:lineRule="exact"/>
        <w:rPr>
          <w:rFonts w:ascii="Times New Roman" w:cs="Times New Roman" w:eastAsia="Times New Roman" w:hAnsi="Times New Roman"/>
          <w:sz w:val="18"/>
          <w:szCs w:val="18"/>
          <w:color w:val="auto"/>
        </w:rPr>
      </w:pPr>
    </w:p>
    <w:p>
      <w:pPr>
        <w:jc w:val="both"/>
        <w:ind w:firstLine="1304"/>
        <w:spacing w:after="0" w:line="267" w:lineRule="auto"/>
        <w:tabs>
          <w:tab w:leader="none" w:pos="207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making any payment to the Indemnified Party for any indemnification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i w:val="1"/>
          <w:iCs w:val="1"/>
          <w:color w:val="auto"/>
        </w:rPr>
        <w:t>Indemnity Treatment</w:t>
      </w:r>
      <w:r>
        <w:rPr>
          <w:rFonts w:ascii="Times New Roman" w:cs="Times New Roman" w:eastAsia="Times New Roman" w:hAnsi="Times New Roman"/>
          <w:sz w:val="18"/>
          <w:szCs w:val="18"/>
          <w:color w:val="auto"/>
        </w:rPr>
        <w:t>. Any amount of indemnification payable pursuant to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the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law, be treated as an adjustment to the Purchase Price (as determined for all relevant Tax purposes).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7.01.</w:t>
      </w:r>
      <w:r>
        <w:rPr>
          <w:sz w:val="20"/>
          <w:szCs w:val="20"/>
          <w:color w:val="auto"/>
        </w:rPr>
        <w:tab/>
      </w:r>
      <w:r>
        <w:rPr>
          <w:rFonts w:ascii="Times New Roman" w:cs="Times New Roman" w:eastAsia="Times New Roman" w:hAnsi="Times New Roman"/>
          <w:sz w:val="17"/>
          <w:szCs w:val="17"/>
          <w:b w:val="1"/>
          <w:bCs w:val="1"/>
          <w:i w:val="1"/>
          <w:iCs w:val="1"/>
          <w:color w:val="auto"/>
        </w:rPr>
        <w:t>Termination</w:t>
      </w:r>
      <w:r>
        <w:rPr>
          <w:rFonts w:ascii="Times New Roman" w:cs="Times New Roman" w:eastAsia="Times New Roman" w:hAnsi="Times New Roman"/>
          <w:sz w:val="17"/>
          <w:szCs w:val="17"/>
          <w:color w:val="auto"/>
        </w:rPr>
        <w:t>. This Agreement may be terminated at any time prior to the Closing Date as follows:</w:t>
      </w:r>
    </w:p>
    <w:p>
      <w:pPr>
        <w:spacing w:after="0" w:line="229" w:lineRule="exact"/>
        <w:rPr>
          <w:sz w:val="20"/>
          <w:szCs w:val="20"/>
          <w:color w:val="auto"/>
        </w:rPr>
      </w:pPr>
    </w:p>
    <w:p>
      <w:pPr>
        <w:ind w:left="2040" w:hanging="736"/>
        <w:spacing w:after="0"/>
        <w:tabs>
          <w:tab w:leader="none" w:pos="20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Seller and Purchaser;</w:t>
      </w:r>
    </w:p>
    <w:p>
      <w:pPr>
        <w:spacing w:after="0" w:line="223" w:lineRule="exact"/>
        <w:rPr>
          <w:rFonts w:ascii="Times New Roman" w:cs="Times New Roman" w:eastAsia="Times New Roman" w:hAnsi="Times New Roman"/>
          <w:sz w:val="18"/>
          <w:szCs w:val="18"/>
          <w:color w:val="auto"/>
        </w:rPr>
      </w:pPr>
    </w:p>
    <w:p>
      <w:pPr>
        <w:ind w:firstLine="1304"/>
        <w:spacing w:after="0" w:line="284" w:lineRule="auto"/>
        <w:tabs>
          <w:tab w:leader="none" w:pos="210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 the Closing has not occurred on or before March 31, 2022 (the “</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and the failure to reach the Closing Date was not caused by a breach of this Agreement by the terminating Party;</w:t>
      </w:r>
    </w:p>
    <w:p>
      <w:pPr>
        <w:spacing w:after="0" w:line="160"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0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Purchaser if there has been a breach by Seller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either (x) is a breach of Seller’s obligations to transfer the Acquired Interests at Closing in accordance with this Agreement or (y) such breach has not been cured, or by its nature cannot be cured, within thirty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the end of such thirty (30) day period, Seller is endeavoring in good faith, and proceeding diligently, to cure such breach, Seller shall have an additional thirty (30) days in which to effect such cure;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0" w:name="page141"/>
    <w:bookmarkEnd w:id="140"/>
    <w:p>
      <w:pPr>
        <w:jc w:val="both"/>
        <w:ind w:firstLine="1304"/>
        <w:spacing w:after="0" w:line="258" w:lineRule="auto"/>
        <w:tabs>
          <w:tab w:leader="none" w:pos="221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 if there has been a breach by Purchaser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such breach has not been cured, or by its nature cannot be cured, within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the end of such thirty (30) day period, Purchaser is endeavoring in good faith, and proceeding diligently, to cure such breach, Purchaser shall have an additional thirty (30) days in which to effect such cure; and</w:t>
      </w:r>
    </w:p>
    <w:p>
      <w:pPr>
        <w:spacing w:after="0" w:line="181" w:lineRule="exact"/>
        <w:rPr>
          <w:rFonts w:ascii="Times New Roman" w:cs="Times New Roman" w:eastAsia="Times New Roman" w:hAnsi="Times New Roman"/>
          <w:sz w:val="18"/>
          <w:szCs w:val="18"/>
          <w:color w:val="auto"/>
        </w:rPr>
      </w:pPr>
    </w:p>
    <w:p>
      <w:pPr>
        <w:jc w:val="both"/>
        <w:ind w:firstLine="1304"/>
        <w:spacing w:after="0" w:line="267" w:lineRule="auto"/>
        <w:tabs>
          <w:tab w:leader="none" w:pos="211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Purchaser if there has been a breach by Seller of its covenant in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xml:space="preserve"> with respect to the Financing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breach was not caused by a breach by Purchaser of the terms and conditions with respect to its granting of consent under</w:t>
      </w:r>
      <w:r>
        <w:rPr>
          <w:rFonts w:ascii="Times New Roman" w:cs="Times New Roman" w:eastAsia="Times New Roman" w:hAnsi="Times New Roman"/>
          <w:sz w:val="18"/>
          <w:szCs w:val="18"/>
          <w:i w:val="1"/>
          <w:iCs w:val="1"/>
          <w:color w:val="auto"/>
        </w:rPr>
        <w:t xml:space="preserve"> Section 5.12(a), </w:t>
      </w:r>
      <w:r>
        <w:rPr>
          <w:rFonts w:ascii="Times New Roman" w:cs="Times New Roman" w:eastAsia="Times New Roman" w:hAnsi="Times New Roman"/>
          <w:sz w:val="18"/>
          <w:szCs w:val="18"/>
          <w:color w:val="auto"/>
        </w:rPr>
        <w:t>as applicable.</w:t>
      </w:r>
    </w:p>
    <w:p>
      <w:pPr>
        <w:spacing w:after="0" w:line="17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7.02.</w:t>
      </w:r>
      <w:r>
        <w:rPr>
          <w:sz w:val="20"/>
          <w:szCs w:val="20"/>
          <w:color w:val="auto"/>
        </w:rPr>
        <w:tab/>
      </w:r>
      <w:r>
        <w:rPr>
          <w:rFonts w:ascii="Times New Roman" w:cs="Times New Roman" w:eastAsia="Times New Roman" w:hAnsi="Times New Roman"/>
          <w:sz w:val="17"/>
          <w:szCs w:val="17"/>
          <w:b w:val="1"/>
          <w:bCs w:val="1"/>
          <w:i w:val="1"/>
          <w:iCs w:val="1"/>
          <w:color w:val="auto"/>
        </w:rPr>
        <w:t>Effect of Termination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1304"/>
        <w:spacing w:after="0" w:line="258" w:lineRule="auto"/>
        <w:tabs>
          <w:tab w:leader="none" w:pos="204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pursuant to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and the entirety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Article 8</w:t>
      </w:r>
      <w:r>
        <w:rPr>
          <w:rFonts w:ascii="Times New Roman" w:cs="Times New Roman" w:eastAsia="Times New Roman" w:hAnsi="Times New Roman"/>
          <w:sz w:val="18"/>
          <w:szCs w:val="18"/>
          <w:color w:val="auto"/>
        </w:rPr>
        <w:t xml:space="preserve"> will continue to apply following any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shall release any Party from liability for any breach of this Agreement by such Party prior to the termination of this Agreement (and any attempted termination by the breaching Party shall be void).</w:t>
      </w:r>
    </w:p>
    <w:p>
      <w:pPr>
        <w:spacing w:after="0" w:line="18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1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by a Party for any reason, (i) Purchaser shall return all documents and other materials of Seller relating to the Company and the Mesquite Sky Entities, the assets or properties of the Company and the Mesquite Sky Entities and the transactions contemplated hereby, and (ii)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Company, the Mesquite Sky Entities, the assets of the Company, the assets of the Mesquite Sky Entities or the other Party shall remain subject to the provisions of </w:t>
      </w:r>
      <w:r>
        <w:rPr>
          <w:rFonts w:ascii="Times New Roman" w:cs="Times New Roman" w:eastAsia="Times New Roman" w:hAnsi="Times New Roman"/>
          <w:sz w:val="18"/>
          <w:szCs w:val="18"/>
          <w:i w:val="1"/>
          <w:iCs w:val="1"/>
          <w:color w:val="auto"/>
        </w:rPr>
        <w:t>Section 8.06</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8.01.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All notices, requests and other communications hereunder must be in writing and will be deemed to have been duly given only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personally, by email, by reputable national overnight courier service or by registered or certified mail (postage prepaid) to the Parties at the following addresses or email addresses, as applicable: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If to Purchaser, to:</w:t>
            </w: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Lighthouse Renewable Class A LLC</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 Clearway Energy, Inc.</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300 Carnegie Center Drive, Suite 300</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Princeton, NJ 08540</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Attn: Christopher Sotos and Kevin Malcarney</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Email: christopher.sotos@clearwayenergy.com and</w:t>
            </w:r>
          </w:p>
        </w:tc>
      </w:tr>
      <w:tr>
        <w:trPr>
          <w:trHeight w:val="234"/>
        </w:trPr>
        <w:tc>
          <w:tcPr>
            <w:tcW w:w="3260" w:type="dxa"/>
            <w:vAlign w:val="bottom"/>
          </w:tcPr>
          <w:p>
            <w:pPr>
              <w:spacing w:after="0"/>
              <w:rPr>
                <w:sz w:val="20"/>
                <w:szCs w:val="20"/>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kevin.malcarney@clearwayenergy.com</w:t>
            </w:r>
          </w:p>
        </w:tc>
      </w:tr>
      <w:tr>
        <w:trPr>
          <w:trHeight w:val="648"/>
        </w:trPr>
        <w:tc>
          <w:tcPr>
            <w:tcW w:w="32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38</w:t>
            </w:r>
          </w:p>
        </w:tc>
      </w:tr>
    </w:tbl>
    <w:p>
      <w:pPr>
        <w:sectPr>
          <w:pgSz w:w="11900" w:h="16838" w:orient="portrait"/>
          <w:cols w:equalWidth="0" w:num="1">
            <w:col w:w="11240"/>
          </w:cols>
          <w:pgMar w:left="320" w:top="688" w:right="339" w:bottom="1440" w:gutter="0" w:footer="0" w:header="0"/>
        </w:sectPr>
      </w:pPr>
    </w:p>
    <w:bookmarkStart w:id="141" w:name="page142"/>
    <w:bookmarkEnd w:id="141"/>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Perkins Coie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13th St.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Eric Dodson Greenberg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egreenberg@perkinscoie.com</w:t>
      </w:r>
    </w:p>
    <w:p>
      <w:pPr>
        <w:spacing w:after="0" w:line="200" w:lineRule="exact"/>
        <w:rPr>
          <w:sz w:val="20"/>
          <w:szCs w:val="20"/>
          <w:color w:val="auto"/>
        </w:rPr>
      </w:pPr>
    </w:p>
    <w:p>
      <w:pPr>
        <w:sectPr>
          <w:pgSz w:w="11900" w:h="16838" w:orient="portrait"/>
          <w:cols w:equalWidth="0" w:num="2">
            <w:col w:w="3180" w:space="720"/>
            <w:col w:w="7340"/>
          </w:cols>
          <w:pgMar w:left="320" w:top="688" w:right="339" w:bottom="1440" w:gutter="0" w:footer="0" w:header="0"/>
        </w:sectPr>
      </w:pP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If to Seller, to:</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8"/>
          <w:szCs w:val="18"/>
          <w:color w:val="auto"/>
        </w:rPr>
        <w:t>Clearway Renew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4900 N Scottsdale Road, Suite 5000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Scottsdale, AZ 85251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am@clearwayenergy.com</w:t>
      </w:r>
    </w:p>
    <w:p>
      <w:pPr>
        <w:spacing w:after="0" w:line="200" w:lineRule="exact"/>
        <w:rPr>
          <w:sz w:val="20"/>
          <w:szCs w:val="20"/>
          <w:color w:val="auto"/>
        </w:rPr>
      </w:pPr>
    </w:p>
    <w:p>
      <w:pPr>
        <w:sectPr>
          <w:pgSz w:w="11900" w:h="16838" w:orient="portrait"/>
          <w:cols w:equalWidth="0" w:num="2">
            <w:col w:w="3180" w:space="720"/>
            <w:col w:w="7340"/>
          </w:cols>
          <w:pgMar w:left="320" w:top="688" w:right="339" w:bottom="1440" w:gutter="0" w:footer="0" w:header="0"/>
          <w:type w:val="continuous"/>
        </w:sectPr>
      </w:pP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Clearway Renew LLC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5780 Fleet St., Suite 130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Carlsbad, CA 92008</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E-mail: legal@clearwayenergy.com</w:t>
      </w:r>
    </w:p>
    <w:p>
      <w:pPr>
        <w:spacing w:after="0" w:line="200" w:lineRule="exact"/>
        <w:rPr>
          <w:sz w:val="20"/>
          <w:szCs w:val="20"/>
          <w:color w:val="auto"/>
        </w:rPr>
      </w:pPr>
    </w:p>
    <w:p>
      <w:pPr>
        <w:sectPr>
          <w:pgSz w:w="11900" w:h="16838" w:orient="portrait"/>
          <w:cols w:equalWidth="0" w:num="2">
            <w:col w:w="3140" w:space="720"/>
            <w:col w:w="7380"/>
          </w:cols>
          <w:pgMar w:left="320" w:top="688" w:right="339" w:bottom="1440" w:gutter="0" w:footer="0" w:header="0"/>
          <w:type w:val="continuous"/>
        </w:sectPr>
      </w:pPr>
    </w:p>
    <w:p>
      <w:pPr>
        <w:spacing w:after="0" w:line="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Notices, requests and other communications will be deemed given upon the first to occur of such item having been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delivered personally (or refusal of delivery)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delivered by confirmed email transmission to the email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delivered (or refusal of such delivery) by registered or certified mail (postage prepaid) or by reputable national overnight courier service in the manner described above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Any Party from time to time may change its address, email address or other information for the purpose of notices to that Party by giving notice specifying such change to the other Party.</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8.02. </w:t>
      </w: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This Agreement and the documents referenced herein supersede all prior discussions and agreements, whether oral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between the Parties with respect to the subject matter hereof, and contains the entire agreement between the Parties with respect to the subject matter 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8.03. </w:t>
      </w:r>
      <w:r>
        <w:rPr>
          <w:rFonts w:ascii="Times New Roman" w:cs="Times New Roman" w:eastAsia="Times New Roman" w:hAnsi="Times New Roman"/>
          <w:sz w:val="18"/>
          <w:szCs w:val="18"/>
          <w:b w:val="1"/>
          <w:bCs w:val="1"/>
          <w:i w:val="1"/>
          <w:iCs w:val="1"/>
          <w:color w:val="auto"/>
        </w:rPr>
        <w:t>Specific Performance</w:t>
      </w:r>
      <w:r>
        <w:rPr>
          <w:rFonts w:ascii="Times New Roman" w:cs="Times New Roman" w:eastAsia="Times New Roman" w:hAnsi="Times New Roman"/>
          <w:sz w:val="18"/>
          <w:szCs w:val="18"/>
          <w:color w:val="auto"/>
        </w:rPr>
        <w:t>. The Parties to this Agreement agree that if any of the provisions of this Agreement were not performed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8.04.</w:t>
      </w:r>
      <w:r>
        <w:rPr>
          <w:sz w:val="20"/>
          <w:szCs w:val="20"/>
          <w:color w:val="auto"/>
        </w:rPr>
        <w:tab/>
      </w:r>
      <w:r>
        <w:rPr>
          <w:rFonts w:ascii="Times New Roman" w:cs="Times New Roman" w:eastAsia="Times New Roman" w:hAnsi="Times New Roman"/>
          <w:sz w:val="17"/>
          <w:szCs w:val="17"/>
          <w:b w:val="1"/>
          <w:bCs w:val="1"/>
          <w:i w:val="1"/>
          <w:iCs w:val="1"/>
          <w:color w:val="auto"/>
        </w:rPr>
        <w:t>Time of the Essence</w:t>
      </w:r>
      <w:r>
        <w:rPr>
          <w:rFonts w:ascii="Times New Roman" w:cs="Times New Roman" w:eastAsia="Times New Roman" w:hAnsi="Times New Roman"/>
          <w:sz w:val="17"/>
          <w:szCs w:val="17"/>
          <w:color w:val="auto"/>
        </w:rPr>
        <w:t>. Time is of the essence with regard to all duties and time periods set forth in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8.05.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Except as otherwise expressly provided in this Agreement, whether or not the transactions contemplated hereby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each Party will pay its own costs and expenses incurred in connection with the negotiation, execution and performance of this Agreement.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42" w:name="page143"/>
    <w:bookmarkEnd w:id="142"/>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8.06. </w:t>
      </w:r>
      <w:r>
        <w:rPr>
          <w:rFonts w:ascii="Times New Roman" w:cs="Times New Roman" w:eastAsia="Times New Roman" w:hAnsi="Times New Roman"/>
          <w:sz w:val="18"/>
          <w:szCs w:val="18"/>
          <w:b w:val="1"/>
          <w:bCs w:val="1"/>
          <w:i w:val="1"/>
          <w:iCs w:val="1"/>
          <w:color w:val="auto"/>
        </w:rPr>
        <w:t>Confidentiality; Disclosures</w:t>
      </w:r>
      <w:r>
        <w:rPr>
          <w:rFonts w:ascii="Times New Roman" w:cs="Times New Roman" w:eastAsia="Times New Roman" w:hAnsi="Times New Roman"/>
          <w:sz w:val="18"/>
          <w:szCs w:val="18"/>
          <w:color w:val="auto"/>
        </w:rPr>
        <w:t>. This Agreement is confidential, and neither Party shall disclose the terms and conditions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8.07.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Any term or condition of this Agreement may be waived at any time by the Party that is entitled to the benefit thereof, but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waiver shall be effective unless set forth in a written instrument duly executed by or on behalf of the Party waiving such term or condition and delivered pursuant to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8.08.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This Agreement may be amended, supplemented or modified only by a written instrument duly executed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8.09. </w:t>
      </w:r>
      <w:r>
        <w:rPr>
          <w:rFonts w:ascii="Times New Roman" w:cs="Times New Roman" w:eastAsia="Times New Roman" w:hAnsi="Times New Roman"/>
          <w:sz w:val="18"/>
          <w:szCs w:val="18"/>
          <w:b w:val="1"/>
          <w:bCs w:val="1"/>
          <w:i w:val="1"/>
          <w:iCs w:val="1"/>
          <w:color w:val="auto"/>
        </w:rPr>
        <w:t>No Third Party Beneficiary</w:t>
      </w:r>
      <w:r>
        <w:rPr>
          <w:rFonts w:ascii="Times New Roman" w:cs="Times New Roman" w:eastAsia="Times New Roman" w:hAnsi="Times New Roman"/>
          <w:sz w:val="18"/>
          <w:szCs w:val="18"/>
          <w:color w:val="auto"/>
        </w:rPr>
        <w:t>. The terms and provisions of this Agreement are intended solely for the benefit of each Party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8.10. </w:t>
      </w:r>
      <w:r>
        <w:rPr>
          <w:rFonts w:ascii="Times New Roman" w:cs="Times New Roman" w:eastAsia="Times New Roman" w:hAnsi="Times New Roman"/>
          <w:sz w:val="18"/>
          <w:szCs w:val="18"/>
          <w:b w:val="1"/>
          <w:bCs w:val="1"/>
          <w:i w:val="1"/>
          <w:iCs w:val="1"/>
          <w:color w:val="auto"/>
        </w:rPr>
        <w:t>Assignment</w:t>
      </w:r>
      <w:r>
        <w:rPr>
          <w:rFonts w:ascii="Times New Roman" w:cs="Times New Roman" w:eastAsia="Times New Roman" w:hAnsi="Times New Roman"/>
          <w:sz w:val="18"/>
          <w:szCs w:val="18"/>
          <w:color w:val="auto"/>
        </w:rPr>
        <w:t>. The obligations of the Parties under this Agreement are not assignable without the prior written consent of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such Party may withhold in its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 may assign this Agreement, including the right to acquire the Acquired Interests, without the prior written consent of Seller, to (a) any Affiliate of Purchaser, or (b) any financial institution providing purchase money or other financing to Purchaser from time to time as collateral security for such financing, in each case so long as Purchaser remains fully liable for its obligations under this Agreement.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any provision of this Agreement is held to be illegal, invalid or unenforceable under any present or future Law, and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or obligations of any Party under this Agreement shall not be materially and adversely affected thereby,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such provision shall be fully severable,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this Agreement shall be construed and enforced as if such illegal, invalid or unenforceable provision had never comprised a part hereof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remaining provisions of this Agreement shall remain in full force and effect and shall not be affected by the illegal, invalid or unenforceable provision or by its severance here from.</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8.12.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AGREEMENT AND ALL DISPUTES AND CONTROVERSIES ARISING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ALL RESPECTS IN ACCORDANCE WITH THE LAWS OF THE STATE OF NEW YORK WITHOUT GIVING EFFECT TO THE CONFLICTS OF LAWS PRINCIPLES THEREOF EXCEPT FOR SECTIONS 5-1401 AND 5-1402 OF THE NEW YORK GENERAL OBLIGATIONS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3" w:name="page144"/>
    <w:bookmarkEnd w:id="143"/>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8.13.</w:t>
      </w:r>
      <w:r>
        <w:rPr>
          <w:sz w:val="20"/>
          <w:szCs w:val="20"/>
          <w:color w:val="auto"/>
        </w:rPr>
        <w:tab/>
      </w:r>
      <w:r>
        <w:rPr>
          <w:rFonts w:ascii="Times New Roman" w:cs="Times New Roman" w:eastAsia="Times New Roman" w:hAnsi="Times New Roman"/>
          <w:sz w:val="17"/>
          <w:szCs w:val="17"/>
          <w:b w:val="1"/>
          <w:bCs w:val="1"/>
          <w:i w:val="1"/>
          <w:iCs w:val="1"/>
          <w:color w:val="auto"/>
        </w:rPr>
        <w:t>Consent to Jurisdiction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234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88"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irrevocably and unconditionally waives, to the fullest extent it may legally and effectively do so:</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8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61"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of an inconvenient forum to the maintenance of such Action or Proceeding in any such court.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9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irrevocably consents to service of process by registered mail, return receipt requested, as provided in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Nothing in this Agreement will affect the right of any Party hereto to serve process in any other manner permitted by Law.</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8.14.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TO THE FULLEST EXTENT PERMITTED BY LAW, EACH PARTY HEREBY WAIVES ALL RIGHTS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 BY JURY IN ANY LEGAL ACTION TO ENFORCE OR INTERPRET THE PROVISIONS OF THIS AGREEMENT OR THAT OTHERWISE RELATES TO THIS AGREEMENT.</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8.15. </w:t>
      </w:r>
      <w:r>
        <w:rPr>
          <w:rFonts w:ascii="Times New Roman" w:cs="Times New Roman" w:eastAsia="Times New Roman" w:hAnsi="Times New Roman"/>
          <w:sz w:val="18"/>
          <w:szCs w:val="18"/>
          <w:b w:val="1"/>
          <w:bCs w:val="1"/>
          <w:i w:val="1"/>
          <w:iCs w:val="1"/>
          <w:color w:val="auto"/>
        </w:rPr>
        <w:t>Limitation on Certain Damages</w:t>
      </w:r>
      <w:r>
        <w:rPr>
          <w:rFonts w:ascii="Times New Roman" w:cs="Times New Roman" w:eastAsia="Times New Roman" w:hAnsi="Times New Roman"/>
          <w:sz w:val="18"/>
          <w:szCs w:val="18"/>
          <w:color w:val="auto"/>
        </w:rPr>
        <w:t>. NOTWITHSTANDING ANYTHING IN THIS AGREEMENT TO THE CONTRARY, NO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LIABLE TO ANY OTHER PARTY FOR ANY CONSEQUENTIAL, SPECIAL, INDIRECT, SPECULATIVE, EXEMPLARY, OR PUNITIVE DAMAGES (COLLECTIVELY, “</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LOSSES ARISING OUT OF THIRD PARTY CLAIMS FOR WHICH A PARTY IS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UNDER THIS AGREEMENT SHALL NOT CONSTITUTE CONSEQUENTIAL DAMAGES. FOR THE AVOIDANCE OF DOUBT, AN ACTION FOR THE PAYMENT OF THE PURCHASE PRICE SHALL NOT BE CONSIDERED CONSEQUENTIAL DAMAGES.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8.16. </w:t>
      </w:r>
      <w:r>
        <w:rPr>
          <w:rFonts w:ascii="Times New Roman" w:cs="Times New Roman" w:eastAsia="Times New Roman" w:hAnsi="Times New Roman"/>
          <w:sz w:val="18"/>
          <w:szCs w:val="18"/>
          <w:b w:val="1"/>
          <w:bCs w:val="1"/>
          <w:i w:val="1"/>
          <w:iCs w:val="1"/>
          <w:color w:val="auto"/>
        </w:rPr>
        <w:t>Disclosures</w:t>
      </w:r>
      <w:r>
        <w:rPr>
          <w:rFonts w:ascii="Times New Roman" w:cs="Times New Roman" w:eastAsia="Times New Roman" w:hAnsi="Times New Roman"/>
          <w:sz w:val="18"/>
          <w:szCs w:val="18"/>
          <w:color w:val="auto"/>
        </w:rPr>
        <w:t>. Seller or Purchaser may, at its option, include in the Disclosure Schedules items that are not material in order to avoid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Company, the Mesquite Sky Entities or Purchaser.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4" w:name="page145"/>
    <w:bookmarkEnd w:id="14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8.17. </w:t>
      </w:r>
      <w:r>
        <w:rPr>
          <w:rFonts w:ascii="Times New Roman" w:cs="Times New Roman" w:eastAsia="Times New Roman" w:hAnsi="Times New Roman"/>
          <w:sz w:val="18"/>
          <w:szCs w:val="18"/>
          <w:b w:val="1"/>
          <w:bCs w:val="1"/>
          <w:i w:val="1"/>
          <w:iCs w:val="1"/>
          <w:color w:val="auto"/>
        </w:rPr>
        <w:t>PDF Signature; Counterparts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by PDF signature in any number of counterparts, each of which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an original, but all of which together will constitute one and the same instrument.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5" w:name="page146"/>
    <w:bookmarkEnd w:id="14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Membership Interest Purchase Agreement to be executed and delivered by their duly authorized officers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RENEW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 Mesquite Sky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6" w:name="page147"/>
    <w:bookmarkEnd w:id="146"/>
    <w:p>
      <w:pPr>
        <w:ind w:left="45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Lighthouse Renewable Class A LLC, a</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Christopher S. Sotos</w:t>
      </w:r>
    </w:p>
    <w:p>
      <w:pPr>
        <w:spacing w:after="0" w:line="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Mesquite Sky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7" w:name="page148"/>
    <w:bookmarkEnd w:id="147"/>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19685</wp:posOffset>
            </wp:positionV>
            <wp:extent cx="4826000" cy="4368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260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Clearway Enterprise Announces Agreements for 1.6 GW Portfolio of Renewable Energy Assets</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PRINCETON, NJ and SAN FRANCISCO, CA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22, 2020</w:t>
      </w:r>
      <w:r>
        <w:rPr>
          <w:rFonts w:ascii="Times New Roman" w:cs="Times New Roman" w:eastAsia="Times New Roman" w:hAnsi="Times New Roman"/>
          <w:sz w:val="18"/>
          <w:szCs w:val="18"/>
          <w:color w:val="auto"/>
        </w:rPr>
        <w:t>— Clearway Energy, Inc. (NYSE: CWEN, CWEN.A) (“CWEN”,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renewable development partner and parent company, Clearway Energy Group LLC (“CEG”), today announced agreements providing for CWEN’s co-investment in a 1,204 MW portfolio of renewable energy projects developed by CEG consisting of i) 1,012 MW from five geographically diversified wind, solar, and solar plus storage assets under development and ii) the 192 MW Rosamond Central solar project which is expected to commence operations by the end of the year. Additionally, the parties amended the existing partnership agreement for the 419 MW Mesquite Star wind project providing CWEN an additional 27.51% of the project’s cash flows after the first half of 2031.</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90% of the generation from the projects are contracted with a diverse group of primarily investment grade counterparties, including utilities and load serving entities, Fortune 500 corporations, commercial &amp; industrial customers, and financial institutions, and the portfolio has a greater than 14-year blended average contract length. Subject to closing adjustments and the projects achieving certain milestones, CWEN expects to invest approximately $214 million in corporate capital by the end of 2022. Based on the current expected timing of the projects achieving COD, CWEN expects, before corporate financing costs, the asset CAFD contribution from the investments to be immaterial in 2021, approximately $9 million in 2022, and $20 million on a 5-year average basis beginning on January 1, 2023.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commitment to invest in this portfolio of renewable energy and battery storage projects will add geographic and technological diversification at CWEN," said Christopher Sotos, Clearway Energy, Inc.’s President and Chief Executive Officer. “We are pleased to achieve this important milestone in collaboration with our development partner and look forward to working together on future accretive portfolio investments.”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thrilled to successfully complete our largest portfolio transaction to date with Clearway Energy, Inc.,” said Craig Cornelius, Chief Executive Officer at Clearway Energy Group LLC. “This geographically diverse 1.6 GW portfolio of wind, solar, and energy storage projects represents the economic opportunity of renewable energy in every corner of this country. Taken together, more than 2,500 American jobs will be created to build and operate these clean energy assets, which will go on to supply clean and low-cost power to hundreds of thousands of households and businesses across the United States. Today’s agreement with our investment partners will be pivotal in our continued ability to provide clean energy at the scale of our country’s demand while helping to deliver on investors’ growing interest in climate change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4"/>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assets included in the portfolio are:</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CWEN Cash</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29"/>
                <w:szCs w:val="29"/>
                <w:b w:val="1"/>
                <w:bCs w:val="1"/>
                <w:color w:val="auto"/>
                <w:vertAlign w:val="superscript"/>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Financial</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324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180" w:type="dxa"/>
            <w:vAlign w:val="bottom"/>
            <w:gridSpan w:val="2"/>
            <w:vMerge w:val="continue"/>
          </w:tcPr>
          <w:p>
            <w:pPr>
              <w:spacing w:after="0"/>
              <w:rPr>
                <w:sz w:val="23"/>
                <w:szCs w:val="23"/>
                <w:color w:val="auto"/>
              </w:rPr>
            </w:pPr>
          </w:p>
        </w:tc>
        <w:tc>
          <w:tcPr>
            <w:tcW w:w="1080" w:type="dxa"/>
            <w:vAlign w:val="bottom"/>
          </w:tcPr>
          <w:p>
            <w:pPr>
              <w:ind w:left="40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2</w:t>
            </w:r>
          </w:p>
        </w:tc>
        <w:tc>
          <w:tcPr>
            <w:tcW w:w="80" w:type="dxa"/>
            <w:vAlign w:val="bottom"/>
          </w:tcPr>
          <w:p>
            <w:pPr>
              <w:spacing w:after="0"/>
              <w:rPr>
                <w:sz w:val="23"/>
                <w:szCs w:val="2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Closing</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Interest in Mesquite Star</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Wind</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419</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TX</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Closed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Rosamond Central</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Solar</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192</w:t>
            </w:r>
          </w:p>
        </w:tc>
        <w:tc>
          <w:tcPr>
            <w:tcW w:w="100" w:type="dxa"/>
            <w:vAlign w:val="bottom"/>
          </w:tcPr>
          <w:p>
            <w:pPr>
              <w:spacing w:after="0"/>
              <w:rPr>
                <w:sz w:val="18"/>
                <w:szCs w:val="18"/>
                <w:color w:val="auto"/>
              </w:rPr>
            </w:pPr>
          </w:p>
        </w:tc>
        <w:tc>
          <w:tcPr>
            <w:tcW w:w="1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CA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Closed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Mesquite Sky</w:t>
            </w:r>
          </w:p>
        </w:tc>
        <w:tc>
          <w:tcPr>
            <w:tcW w:w="1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Wind</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TX</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2H21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 Rock</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Wind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100" w:type="dxa"/>
            <w:vAlign w:val="bottom"/>
          </w:tcPr>
          <w:p>
            <w:pPr>
              <w:spacing w:after="0"/>
              <w:rPr>
                <w:sz w:val="18"/>
                <w:szCs w:val="18"/>
                <w:color w:val="auto"/>
              </w:rPr>
            </w:pPr>
          </w:p>
        </w:tc>
        <w:tc>
          <w:tcPr>
            <w:tcW w:w="1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WV</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2H21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Waiawa</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Solar/Storage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HI</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1H22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Mililani</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Solar/Storage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18"/>
                <w:szCs w:val="18"/>
                <w:color w:val="auto"/>
              </w:rPr>
            </w:pPr>
          </w:p>
        </w:tc>
        <w:tc>
          <w:tcPr>
            <w:tcW w:w="1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HI</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1H22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Daggett Solar</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Solar/Storage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482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5"/>
              </w:rPr>
              <w:t>CA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2H22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portfolio partnership agreements, CWEN will act as managing member. The remaining interest in the cash equity partnerships will be owned by Hannon Armstrong Sustainable Infrastructure Capital, Inc. (“Hannon Armstrong”) (NYSE: HASI), a leading investor in climate solutions.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21, 2020, CWEN acquired its 50% cash equity interest in Rosamond Central for $23 million and completed the amendment for the additional interest in Mesquite Star. The Mesquite Sky wind farm in Texas and the Black Rock wind farm in West Virginia will commence construction in the coming weeks. Definitive agreements relating to the Daggett, Waiawa, and Mililani projects remain subject to certain conditions and the review and approval by CWEN’s Independent Directors.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CEG will serve as the long-term site operator and asset manager, ensuring continuity of performance and community engagement over the life of each project.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Group</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Clearway Energy Group is leading the transition to a world powered by clean energy. Along with our public affiliate, Clearway Energy, Inc., we own and operate more than 5 gigawatts of wind, solar, and energy storage assets in 26 states, offsetting the equivalent of nearly 8.8 million metric tons of carbon emissions for our customers, and we are developing a pipeline of new renewable energy projects nationwide. With another 2.5 gigawatts of thermal energy systems and conventional power owned by our public affiliate, we’re also helping provide reliable and sustainable energy to thousands more customers across the country. Clearway Energy Group is headquartered in San Francisco, CA with offices in Carlsbad, CA; Scottsdale, AZ; Houston, TX; and Princeton, NJ. For more information, visit clearwayenergygroup.com.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24" w:lineRule="exact"/>
        <w:rPr>
          <w:sz w:val="20"/>
          <w:szCs w:val="20"/>
          <w:color w:val="auto"/>
        </w:rPr>
      </w:pPr>
    </w:p>
    <w:p>
      <w:pPr>
        <w:ind w:left="120" w:hanging="112"/>
        <w:spacing w:after="0"/>
        <w:tabs>
          <w:tab w:leader="none" w:pos="120" w:val="left"/>
        </w:tabs>
        <w:numPr>
          <w:ilvl w:val="0"/>
          <w:numId w:val="1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MW capacity is subject to change prior to COD; excludes 395 MW/1,580 MWh of co-located storage assets at Daggett, Waiawa, and Mililani</w:t>
      </w:r>
    </w:p>
    <w:p>
      <w:pPr>
        <w:spacing w:after="0" w:line="22" w:lineRule="exact"/>
        <w:rPr>
          <w:sz w:val="20"/>
          <w:szCs w:val="20"/>
          <w:color w:val="auto"/>
        </w:rPr>
      </w:pPr>
    </w:p>
    <w:p>
      <w:pPr>
        <w:ind w:right="340" w:firstLine="8"/>
        <w:spacing w:after="0" w:line="195" w:lineRule="auto"/>
        <w:tabs>
          <w:tab w:leader="none" w:pos="120" w:val="left"/>
        </w:tabs>
        <w:numPr>
          <w:ilvl w:val="0"/>
          <w:numId w:val="1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50% cash allocation percentage for Mesquite Star represents CWEN’s total cash allocation percentage in the project inclusive of its September 1, 2020 acquisition of its initial interest in the project.</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impacts related to COVID-19 or any other pandemic, the benefits of the relationship with Global Infrastructure Partners III (GIP) and GIP’s expertise, the Company’s future relationship and arrangements with GIP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Clearway Energy, Inc. undertakes no obligation to update or revise any forward-looking statements, whether as a result of new information, future events or otherwise. The Adjusted EBITDA and Cash Available for Distribution are estimates as of today’s date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t>
      </w:r>
      <w:r>
        <w:rPr>
          <w:rFonts w:ascii="Times New Roman" w:cs="Times New Roman" w:eastAsia="Times New Roman" w:hAnsi="Times New Roman"/>
          <w:sz w:val="18"/>
          <w:szCs w:val="18"/>
          <w:u w:val="single" w:color="auto"/>
          <w:color w:val="auto"/>
        </w:rPr>
        <w:t>www.clearwayenergy.com</w:t>
      </w:r>
      <w:r>
        <w:rPr>
          <w:rFonts w:ascii="Times New Roman" w:cs="Times New Roman" w:eastAsia="Times New Roman" w:hAnsi="Times New Roman"/>
          <w:sz w:val="18"/>
          <w:szCs w:val="18"/>
          <w:color w:val="auto"/>
        </w:rPr>
        <w:t xml:space="preserve"> copies of materials it files with, or furnishes to, the Securities Exchange Commission.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240"/>
          </w:cols>
          <w:pgMar w:left="320" w:top="684" w:right="33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Akil Marsh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investor.relations@clearwayenergy.com</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609-608-1500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media@clearwayenergy.com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202-836-5754</w:t>
      </w:r>
    </w:p>
    <w:p>
      <w:pPr>
        <w:spacing w:after="0" w:line="200" w:lineRule="exact"/>
        <w:rPr>
          <w:sz w:val="20"/>
          <w:szCs w:val="20"/>
          <w:color w:val="auto"/>
        </w:rPr>
      </w:pPr>
    </w:p>
    <w:p>
      <w:pPr>
        <w:sectPr>
          <w:pgSz w:w="11900" w:h="16838" w:orient="portrait"/>
          <w:cols w:equalWidth="0" w:num="2">
            <w:col w:w="5020" w:space="720"/>
            <w:col w:w="5500"/>
          </w:cols>
          <w:pgMar w:left="320" w:top="684" w:right="339" w:bottom="1440" w:gutter="0" w:footer="0" w:header="0"/>
          <w:type w:val="continuous"/>
        </w:sect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Appendix Table A-1: Adjusted EBITDA and Cash Available for Distribution Reconciliation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Estimated Cash Available for Distribution and provides a reconciliation to Net Income/(Loss):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5-Year</w:t>
            </w:r>
          </w:p>
        </w:tc>
      </w:tr>
      <w:tr>
        <w:trPr>
          <w:trHeight w:val="216"/>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6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2023-2027</w:t>
            </w:r>
          </w:p>
        </w:tc>
        <w:tc>
          <w:tcPr>
            <w:tcW w:w="80" w:type="dxa"/>
            <w:vAlign w:val="bottom"/>
            <w:tcBorders>
              <w:bottom w:val="single" w:sz="8" w:color="CCEEFF"/>
            </w:tcBorders>
          </w:tcPr>
          <w:p>
            <w:pPr>
              <w:spacing w:after="0"/>
              <w:rPr>
                <w:sz w:val="20"/>
                <w:szCs w:val="20"/>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r>
      <w:tr>
        <w:trPr>
          <w:trHeight w:val="209"/>
        </w:trPr>
        <w:tc>
          <w:tcPr>
            <w:tcW w:w="6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r>
      <w:tr>
        <w:trPr>
          <w:trHeight w:val="230"/>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Amortization, and ARO Expense</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r>
      <w:tr>
        <w:trPr>
          <w:trHeight w:val="22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interest paid</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r>
      <w:tr>
        <w:trPr>
          <w:trHeight w:val="216"/>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distributions to non-controlling interest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amortization of indebtedness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Cash Available for Distribution</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180" w:lineRule="exact"/>
        <w:rPr>
          <w:sz w:val="20"/>
          <w:szCs w:val="20"/>
          <w:color w:val="auto"/>
        </w:rPr>
      </w:pPr>
    </w:p>
    <w:p>
      <w:pPr>
        <w:ind w:left="340" w:hanging="332"/>
        <w:spacing w:after="0"/>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cash expenditures, or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working capital needs;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significant interest expense, or the cash requirements necessary to service interest or principal payments, on debt or cash income tax payments;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this industry may calculate EBITDA differently than Clearway Energy does, limiting its usefulness as a comparative measure.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3" w:name="page154"/>
    <w:bookmarkEnd w:id="153"/>
    <w:p>
      <w:pPr>
        <w:jc w:val="both"/>
        <w:spacing w:after="0" w:line="261" w:lineRule="auto"/>
        <w:rPr>
          <w:sz w:val="20"/>
          <w:szCs w:val="20"/>
          <w:color w:val="auto"/>
        </w:rPr>
      </w:pPr>
      <w:r>
        <w:rPr>
          <w:rFonts w:ascii="Times New Roman" w:cs="Times New Roman" w:eastAsia="Times New Roman" w:hAnsi="Times New Roman"/>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Available for Distribution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non-GAAP measure, Cash Available for Distribution is defined as of September 30, 2020 as Adjusted EBITDA plus cash distributions/return of investment from unconsolidated affiliates, adjustments to reflect CAFD generated by unconsolidated investments that were not able to distribute project dividends prior to PG&amp;E's emergence from bankruptcy on July 1, 2020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lvl w:ilvl="1">
      <w:lvlJc w:val="left"/>
      <w:lvlText w:val="%2"/>
      <w:numFmt w:val="decimal"/>
      <w:start w:val="104"/>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1."/>
      <w:numFmt w:val="decimal"/>
      <w:start w:val="1"/>
    </w:lvl>
  </w:abstractNum>
  <w:abstractNum w:abstractNumId="4">
    <w:nsid w:val="7FFFCA11"/>
    <w:multiLevelType w:val="hybridMultilevel"/>
    <w:lvl w:ilvl="0">
      <w:lvlJc w:val="left"/>
      <w:lvlText w:val="(%1)"/>
      <w:numFmt w:val="lowerLetter"/>
      <w:start w:val="1"/>
    </w:lvl>
  </w:abstractNum>
  <w:abstractNum w:abstractNumId="5">
    <w:nsid w:val="1A27709E"/>
    <w:multiLevelType w:val="hybridMultilevel"/>
    <w:lvl w:ilvl="0">
      <w:lvlJc w:val="left"/>
      <w:lvlText w:val="(%1)"/>
      <w:numFmt w:val="lowerLetter"/>
      <w:start w:val="17"/>
    </w:lvl>
  </w:abstractNum>
  <w:abstractNum w:abstractNumId="6">
    <w:nsid w:val="71EA1109"/>
    <w:multiLevelType w:val="hybridMultilevel"/>
    <w:lvl w:ilvl="0">
      <w:lvlJc w:val="left"/>
      <w:lvlText w:val="(%1)"/>
      <w:numFmt w:val="lowerLetter"/>
      <w:start w:val="1"/>
    </w:lvl>
  </w:abstractNum>
  <w:abstractNum w:abstractNumId="7">
    <w:nsid w:val="100F59DC"/>
    <w:multiLevelType w:val="hybridMultilevel"/>
    <w:lvl w:ilvl="0">
      <w:lvlJc w:val="left"/>
      <w:lvlText w:val="(%1)"/>
      <w:numFmt w:val="lowerLetter"/>
      <w:start w:val="5"/>
    </w:lvl>
  </w:abstractNum>
  <w:abstractNum w:abstractNumId="8">
    <w:nsid w:val="7FB7E0AA"/>
    <w:multiLevelType w:val="hybridMultilevel"/>
    <w:lvl w:ilvl="0">
      <w:lvlJc w:val="left"/>
      <w:lvlText w:val="(%1)"/>
      <w:numFmt w:val="lowerLetter"/>
      <w:start w:val="1"/>
    </w:lvl>
  </w:abstractNum>
  <w:abstractNum w:abstractNumId="9">
    <w:nsid w:val="6EB5BD4"/>
    <w:multiLevelType w:val="hybridMultilevel"/>
    <w:lvl w:ilvl="0">
      <w:lvlJc w:val="left"/>
      <w:lvlText w:val="(%1)"/>
      <w:numFmt w:val="lowerLetter"/>
      <w:start w:val="3"/>
    </w:lvl>
  </w:abstractNum>
  <w:abstractNum w:abstractNumId="10">
    <w:nsid w:val="6F6DD9AC"/>
    <w:multiLevelType w:val="hybridMultilevel"/>
    <w:lvl w:ilvl="0">
      <w:lvlJc w:val="left"/>
      <w:lvlText w:val="(%1)"/>
      <w:numFmt w:val="lowerLetter"/>
      <w:start w:val="1"/>
    </w:lvl>
    <w:lvl w:ilvl="1">
      <w:lvlJc w:val="left"/>
      <w:lvlText w:val="(%2)"/>
      <w:numFmt w:val="lowerRoman"/>
      <w:start w:val="1"/>
    </w:lvl>
  </w:abstractNum>
  <w:abstractNum w:abstractNumId="11">
    <w:nsid w:val="94211F2"/>
    <w:multiLevelType w:val="hybridMultilevel"/>
    <w:lvl w:ilvl="0">
      <w:lvlJc w:val="left"/>
      <w:lvlText w:val="(%1)"/>
      <w:numFmt w:val="lowerRoman"/>
      <w:start w:val="3"/>
    </w:lvl>
  </w:abstractNum>
  <w:abstractNum w:abstractNumId="12">
    <w:nsid w:val="885E1B"/>
    <w:multiLevelType w:val="hybridMultilevel"/>
    <w:lvl w:ilvl="0">
      <w:lvlJc w:val="left"/>
      <w:lvlText w:val="(%1)"/>
      <w:numFmt w:val="lowerLetter"/>
      <w:start w:val="1"/>
    </w:lvl>
  </w:abstractNum>
  <w:abstractNum w:abstractNumId="13">
    <w:nsid w:val="76272110"/>
    <w:multiLevelType w:val="hybridMultilevel"/>
    <w:lvl w:ilvl="0">
      <w:lvlJc w:val="left"/>
      <w:lvlText w:val="(%1)"/>
      <w:numFmt w:val="lowerLetter"/>
      <w:start w:val="1"/>
    </w:lvl>
  </w:abstractNum>
  <w:abstractNum w:abstractNumId="14">
    <w:nsid w:val="4C04A8A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
    <w:nsid w:val="1716703B"/>
    <w:multiLevelType w:val="hybridMultilevel"/>
    <w:lvl w:ilvl="0">
      <w:lvlJc w:val="left"/>
      <w:lvlText w:val="%1"/>
      <w:numFmt w:val="lowerLetter"/>
      <w:start w:val="1"/>
    </w:lvl>
    <w:lvl w:ilvl="1">
      <w:lvlJc w:val="left"/>
      <w:lvlText w:val="(%2)"/>
      <w:numFmt w:val="lowerRoman"/>
      <w:start w:val="5"/>
    </w:lvl>
  </w:abstractNum>
  <w:abstractNum w:abstractNumId="16">
    <w:nsid w:val="14E17E33"/>
    <w:multiLevelType w:val="hybridMultilevel"/>
    <w:lvl w:ilvl="0">
      <w:lvlJc w:val="left"/>
      <w:lvlText w:val="(%1)"/>
      <w:numFmt w:val="lowerLetter"/>
      <w:start w:val="10"/>
    </w:lvl>
    <w:lvl w:ilvl="1">
      <w:lvlJc w:val="left"/>
      <w:lvlText w:val="%2"/>
      <w:numFmt w:val="lowerRoman"/>
      <w:start w:val="1"/>
    </w:lvl>
  </w:abstractNum>
  <w:abstractNum w:abstractNumId="17">
    <w:nsid w:val="3222E7CD"/>
    <w:multiLevelType w:val="hybridMultilevel"/>
    <w:lvl w:ilvl="0">
      <w:lvlJc w:val="left"/>
      <w:lvlText w:val="(%1)"/>
      <w:numFmt w:val="lowerLetter"/>
      <w:start w:val="11"/>
    </w:lvl>
    <w:lvl w:ilvl="1">
      <w:lvlJc w:val="left"/>
      <w:lvlText w:val="(%2)"/>
      <w:numFmt w:val="lowerRoman"/>
      <w:start w:val="1"/>
    </w:lvl>
  </w:abstractNum>
  <w:abstractNum w:abstractNumId="18">
    <w:nsid w:val="74DE0EE3"/>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9">
    <w:nsid w:val="68EBC550"/>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20">
    <w:nsid w:val="2DF6D648"/>
    <w:multiLevelType w:val="hybridMultilevel"/>
    <w:lvl w:ilvl="0">
      <w:lvlJc w:val="left"/>
      <w:lvlText w:val="%1"/>
      <w:numFmt w:val="lowerLetter"/>
      <w:start w:val="1"/>
    </w:lvl>
    <w:lvl w:ilvl="1">
      <w:lvlJc w:val="left"/>
      <w:lvlText w:val="(%2)"/>
      <w:numFmt w:val="lowerRoman"/>
      <w:start w:val="3"/>
    </w:lvl>
  </w:abstractNum>
  <w:abstractNum w:abstractNumId="21">
    <w:nsid w:val="46B7D447"/>
    <w:multiLevelType w:val="hybridMultilevel"/>
    <w:lvl w:ilvl="0">
      <w:lvlJc w:val="left"/>
      <w:lvlText w:val="(%1)"/>
      <w:numFmt w:val="lowerLetter"/>
      <w:start w:val="14"/>
    </w:lvl>
    <w:lvl w:ilvl="1">
      <w:lvlJc w:val="left"/>
      <w:lvlText w:val="(%2)"/>
      <w:numFmt w:val="lowerRoman"/>
      <w:start w:val="1"/>
    </w:lvl>
  </w:abstractNum>
  <w:abstractNum w:abstractNumId="22">
    <w:nsid w:val="4A2AC315"/>
    <w:multiLevelType w:val="hybridMultilevel"/>
    <w:lvl w:ilvl="0">
      <w:lvlJc w:val="left"/>
      <w:lvlText w:val="(%1)"/>
      <w:numFmt w:val="lowerLetter"/>
      <w:start w:val="16"/>
    </w:lvl>
    <w:lvl w:ilvl="1">
      <w:lvlJc w:val="left"/>
      <w:lvlText w:val="(%2)"/>
      <w:numFmt w:val="lowerRoman"/>
      <w:start w:val="1"/>
    </w:lvl>
  </w:abstractNum>
  <w:abstractNum w:abstractNumId="23">
    <w:nsid w:val="39EE015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24">
    <w:nsid w:val="57FC4FBB"/>
    <w:multiLevelType w:val="hybridMultilevel"/>
    <w:lvl w:ilvl="0">
      <w:lvlJc w:val="left"/>
      <w:lvlText w:val="(%1)"/>
      <w:numFmt w:val="lowerRoman"/>
      <w:start w:val="2"/>
    </w:lvl>
    <w:lvl w:ilvl="1">
      <w:lvlJc w:val="left"/>
      <w:lvlText w:val="(%2)"/>
      <w:numFmt w:val="lowerLetter"/>
      <w:start w:val="17"/>
    </w:lvl>
    <w:lvl w:ilvl="2">
      <w:lvlJc w:val="left"/>
      <w:lvlText w:val="(%3)"/>
      <w:numFmt w:val="lowerLetter"/>
      <w:start w:val="61"/>
    </w:lvl>
  </w:abstractNum>
  <w:abstractNum w:abstractNumId="25">
    <w:nsid w:val="CC1016F"/>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9"/>
    </w:lvl>
  </w:abstractNum>
  <w:abstractNum w:abstractNumId="26">
    <w:nsid w:val="43F18422"/>
    <w:multiLevelType w:val="hybridMultilevel"/>
    <w:lvl w:ilvl="0">
      <w:lvlJc w:val="left"/>
      <w:lvlText w:val="(%1)"/>
      <w:numFmt w:val="lowerRoman"/>
      <w:start w:val="2"/>
    </w:lvl>
  </w:abstractNum>
  <w:abstractNum w:abstractNumId="27">
    <w:nsid w:val="60EF0119"/>
    <w:multiLevelType w:val="hybridMultilevel"/>
    <w:lvl w:ilvl="0">
      <w:lvlJc w:val="left"/>
      <w:lvlText w:val="(%1)"/>
      <w:numFmt w:val="lowerLetter"/>
      <w:start w:val="20"/>
    </w:lvl>
    <w:lvl w:ilvl="1">
      <w:lvlJc w:val="left"/>
      <w:lvlText w:val="(%2)"/>
      <w:numFmt w:val="lowerRoman"/>
      <w:start w:val="1"/>
    </w:lvl>
  </w:abstractNum>
  <w:abstractNum w:abstractNumId="28">
    <w:nsid w:val="26F324BA"/>
    <w:multiLevelType w:val="hybridMultilevel"/>
    <w:lvl w:ilvl="0">
      <w:lvlJc w:val="left"/>
      <w:lvlText w:val="%1"/>
      <w:numFmt w:val="lowerLetter"/>
      <w:start w:val="1"/>
    </w:lvl>
    <w:lvl w:ilvl="1">
      <w:lvlJc w:val="left"/>
      <w:lvlText w:val="(%2)"/>
      <w:numFmt w:val="lowerRoman"/>
      <w:start w:val="3"/>
    </w:lvl>
  </w:abstractNum>
  <w:abstractNum w:abstractNumId="29">
    <w:nsid w:val="7F01579B"/>
    <w:multiLevelType w:val="hybridMultilevel"/>
    <w:lvl w:ilvl="0">
      <w:lvlJc w:val="left"/>
      <w:lvlText w:val="(%1)"/>
      <w:numFmt w:val="lowerLetter"/>
      <w:start w:val="23"/>
    </w:lvl>
    <w:lvl w:ilvl="1">
      <w:lvlJc w:val="left"/>
      <w:lvlText w:val="(%2)"/>
      <w:numFmt w:val="lowerRoman"/>
      <w:start w:val="1"/>
    </w:lvl>
  </w:abstractNum>
  <w:abstractNum w:abstractNumId="30">
    <w:nsid w:val="49DA307D"/>
    <w:multiLevelType w:val="hybridMultilevel"/>
    <w:lvl w:ilvl="0">
      <w:lvlJc w:val="left"/>
      <w:lvlText w:val="%1"/>
      <w:numFmt w:val="lowerLetter"/>
      <w:start w:val="1"/>
    </w:lvl>
    <w:lvl w:ilvl="1">
      <w:lvlJc w:val="left"/>
      <w:lvlText w:val="(%2)"/>
      <w:numFmt w:val="lowerRoman"/>
      <w:start w:val="3"/>
    </w:lvl>
  </w:abstractNum>
  <w:abstractNum w:abstractNumId="31">
    <w:nsid w:val="7055A5F5"/>
    <w:multiLevelType w:val="hybridMultilevel"/>
    <w:lvl w:ilvl="0">
      <w:lvlJc w:val="left"/>
      <w:lvlText w:val="(%1)"/>
      <w:numFmt w:val="lowerLetter"/>
      <w:start w:val="25"/>
    </w:lvl>
    <w:lvl w:ilvl="1">
      <w:lvlJc w:val="left"/>
      <w:lvlText w:val="%2"/>
      <w:numFmt w:val="lowerRoman"/>
      <w:start w:val="1"/>
    </w:lvl>
  </w:abstractNum>
  <w:abstractNum w:abstractNumId="32">
    <w:nsid w:val="5FB8370B"/>
    <w:multiLevelType w:val="hybridMultilevel"/>
    <w:lvl w:ilvl="0">
      <w:lvlJc w:val="left"/>
      <w:lvlText w:val="(%1)"/>
      <w:numFmt w:val="lowerLetter"/>
      <w:start w:val="27"/>
    </w:lvl>
  </w:abstractNum>
  <w:abstractNum w:abstractNumId="33">
    <w:nsid w:val="50801EE1"/>
    <w:multiLevelType w:val="hybridMultilevel"/>
    <w:lvl w:ilvl="0">
      <w:lvlJc w:val="left"/>
      <w:lvlText w:val="(%1)"/>
      <w:numFmt w:val="lowerLetter"/>
      <w:start w:val="1"/>
    </w:lvl>
  </w:abstractNum>
  <w:abstractNum w:abstractNumId="34">
    <w:nsid w:val="488AC1A"/>
    <w:multiLevelType w:val="hybridMultilevel"/>
    <w:lvl w:ilvl="0">
      <w:lvlJc w:val="left"/>
      <w:lvlText w:val="(%1)"/>
      <w:numFmt w:val="lowerLetter"/>
      <w:start w:val="6"/>
    </w:lvl>
  </w:abstractNum>
  <w:abstractNum w:abstractNumId="35">
    <w:nsid w:val="5FB8011C"/>
    <w:multiLevelType w:val="hybridMultilevel"/>
    <w:lvl w:ilvl="0">
      <w:lvlJc w:val="left"/>
      <w:lvlText w:val="(%1)"/>
      <w:numFmt w:val="lowerLetter"/>
      <w:start w:val="1"/>
    </w:lvl>
  </w:abstractNum>
  <w:abstractNum w:abstractNumId="36">
    <w:nsid w:val="6AA78F7F"/>
    <w:multiLevelType w:val="hybridMultilevel"/>
    <w:lvl w:ilvl="0">
      <w:lvlJc w:val="left"/>
      <w:lvlText w:val="(%1)"/>
      <w:numFmt w:val="lowerLetter"/>
      <w:start w:val="8"/>
    </w:lvl>
    <w:lvl w:ilvl="1">
      <w:lvlJc w:val="left"/>
      <w:lvlText w:val="(%2)"/>
      <w:numFmt w:val="lowerRoman"/>
      <w:start w:val="1"/>
    </w:lvl>
  </w:abstractNum>
  <w:abstractNum w:abstractNumId="37">
    <w:nsid w:val="7672BD23"/>
    <w:multiLevelType w:val="hybridMultilevel"/>
    <w:lvl w:ilvl="0">
      <w:lvlJc w:val="left"/>
      <w:lvlText w:val="(%1)"/>
      <w:numFmt w:val="lowerLetter"/>
      <w:start w:val="2"/>
    </w:lvl>
  </w:abstractNum>
  <w:abstractNum w:abstractNumId="38">
    <w:nsid w:val="6FC75AF8"/>
    <w:multiLevelType w:val="hybridMultilevel"/>
    <w:lvl w:ilvl="0">
      <w:lvlJc w:val="left"/>
      <w:lvlText w:val="(%1)"/>
      <w:numFmt w:val="lowerLetter"/>
      <w:start w:val="1"/>
    </w:lvl>
  </w:abstractNum>
  <w:abstractNum w:abstractNumId="39">
    <w:nsid w:val="6A5F7029"/>
    <w:multiLevelType w:val="hybridMultilevel"/>
    <w:lvl w:ilvl="0">
      <w:lvlJc w:val="left"/>
      <w:lvlText w:val="(%1)"/>
      <w:numFmt w:val="lowerLetter"/>
      <w:start w:val="1"/>
    </w:lvl>
  </w:abstractNum>
  <w:abstractNum w:abstractNumId="40">
    <w:nsid w:val="7D5E18F8"/>
    <w:multiLevelType w:val="hybridMultilevel"/>
    <w:lvl w:ilvl="0">
      <w:lvlJc w:val="left"/>
      <w:lvlText w:val="(%1)"/>
      <w:numFmt w:val="lowerLetter"/>
      <w:start w:val="2"/>
    </w:lvl>
  </w:abstractNum>
  <w:abstractNum w:abstractNumId="41">
    <w:nsid w:val="5F3534A4"/>
    <w:multiLevelType w:val="hybridMultilevel"/>
    <w:lvl w:ilvl="0">
      <w:lvlJc w:val="left"/>
      <w:lvlText w:val="(%1)"/>
      <w:numFmt w:val="lowerLetter"/>
      <w:start w:val="1"/>
    </w:lvl>
  </w:abstractNum>
  <w:abstractNum w:abstractNumId="42">
    <w:nsid w:val="73A1821B"/>
    <w:multiLevelType w:val="hybridMultilevel"/>
    <w:lvl w:ilvl="0">
      <w:lvlJc w:val="left"/>
      <w:lvlText w:val="(%1)"/>
      <w:numFmt w:val="lowerLetter"/>
      <w:start w:val="1"/>
    </w:lvl>
  </w:abstractNum>
  <w:abstractNum w:abstractNumId="43">
    <w:nsid w:val="7DE67713"/>
    <w:multiLevelType w:val="hybridMultilevel"/>
    <w:lvl w:ilvl="0">
      <w:lvlJc w:val="left"/>
      <w:lvlText w:val="(%1)"/>
      <w:numFmt w:val="lowerLetter"/>
      <w:start w:val="1"/>
    </w:lvl>
  </w:abstractNum>
  <w:abstractNum w:abstractNumId="44">
    <w:nsid w:val="555C55B5"/>
    <w:multiLevelType w:val="hybridMultilevel"/>
    <w:lvl w:ilvl="0">
      <w:lvlJc w:val="left"/>
      <w:lvlText w:val="(%1)"/>
      <w:numFmt w:val="lowerLetter"/>
      <w:start w:val="1"/>
    </w:lvl>
    <w:lvl w:ilvl="1">
      <w:lvlJc w:val="left"/>
      <w:lvlText w:val="(%2)"/>
      <w:numFmt w:val="lowerRoman"/>
      <w:start w:val="1"/>
    </w:lvl>
  </w:abstractNum>
  <w:abstractNum w:abstractNumId="45">
    <w:nsid w:val="3FA62ACA"/>
    <w:multiLevelType w:val="hybridMultilevel"/>
    <w:lvl w:ilvl="0">
      <w:lvlJc w:val="left"/>
      <w:lvlText w:val="%1."/>
      <w:numFmt w:val="decimal"/>
      <w:start w:val="1"/>
    </w:lvl>
  </w:abstractNum>
  <w:abstractNum w:abstractNumId="46">
    <w:nsid w:val="14FCE74E"/>
    <w:multiLevelType w:val="hybridMultilevel"/>
    <w:lvl w:ilvl="0">
      <w:lvlJc w:val="left"/>
      <w:lvlText w:val="(%1)"/>
      <w:numFmt w:val="lowerLetter"/>
      <w:start w:val="1"/>
    </w:lvl>
  </w:abstractNum>
  <w:abstractNum w:abstractNumId="47">
    <w:nsid w:val="6A3DD3E8"/>
    <w:multiLevelType w:val="hybridMultilevel"/>
    <w:lvl w:ilvl="0">
      <w:lvlJc w:val="left"/>
      <w:lvlText w:val="(%1)"/>
      <w:numFmt w:val="lowerRoman"/>
      <w:start w:val="2"/>
    </w:lvl>
  </w:abstractNum>
  <w:abstractNum w:abstractNumId="48">
    <w:nsid w:val="71C91298"/>
    <w:multiLevelType w:val="hybridMultilevel"/>
    <w:lvl w:ilvl="0">
      <w:lvlJc w:val="left"/>
      <w:lvlText w:val="(%1)"/>
      <w:numFmt w:val="lowerLetter"/>
      <w:start w:val="1"/>
    </w:lvl>
  </w:abstractNum>
  <w:abstractNum w:abstractNumId="49">
    <w:nsid w:val="9DAF632"/>
    <w:multiLevelType w:val="hybridMultilevel"/>
    <w:lvl w:ilvl="0">
      <w:lvlJc w:val="left"/>
      <w:lvlText w:val="(%1)"/>
      <w:numFmt w:val="lowerLetter"/>
      <w:start w:val="5"/>
    </w:lvl>
  </w:abstractNum>
  <w:abstractNum w:abstractNumId="50">
    <w:nsid w:val="53299938"/>
    <w:multiLevelType w:val="hybridMultilevel"/>
    <w:lvl w:ilvl="0">
      <w:lvlJc w:val="left"/>
      <w:lvlText w:val="(%1)"/>
      <w:numFmt w:val="lowerLetter"/>
      <w:start w:val="1"/>
    </w:lvl>
  </w:abstractNum>
  <w:abstractNum w:abstractNumId="51">
    <w:nsid w:val="1FBFE8E0"/>
    <w:multiLevelType w:val="hybridMultilevel"/>
    <w:lvl w:ilvl="0">
      <w:lvlJc w:val="left"/>
      <w:lvlText w:val="(%1)"/>
      <w:numFmt w:val="lowerLetter"/>
      <w:start w:val="1"/>
    </w:lvl>
    <w:lvl w:ilvl="1">
      <w:lvlJc w:val="left"/>
      <w:lvlText w:val="(%2)"/>
      <w:numFmt w:val="lowerRoman"/>
      <w:start w:val="1"/>
    </w:lvl>
  </w:abstractNum>
  <w:abstractNum w:abstractNumId="52">
    <w:nsid w:val="5092CA79"/>
    <w:multiLevelType w:val="hybridMultilevel"/>
    <w:lvl w:ilvl="0">
      <w:lvlJc w:val="left"/>
      <w:lvlText w:val="(%1)"/>
      <w:numFmt w:val="lowerLetter"/>
      <w:start w:val="1"/>
    </w:lvl>
  </w:abstractNum>
  <w:abstractNum w:abstractNumId="53">
    <w:nsid w:val="1D545C4D"/>
    <w:multiLevelType w:val="hybridMultilevel"/>
    <w:lvl w:ilvl="0">
      <w:lvlJc w:val="left"/>
      <w:lvlText w:val="(%1)"/>
      <w:numFmt w:val="lowerLetter"/>
      <w:start w:val="1"/>
    </w:lvl>
  </w:abstractNum>
  <w:abstractNum w:abstractNumId="54">
    <w:nsid w:val="59ADEA3D"/>
    <w:multiLevelType w:val="hybridMultilevel"/>
    <w:lvl w:ilvl="0">
      <w:lvlJc w:val="left"/>
      <w:lvlText w:val="%1"/>
      <w:numFmt w:val="lowerLetter"/>
      <w:start w:val="1"/>
    </w:lvl>
    <w:lvl w:ilvl="1">
      <w:lvlJc w:val="left"/>
      <w:lvlText w:val="(%2)"/>
      <w:numFmt w:val="lowerRoman"/>
      <w:start w:val="1"/>
    </w:lvl>
  </w:abstractNum>
  <w:abstractNum w:abstractNumId="55">
    <w:nsid w:val="288F1A34"/>
    <w:multiLevelType w:val="hybridMultilevel"/>
    <w:lvl w:ilvl="0">
      <w:lvlJc w:val="left"/>
      <w:lvlText w:val="(%1)"/>
      <w:numFmt w:val="lowerLetter"/>
      <w:start w:val="3"/>
    </w:lvl>
    <w:lvl w:ilvl="1">
      <w:lvlJc w:val="left"/>
      <w:lvlText w:val="%2"/>
      <w:numFmt w:val="lowerRoman"/>
      <w:start w:val="1"/>
    </w:lvl>
  </w:abstractNum>
  <w:abstractNum w:abstractNumId="56">
    <w:nsid w:val="2A155DBC"/>
    <w:multiLevelType w:val="hybridMultilevel"/>
    <w:lvl w:ilvl="0">
      <w:lvlJc w:val="left"/>
      <w:lvlText w:val="(%1)"/>
      <w:numFmt w:val="lowerLetter"/>
      <w:start w:val="1"/>
    </w:lvl>
  </w:abstractNum>
  <w:abstractNum w:abstractNumId="57">
    <w:nsid w:val="1D9F6E5F"/>
    <w:multiLevelType w:val="hybridMultilevel"/>
    <w:lvl w:ilvl="0">
      <w:lvlJc w:val="left"/>
      <w:lvlText w:val="(%1)"/>
      <w:numFmt w:val="lowerLetter"/>
      <w:start w:val="4"/>
    </w:lvl>
    <w:lvl w:ilvl="1">
      <w:lvlJc w:val="left"/>
      <w:lvlText w:val="(%2)"/>
      <w:numFmt w:val="lowerLetter"/>
      <w:start w:val="9"/>
    </w:lvl>
  </w:abstractNum>
  <w:abstractNum w:abstractNumId="58">
    <w:nsid w:val="97E1B4E"/>
    <w:multiLevelType w:val="hybridMultilevel"/>
    <w:lvl w:ilvl="0">
      <w:lvlJc w:val="left"/>
      <w:lvlText w:val="(%1)"/>
      <w:numFmt w:val="lowerRoman"/>
      <w:start w:val="2"/>
    </w:lvl>
  </w:abstractNum>
  <w:abstractNum w:abstractNumId="59">
    <w:nsid w:val="51088277"/>
    <w:multiLevelType w:val="hybridMultilevel"/>
    <w:lvl w:ilvl="0">
      <w:lvlJc w:val="left"/>
      <w:lvlText w:val="%1"/>
      <w:numFmt w:val="lowerRoman"/>
      <w:start w:val="1"/>
    </w:lvl>
    <w:lvl w:ilvl="1">
      <w:lvlJc w:val="left"/>
      <w:lvlText w:val="(%2)"/>
      <w:numFmt w:val="lowerLetter"/>
      <w:start w:val="10"/>
    </w:lvl>
    <w:lvl w:ilvl="2">
      <w:lvlJc w:val="left"/>
      <w:lvlText w:val="(%3)"/>
      <w:numFmt w:val="lowerRoman"/>
      <w:start w:val="1"/>
    </w:lvl>
  </w:abstractNum>
  <w:abstractNum w:abstractNumId="60">
    <w:nsid w:val="1CA0C5FA"/>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3"/>
    </w:lvl>
  </w:abstractNum>
  <w:abstractNum w:abstractNumId="61">
    <w:nsid w:val="53584BC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62">
    <w:nsid w:val="415E286C"/>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63">
    <w:nsid w:val="7C58FD05"/>
    <w:multiLevelType w:val="hybridMultilevel"/>
    <w:lvl w:ilvl="0">
      <w:lvlJc w:val="left"/>
      <w:lvlText w:val="%1"/>
      <w:numFmt w:val="lowerLetter"/>
      <w:start w:val="1"/>
    </w:lvl>
    <w:lvl w:ilvl="1">
      <w:lvlJc w:val="left"/>
      <w:lvlText w:val="(%2)"/>
      <w:numFmt w:val="lowerRoman"/>
      <w:start w:val="4"/>
    </w:lvl>
  </w:abstractNum>
  <w:abstractNum w:abstractNumId="64">
    <w:nsid w:val="23D86AAC"/>
    <w:multiLevelType w:val="hybridMultilevel"/>
    <w:lvl w:ilvl="0">
      <w:lvlJc w:val="left"/>
      <w:lvlText w:val="(%1)"/>
      <w:numFmt w:val="lowerLetter"/>
      <w:start w:val="14"/>
    </w:lvl>
    <w:lvl w:ilvl="1">
      <w:lvlJc w:val="left"/>
      <w:lvlText w:val="(%2)"/>
      <w:numFmt w:val="lowerRoman"/>
      <w:start w:val="1"/>
    </w:lvl>
  </w:abstractNum>
  <w:abstractNum w:abstractNumId="65">
    <w:nsid w:val="45E6D48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66">
    <w:nsid w:val="5C10FE21"/>
    <w:multiLevelType w:val="hybridMultilevel"/>
    <w:lvl w:ilvl="0">
      <w:lvlJc w:val="left"/>
      <w:lvlText w:val="%1"/>
      <w:numFmt w:val="lowerRoman"/>
      <w:start w:val="1"/>
    </w:lvl>
    <w:lvl w:ilvl="1">
      <w:lvlJc w:val="left"/>
      <w:lvlText w:val="(%2)"/>
      <w:numFmt w:val="lowerLetter"/>
      <w:start w:val="17"/>
    </w:lvl>
    <w:lvl w:ilvl="2">
      <w:lvlJc w:val="left"/>
      <w:lvlText w:val="(%3)"/>
      <w:numFmt w:val="lowerRoman"/>
      <w:start w:val="1"/>
    </w:lvl>
  </w:abstractNum>
  <w:abstractNum w:abstractNumId="67">
    <w:nsid w:val="E7FFA2B"/>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68">
    <w:nsid w:val="3C5991AA"/>
    <w:multiLevelType w:val="hybridMultilevel"/>
    <w:lvl w:ilvl="0">
      <w:lvlJc w:val="left"/>
      <w:lvlText w:val="%1"/>
      <w:numFmt w:val="lowerLetter"/>
      <w:start w:val="1"/>
    </w:lvl>
    <w:lvl w:ilvl="1">
      <w:lvlJc w:val="left"/>
      <w:lvlText w:val="(%2)"/>
      <w:numFmt w:val="lowerLetter"/>
      <w:start w:val="61"/>
    </w:lvl>
  </w:abstractNum>
  <w:abstractNum w:abstractNumId="69">
    <w:nsid w:val="4BD8591A"/>
    <w:multiLevelType w:val="hybridMultilevel"/>
    <w:lvl w:ilvl="0">
      <w:lvlJc w:val="left"/>
      <w:lvlText w:val="(%1)"/>
      <w:numFmt w:val="lowerLetter"/>
      <w:start w:val="18"/>
    </w:lvl>
    <w:lvl w:ilvl="1">
      <w:lvlJc w:val="left"/>
      <w:lvlText w:val="(%2)"/>
      <w:numFmt w:val="lowerLetter"/>
      <w:start w:val="9"/>
    </w:lvl>
  </w:abstractNum>
  <w:abstractNum w:abstractNumId="70">
    <w:nsid w:val="78DF6A55"/>
    <w:multiLevelType w:val="hybridMultilevel"/>
    <w:lvl w:ilvl="0">
      <w:lvlJc w:val="left"/>
      <w:lvlText w:val="%1"/>
      <w:numFmt w:val="lowerLetter"/>
      <w:start w:val="1"/>
    </w:lvl>
    <w:lvl w:ilvl="1">
      <w:lvlJc w:val="left"/>
      <w:lvlText w:val="(%2)"/>
      <w:numFmt w:val="lowerRoman"/>
      <w:start w:val="2"/>
    </w:lvl>
  </w:abstractNum>
  <w:abstractNum w:abstractNumId="71">
    <w:nsid w:val="39B7AAA2"/>
    <w:multiLevelType w:val="hybridMultilevel"/>
    <w:lvl w:ilvl="0">
      <w:lvlJc w:val="left"/>
      <w:lvlText w:val="(%1)"/>
      <w:numFmt w:val="lowerLetter"/>
      <w:start w:val="20"/>
    </w:lvl>
    <w:lvl w:ilvl="1">
      <w:lvlJc w:val="left"/>
      <w:lvlText w:val="%2"/>
      <w:numFmt w:val="lowerRoman"/>
      <w:start w:val="1"/>
    </w:lvl>
  </w:abstractNum>
  <w:abstractNum w:abstractNumId="72">
    <w:nsid w:val="2B0D8DBE"/>
    <w:multiLevelType w:val="hybridMultilevel"/>
    <w:lvl w:ilvl="0">
      <w:lvlJc w:val="left"/>
      <w:lvlText w:val="(%1)"/>
      <w:numFmt w:val="lowerLetter"/>
      <w:start w:val="21"/>
    </w:lvl>
    <w:lvl w:ilvl="1">
      <w:lvlJc w:val="left"/>
      <w:lvlText w:val="(%2)"/>
      <w:numFmt w:val="lowerRoman"/>
      <w:start w:val="1"/>
    </w:lvl>
  </w:abstractNum>
  <w:abstractNum w:abstractNumId="73">
    <w:nsid w:val="6C80EC70"/>
    <w:multiLevelType w:val="hybridMultilevel"/>
    <w:lvl w:ilvl="0">
      <w:lvlJc w:val="left"/>
      <w:lvlText w:val="%1"/>
      <w:numFmt w:val="lowerLetter"/>
      <w:start w:val="1"/>
    </w:lvl>
    <w:lvl w:ilvl="1">
      <w:lvlJc w:val="left"/>
      <w:lvlText w:val="(%2)"/>
      <w:numFmt w:val="lowerRoman"/>
      <w:start w:val="7"/>
    </w:lvl>
  </w:abstractNum>
  <w:abstractNum w:abstractNumId="74">
    <w:nsid w:val="379E21B5"/>
    <w:multiLevelType w:val="hybridMultilevel"/>
    <w:lvl w:ilvl="0">
      <w:lvlJc w:val="left"/>
      <w:lvlText w:val="(%1)"/>
      <w:numFmt w:val="lowerLetter"/>
      <w:start w:val="23"/>
    </w:lvl>
    <w:lvl w:ilvl="1">
      <w:lvlJc w:val="left"/>
      <w:lvlText w:val="(%2)"/>
      <w:numFmt w:val="lowerRoman"/>
      <w:start w:val="1"/>
    </w:lvl>
  </w:abstractNum>
  <w:abstractNum w:abstractNumId="75">
    <w:nsid w:val="69E373"/>
    <w:multiLevelType w:val="hybridMultilevel"/>
    <w:lvl w:ilvl="0">
      <w:lvlJc w:val="left"/>
      <w:lvlText w:val="(%1)"/>
      <w:numFmt w:val="lowerLetter"/>
      <w:start w:val="27"/>
    </w:lvl>
  </w:abstractNum>
  <w:abstractNum w:abstractNumId="76">
    <w:nsid w:val="2C27173B"/>
    <w:multiLevelType w:val="hybridMultilevel"/>
    <w:lvl w:ilvl="0">
      <w:lvlJc w:val="left"/>
      <w:lvlText w:val="(%1)"/>
      <w:numFmt w:val="lowerLetter"/>
      <w:start w:val="29"/>
    </w:lvl>
  </w:abstractNum>
  <w:abstractNum w:abstractNumId="77">
    <w:nsid w:val="4C9B0904"/>
    <w:multiLevelType w:val="hybridMultilevel"/>
    <w:lvl w:ilvl="0">
      <w:lvlJc w:val="left"/>
      <w:lvlText w:val="(%1)"/>
      <w:numFmt w:val="lowerLetter"/>
      <w:start w:val="1"/>
    </w:lvl>
  </w:abstractNum>
  <w:abstractNum w:abstractNumId="78">
    <w:nsid w:val="6AA7B75C"/>
    <w:multiLevelType w:val="hybridMultilevel"/>
    <w:lvl w:ilvl="0">
      <w:lvlJc w:val="left"/>
      <w:lvlText w:val="(%1)"/>
      <w:numFmt w:val="lowerLetter"/>
      <w:start w:val="5"/>
    </w:lvl>
  </w:abstractNum>
  <w:abstractNum w:abstractNumId="79">
    <w:nsid w:val="1DF029D3"/>
    <w:multiLevelType w:val="hybridMultilevel"/>
    <w:lvl w:ilvl="0">
      <w:lvlJc w:val="left"/>
      <w:lvlText w:val="(%1)"/>
      <w:numFmt w:val="lowerLetter"/>
      <w:start w:val="1"/>
    </w:lvl>
  </w:abstractNum>
  <w:abstractNum w:abstractNumId="80">
    <w:nsid w:val="5675FF36"/>
    <w:multiLevelType w:val="hybridMultilevel"/>
    <w:lvl w:ilvl="0">
      <w:lvlJc w:val="left"/>
      <w:lvlText w:val="(%1)"/>
      <w:numFmt w:val="lowerLetter"/>
      <w:start w:val="10"/>
    </w:lvl>
  </w:abstractNum>
  <w:abstractNum w:abstractNumId="81">
    <w:nsid w:val="3DD15094"/>
    <w:multiLevelType w:val="hybridMultilevel"/>
    <w:lvl w:ilvl="0">
      <w:lvlJc w:val="left"/>
      <w:lvlText w:val="."/>
      <w:numFmt w:val="bullet"/>
      <w:start w:val="1"/>
    </w:lvl>
  </w:abstractNum>
  <w:abstractNum w:abstractNumId="82">
    <w:nsid w:val="3DB012B3"/>
    <w:multiLevelType w:val="hybridMultilevel"/>
    <w:lvl w:ilvl="0">
      <w:lvlJc w:val="left"/>
      <w:lvlText w:val="(%1)"/>
      <w:numFmt w:val="lowerLetter"/>
      <w:start w:val="1"/>
    </w:lvl>
  </w:abstractNum>
  <w:abstractNum w:abstractNumId="83">
    <w:nsid w:val="2708C9AF"/>
    <w:multiLevelType w:val="hybridMultilevel"/>
    <w:lvl w:ilvl="0">
      <w:lvlJc w:val="left"/>
      <w:lvlText w:val="(%1)"/>
      <w:numFmt w:val="lowerLetter"/>
      <w:start w:val="2"/>
    </w:lvl>
    <w:lvl w:ilvl="1">
      <w:lvlJc w:val="left"/>
      <w:lvlText w:val="(%2)"/>
      <w:numFmt w:val="lowerRoman"/>
      <w:start w:val="1"/>
    </w:lvl>
  </w:abstractNum>
  <w:abstractNum w:abstractNumId="84">
    <w:nsid w:val="5B25ACE2"/>
    <w:multiLevelType w:val="hybridMultilevel"/>
    <w:lvl w:ilvl="0">
      <w:lvlJc w:val="left"/>
      <w:lvlText w:val="(%1)"/>
      <w:numFmt w:val="lowerRoman"/>
      <w:start w:val="10"/>
    </w:lvl>
  </w:abstractNum>
  <w:abstractNum w:abstractNumId="85">
    <w:nsid w:val="175DFCF0"/>
    <w:multiLevelType w:val="hybridMultilevel"/>
    <w:lvl w:ilvl="0">
      <w:lvlJc w:val="left"/>
      <w:lvlText w:val="(%1)"/>
      <w:numFmt w:val="lowerRoman"/>
      <w:start w:val="23"/>
    </w:lvl>
  </w:abstractNum>
  <w:abstractNum w:abstractNumId="86">
    <w:nsid w:val="4F97E3E4"/>
    <w:multiLevelType w:val="hybridMultilevel"/>
    <w:lvl w:ilvl="0">
      <w:lvlJc w:val="left"/>
      <w:lvlText w:val="(%1)"/>
      <w:numFmt w:val="lowerLetter"/>
      <w:start w:val="3"/>
    </w:lvl>
  </w:abstractNum>
  <w:abstractNum w:abstractNumId="87">
    <w:nsid w:val="53B0A9E"/>
    <w:multiLevelType w:val="hybridMultilevel"/>
    <w:lvl w:ilvl="0">
      <w:lvlJc w:val="left"/>
      <w:lvlText w:val="(%1)"/>
      <w:numFmt w:val="lowerLetter"/>
      <w:start w:val="1"/>
    </w:lvl>
  </w:abstractNum>
  <w:abstractNum w:abstractNumId="88">
    <w:nsid w:val="34FD6B4F"/>
    <w:multiLevelType w:val="hybridMultilevel"/>
    <w:lvl w:ilvl="0">
      <w:lvlJc w:val="left"/>
      <w:lvlText w:val="(%1)"/>
      <w:numFmt w:val="lowerLetter"/>
      <w:start w:val="3"/>
    </w:lvl>
  </w:abstractNum>
  <w:abstractNum w:abstractNumId="89">
    <w:nsid w:val="5915FF32"/>
    <w:multiLevelType w:val="hybridMultilevel"/>
    <w:lvl w:ilvl="0">
      <w:lvlJc w:val="left"/>
      <w:lvlText w:val="(%1)"/>
      <w:numFmt w:val="lowerLetter"/>
      <w:start w:val="1"/>
    </w:lvl>
  </w:abstractNum>
  <w:abstractNum w:abstractNumId="90">
    <w:nsid w:val="56438D15"/>
    <w:multiLevelType w:val="hybridMultilevel"/>
    <w:lvl w:ilvl="0">
      <w:lvlJc w:val="left"/>
      <w:lvlText w:val="(%1)"/>
      <w:numFmt w:val="lowerLetter"/>
      <w:start w:val="3"/>
    </w:lvl>
  </w:abstractNum>
  <w:abstractNum w:abstractNumId="91">
    <w:nsid w:val="519E3149"/>
    <w:multiLevelType w:val="hybridMultilevel"/>
    <w:lvl w:ilvl="0">
      <w:lvlJc w:val="left"/>
      <w:lvlText w:val="(%1)"/>
      <w:numFmt w:val="lowerLetter"/>
      <w:start w:val="1"/>
    </w:lvl>
    <w:lvl w:ilvl="1">
      <w:lvlJc w:val="left"/>
      <w:lvlText w:val="(%2)"/>
      <w:numFmt w:val="lowerRoman"/>
      <w:start w:val="1"/>
    </w:lvl>
  </w:abstractNum>
  <w:abstractNum w:abstractNumId="92">
    <w:nsid w:val="2C6E4AFD"/>
    <w:multiLevelType w:val="hybridMultilevel"/>
    <w:lvl w:ilvl="0">
      <w:lvlJc w:val="left"/>
      <w:lvlText w:val="(%1)"/>
      <w:numFmt w:val="decimal"/>
      <w:start w:val="30"/>
    </w:lvl>
  </w:abstractNum>
  <w:abstractNum w:abstractNumId="93">
    <w:nsid w:val="17A1B582"/>
    <w:multiLevelType w:val="hybridMultilevel"/>
    <w:lvl w:ilvl="0">
      <w:lvlJc w:val="left"/>
      <w:lvlText w:val="(%1)"/>
      <w:numFmt w:val="lowerLetter"/>
      <w:start w:val="1"/>
    </w:lvl>
  </w:abstractNum>
  <w:abstractNum w:abstractNumId="94">
    <w:nsid w:val="4DF72E4E"/>
    <w:multiLevelType w:val="hybridMultilevel"/>
    <w:lvl w:ilvl="0">
      <w:lvlJc w:val="left"/>
      <w:lvlText w:val="(%1)"/>
      <w:numFmt w:val="lowerLetter"/>
      <w:start w:val="1"/>
    </w:lvl>
  </w:abstractNum>
  <w:abstractNum w:abstractNumId="95">
    <w:nsid w:val="5046B5A9"/>
    <w:multiLevelType w:val="hybridMultilevel"/>
    <w:lvl w:ilvl="0">
      <w:lvlJc w:val="left"/>
      <w:lvlText w:val="(%1)"/>
      <w:numFmt w:val="lowerLetter"/>
      <w:start w:val="1"/>
    </w:lvl>
  </w:abstractNum>
  <w:abstractNum w:abstractNumId="96">
    <w:nsid w:val="5D888A08"/>
    <w:multiLevelType w:val="hybridMultilevel"/>
    <w:lvl w:ilvl="0">
      <w:lvlJc w:val="left"/>
      <w:lvlText w:val="(%1)"/>
      <w:numFmt w:val="lowerLetter"/>
      <w:start w:val="1"/>
    </w:lvl>
  </w:abstractNum>
  <w:abstractNum w:abstractNumId="97">
    <w:nsid w:val="2A082C70"/>
    <w:multiLevelType w:val="hybridMultilevel"/>
    <w:lvl w:ilvl="0">
      <w:lvlJc w:val="left"/>
      <w:lvlText w:val="(%1)"/>
      <w:numFmt w:val="lowerLetter"/>
      <w:start w:val="1"/>
    </w:lvl>
  </w:abstractNum>
  <w:abstractNum w:abstractNumId="98">
    <w:nsid w:val="5EC6AFD4"/>
    <w:multiLevelType w:val="hybridMultilevel"/>
    <w:lvl w:ilvl="0">
      <w:lvlJc w:val="left"/>
      <w:lvlText w:val="(%1)"/>
      <w:numFmt w:val="lowerLetter"/>
      <w:start w:val="2"/>
    </w:lvl>
  </w:abstractNum>
  <w:abstractNum w:abstractNumId="99">
    <w:nsid w:val="19E21BB2"/>
    <w:multiLevelType w:val="hybridMultilevel"/>
    <w:lvl w:ilvl="0">
      <w:lvlJc w:val="left"/>
      <w:lvlText w:val="(%1)"/>
      <w:numFmt w:val="lowerLetter"/>
      <w:start w:val="1"/>
    </w:lvl>
  </w:abstractNum>
  <w:abstractNum w:abstractNumId="100">
    <w:nsid w:val="75E0858A"/>
    <w:multiLevelType w:val="hybridMultilevel"/>
    <w:lvl w:ilvl="0">
      <w:lvlJc w:val="left"/>
      <w:lvlText w:val="(%1)"/>
      <w:numFmt w:val="lowerLetter"/>
      <w:start w:val="1"/>
    </w:lvl>
    <w:lvl w:ilvl="1">
      <w:lvlJc w:val="left"/>
      <w:lvlText w:val="(%2)"/>
      <w:numFmt w:val="lowerRoman"/>
      <w:start w:val="1"/>
    </w:lvl>
  </w:abstractNum>
  <w:abstractNum w:abstractNumId="101">
    <w:nsid w:val="57A61A29"/>
    <w:multiLevelType w:val="hybridMultilevel"/>
    <w:lvl w:ilvl="0">
      <w:lvlJc w:val="left"/>
      <w:lvlText w:val="%1."/>
      <w:numFmt w:val="decimal"/>
      <w:start w:val="1"/>
    </w:lvl>
  </w:abstractNum>
  <w:abstractNum w:abstractNumId="102">
    <w:nsid w:val="5399C654"/>
    <w:multiLevelType w:val="hybridMultilevel"/>
    <w:lvl w:ilvl="0">
      <w:lvlJc w:val="left"/>
      <w:lvlText w:val="(%1)"/>
      <w:numFmt w:val="lowerLetter"/>
      <w:start w:val="1"/>
    </w:lvl>
  </w:abstractNum>
  <w:abstractNum w:abstractNumId="103">
    <w:nsid w:val="20EE1348"/>
    <w:multiLevelType w:val="hybridMultilevel"/>
    <w:lvl w:ilvl="0">
      <w:lvlJc w:val="left"/>
      <w:lvlText w:val="(%1)"/>
      <w:numFmt w:val="lowerRoman"/>
      <w:start w:val="2"/>
    </w:lvl>
  </w:abstractNum>
  <w:abstractNum w:abstractNumId="104">
    <w:nsid w:val="4427069A"/>
    <w:multiLevelType w:val="hybridMultilevel"/>
    <w:lvl w:ilvl="0">
      <w:lvlJc w:val="left"/>
      <w:lvlText w:val="(%1)"/>
      <w:numFmt w:val="lowerLetter"/>
      <w:start w:val="1"/>
    </w:lvl>
  </w:abstractNum>
  <w:abstractNum w:abstractNumId="105">
    <w:nsid w:val="B37E80A"/>
    <w:multiLevelType w:val="hybridMultilevel"/>
    <w:lvl w:ilvl="0">
      <w:lvlJc w:val="left"/>
      <w:lvlText w:val="(%1)"/>
      <w:numFmt w:val="lowerLetter"/>
      <w:start w:val="8"/>
    </w:lvl>
  </w:abstractNum>
  <w:abstractNum w:abstractNumId="106">
    <w:nsid w:val="2157F6BC"/>
    <w:multiLevelType w:val="hybridMultilevel"/>
    <w:lvl w:ilvl="0">
      <w:lvlJc w:val="left"/>
      <w:lvlText w:val="(%1)"/>
      <w:numFmt w:val="lowerLetter"/>
      <w:start w:val="1"/>
    </w:lvl>
  </w:abstractNum>
  <w:abstractNum w:abstractNumId="107">
    <w:nsid w:val="704E1DD5"/>
    <w:multiLevelType w:val="hybridMultilevel"/>
    <w:lvl w:ilvl="0">
      <w:lvlJc w:val="left"/>
      <w:lvlText w:val="(%1)"/>
      <w:numFmt w:val="lowerLetter"/>
      <w:start w:val="1"/>
    </w:lvl>
  </w:abstractNum>
  <w:abstractNum w:abstractNumId="108">
    <w:nsid w:val="57D2F10E"/>
    <w:multiLevelType w:val="hybridMultilevel"/>
    <w:lvl w:ilvl="0">
      <w:lvlJc w:val="left"/>
      <w:lvlText w:val="(%1)"/>
      <w:numFmt w:val="lowerRoman"/>
      <w:start w:val="1"/>
    </w:lvl>
  </w:abstractNum>
  <w:abstractNum w:abstractNumId="109">
    <w:nsid w:val="BFFAE18"/>
    <w:multiLevelType w:val="hybridMultilevel"/>
    <w:lvl w:ilvl="0">
      <w:lvlJc w:val="left"/>
      <w:lvlText w:val="(%1)"/>
      <w:numFmt w:val="lowerLetter"/>
      <w:start w:val="1"/>
    </w:lvl>
  </w:abstractNum>
  <w:abstractNum w:abstractNumId="110">
    <w:nsid w:val="E3E47A8"/>
    <w:multiLevelType w:val="hybridMultilevel"/>
    <w:lvl w:ilvl="0">
      <w:lvlJc w:val="left"/>
      <w:lvlText w:val="(%1)"/>
      <w:numFmt w:val="lowerLetter"/>
      <w:start w:val="1"/>
    </w:lvl>
    <w:lvl w:ilvl="1">
      <w:lvlJc w:val="left"/>
      <w:lvlText w:val="(%2)"/>
      <w:numFmt w:val="lowerRoman"/>
      <w:start w:val="1"/>
    </w:lvl>
  </w:abstractNum>
  <w:abstractNum w:abstractNumId="111">
    <w:nsid w:val="2E48F044"/>
    <w:multiLevelType w:val="hybridMultilevel"/>
    <w:lvl w:ilvl="0">
      <w:lvlJc w:val="left"/>
      <w:lvlText w:val="(%1)"/>
      <w:numFmt w:val="lowerLetter"/>
      <w:start w:val="1"/>
    </w:lvl>
  </w:abstractNum>
  <w:abstractNum w:abstractNumId="112">
    <w:nsid w:val="49D0FEAC"/>
    <w:multiLevelType w:val="hybridMultilevel"/>
    <w:lvl w:ilvl="0">
      <w:lvlJc w:val="left"/>
      <w:lvlText w:val="(%1)"/>
      <w:numFmt w:val="lowerLetter"/>
      <w:start w:val="6"/>
    </w:lvl>
    <w:lvl w:ilvl="1">
      <w:lvlJc w:val="left"/>
      <w:lvlText w:val="(%2)"/>
      <w:numFmt w:val="lowerRoman"/>
      <w:start w:val="1"/>
    </w:lvl>
  </w:abstractNum>
  <w:abstractNum w:abstractNumId="113">
    <w:nsid w:val="4BEE5A5B"/>
    <w:multiLevelType w:val="hybridMultilevel"/>
    <w:lvl w:ilvl="0">
      <w:lvlJc w:val="left"/>
      <w:lvlText w:val="%1"/>
      <w:numFmt w:val="lowerLetter"/>
      <w:start w:val="1"/>
    </w:lvl>
    <w:lvl w:ilvl="1">
      <w:lvlJc w:val="left"/>
      <w:lvlText w:val="(%2)"/>
      <w:numFmt w:val="lowerRoman"/>
      <w:start w:val="3"/>
    </w:lvl>
  </w:abstractNum>
  <w:abstractNum w:abstractNumId="114">
    <w:nsid w:val="5551B9F3"/>
    <w:multiLevelType w:val="hybridMultilevel"/>
    <w:lvl w:ilvl="0">
      <w:lvlJc w:val="left"/>
      <w:lvlText w:val="(%1)"/>
      <w:numFmt w:val="lowerLetter"/>
      <w:start w:val="10"/>
    </w:lvl>
    <w:lvl w:ilvl="1">
      <w:lvlJc w:val="left"/>
      <w:lvlText w:val="%2"/>
      <w:numFmt w:val="lowerRoman"/>
      <w:start w:val="1"/>
    </w:lvl>
  </w:abstractNum>
  <w:abstractNum w:abstractNumId="115">
    <w:nsid w:val="24F6AB8E"/>
    <w:multiLevelType w:val="hybridMultilevel"/>
    <w:lvl w:ilvl="0">
      <w:lvlJc w:val="left"/>
      <w:lvlText w:val="%1"/>
      <w:numFmt w:val="lowerLetter"/>
      <w:start w:val="1"/>
    </w:lvl>
    <w:lvl w:ilvl="1">
      <w:lvlJc w:val="left"/>
      <w:lvlText w:val="(%2)"/>
      <w:numFmt w:val="lowerRoman"/>
      <w:start w:val="1"/>
    </w:lvl>
  </w:abstractNum>
  <w:abstractNum w:abstractNumId="116">
    <w:nsid w:val="634C574C"/>
    <w:multiLevelType w:val="hybridMultilevel"/>
    <w:lvl w:ilvl="0">
      <w:lvlJc w:val="left"/>
      <w:lvlText w:val="(%1)"/>
      <w:numFmt w:val="lowerLetter"/>
      <w:start w:val="12"/>
    </w:lvl>
    <w:lvl w:ilvl="1">
      <w:lvlJc w:val="left"/>
      <w:lvlText w:val="%2"/>
      <w:numFmt w:val="lowerRoman"/>
      <w:start w:val="1"/>
    </w:lvl>
  </w:abstractNum>
  <w:abstractNum w:abstractNumId="117">
    <w:nsid w:val="24E99DD7"/>
    <w:multiLevelType w:val="hybridMultilevel"/>
    <w:lvl w:ilvl="0">
      <w:lvlJc w:val="left"/>
      <w:lvlText w:val="(%1)"/>
      <w:numFmt w:val="lowerLetter"/>
      <w:start w:val="13"/>
    </w:lvl>
    <w:lvl w:ilvl="1">
      <w:lvlJc w:val="left"/>
      <w:lvlText w:val="(%2)"/>
      <w:numFmt w:val="lowerRoman"/>
      <w:start w:val="1"/>
    </w:lvl>
    <w:lvl w:ilvl="2">
      <w:lvlJc w:val="left"/>
      <w:lvlText w:val="(%3)"/>
      <w:numFmt w:val="upperLetter"/>
      <w:start w:val="1"/>
    </w:lvl>
  </w:abstractNum>
  <w:abstractNum w:abstractNumId="118">
    <w:nsid w:val="2A31B62D"/>
    <w:multiLevelType w:val="hybridMultilevel"/>
    <w:lvl w:ilvl="0">
      <w:lvlJc w:val="left"/>
      <w:lvlText w:val="%1"/>
      <w:numFmt w:val="lowerLetter"/>
      <w:start w:val="1"/>
    </w:lvl>
    <w:lvl w:ilvl="1">
      <w:lvlJc w:val="left"/>
      <w:lvlText w:val="(%2)"/>
      <w:numFmt w:val="lowerRoman"/>
      <w:start w:val="2"/>
    </w:lvl>
  </w:abstractNum>
  <w:abstractNum w:abstractNumId="119">
    <w:nsid w:val="1849C29B"/>
    <w:multiLevelType w:val="hybridMultilevel"/>
    <w:lvl w:ilvl="0">
      <w:lvlJc w:val="left"/>
      <w:lvlText w:val="(%1)"/>
      <w:numFmt w:val="lowerLetter"/>
      <w:start w:val="15"/>
    </w:lvl>
    <w:lvl w:ilvl="1">
      <w:lvlJc w:val="left"/>
      <w:lvlText w:val="(%2)"/>
      <w:numFmt w:val="lowerRoman"/>
      <w:start w:val="1"/>
    </w:lvl>
  </w:abstractNum>
  <w:abstractNum w:abstractNumId="120">
    <w:nsid w:val="7DFF9D0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21">
    <w:nsid w:val="754342"/>
    <w:multiLevelType w:val="hybridMultilevel"/>
    <w:lvl w:ilvl="0">
      <w:lvlJc w:val="left"/>
      <w:lvlText w:val="%1"/>
      <w:numFmt w:val="lowerRoman"/>
      <w:start w:val="1"/>
    </w:lvl>
    <w:lvl w:ilvl="1">
      <w:lvlJc w:val="left"/>
      <w:lvlText w:val="(%2)"/>
      <w:numFmt w:val="lowerLetter"/>
      <w:start w:val="17"/>
    </w:lvl>
    <w:lvl w:ilvl="2">
      <w:lvlJc w:val="left"/>
      <w:lvlText w:val="(%3)"/>
      <w:numFmt w:val="lowerRoman"/>
      <w:start w:val="1"/>
    </w:lvl>
  </w:abstractNum>
  <w:abstractNum w:abstractNumId="122">
    <w:nsid w:val="69E7F3E5"/>
    <w:multiLevelType w:val="hybridMultilevel"/>
    <w:lvl w:ilvl="0">
      <w:lvlJc w:val="left"/>
      <w:lvlText w:val="(%1)"/>
      <w:numFmt w:val="lowerRoman"/>
      <w:start w:val="2"/>
    </w:lvl>
    <w:lvl w:ilvl="1">
      <w:lvlJc w:val="left"/>
      <w:lvlText w:val="(%2)"/>
      <w:numFmt w:val="lowerLetter"/>
      <w:start w:val="17"/>
    </w:lvl>
    <w:lvl w:ilvl="2">
      <w:lvlJc w:val="left"/>
      <w:lvlText w:val="(%3)"/>
      <w:numFmt w:val="lowerRoman"/>
      <w:start w:val="3"/>
    </w:lvl>
  </w:abstractNum>
  <w:abstractNum w:abstractNumId="123">
    <w:nsid w:val="2A6DE806"/>
    <w:multiLevelType w:val="hybridMultilevel"/>
    <w:lvl w:ilvl="0">
      <w:lvlJc w:val="left"/>
      <w:lvlText w:val="(%1)"/>
      <w:numFmt w:val="lowerLetter"/>
      <w:start w:val="19"/>
    </w:lvl>
    <w:lvl w:ilvl="1">
      <w:lvlJc w:val="left"/>
      <w:lvlText w:val="(%2)"/>
      <w:numFmt w:val="lowerRoman"/>
      <w:start w:val="1"/>
    </w:lvl>
  </w:abstractNum>
  <w:abstractNum w:abstractNumId="124">
    <w:nsid w:val="1816F8C4"/>
    <w:multiLevelType w:val="hybridMultilevel"/>
    <w:lvl w:ilvl="0">
      <w:lvlJc w:val="left"/>
      <w:lvlText w:val="(%1)"/>
      <w:numFmt w:val="lowerRoman"/>
      <w:start w:val="5"/>
    </w:lvl>
    <w:lvl w:ilvl="1">
      <w:lvlJc w:val="left"/>
      <w:lvlText w:val="(%2)"/>
      <w:numFmt w:val="lowerRoman"/>
      <w:start w:val="1"/>
    </w:lvl>
  </w:abstractNum>
  <w:abstractNum w:abstractNumId="125">
    <w:nsid w:val="37DF2233"/>
    <w:multiLevelType w:val="hybridMultilevel"/>
    <w:lvl w:ilvl="0">
      <w:lvlJc w:val="left"/>
      <w:lvlText w:val="(%1)"/>
      <w:numFmt w:val="lowerLetter"/>
      <w:start w:val="23"/>
    </w:lvl>
  </w:abstractNum>
  <w:abstractNum w:abstractNumId="126">
    <w:nsid w:val="7AB49DAF"/>
    <w:multiLevelType w:val="hybridMultilevel"/>
    <w:lvl w:ilvl="0">
      <w:lvlJc w:val="left"/>
      <w:lvlText w:val="(%1)"/>
      <w:numFmt w:val="lowerRoman"/>
      <w:start w:val="10"/>
    </w:lvl>
    <w:lvl w:ilvl="1">
      <w:lvlJc w:val="left"/>
      <w:lvlText w:val="(%2)"/>
      <w:numFmt w:val="lowerRoman"/>
      <w:start w:val="1"/>
    </w:lvl>
  </w:abstractNum>
  <w:abstractNum w:abstractNumId="127">
    <w:nsid w:val="759F82CD"/>
    <w:multiLevelType w:val="hybridMultilevel"/>
    <w:lvl w:ilvl="0">
      <w:lvlJc w:val="left"/>
      <w:lvlText w:val="(%1)"/>
      <w:numFmt w:val="lowerLetter"/>
      <w:start w:val="26"/>
    </w:lvl>
  </w:abstractNum>
  <w:abstractNum w:abstractNumId="128">
    <w:nsid w:val="61E74EA3"/>
    <w:multiLevelType w:val="hybridMultilevel"/>
    <w:lvl w:ilvl="0">
      <w:lvlJc w:val="left"/>
      <w:lvlText w:val="(%1)"/>
      <w:numFmt w:val="lowerLetter"/>
      <w:start w:val="27"/>
    </w:lvl>
  </w:abstractNum>
  <w:abstractNum w:abstractNumId="129">
    <w:nsid w:val="597B4D84"/>
    <w:multiLevelType w:val="hybridMultilevel"/>
    <w:lvl w:ilvl="0">
      <w:lvlJc w:val="left"/>
      <w:lvlText w:val="."/>
      <w:numFmt w:val="bullet"/>
      <w:start w:val="1"/>
    </w:lvl>
    <w:lvl w:ilvl="1">
      <w:lvlJc w:val="left"/>
      <w:lvlText w:val="(%2)"/>
      <w:numFmt w:val="lowerLetter"/>
      <w:start w:val="1"/>
    </w:lvl>
  </w:abstractNum>
  <w:abstractNum w:abstractNumId="130">
    <w:nsid w:val="F819E7F"/>
    <w:multiLevelType w:val="hybridMultilevel"/>
    <w:lvl w:ilvl="0">
      <w:lvlJc w:val="left"/>
      <w:lvlText w:val="(%1)"/>
      <w:numFmt w:val="lowerLetter"/>
      <w:start w:val="7"/>
    </w:lvl>
  </w:abstractNum>
  <w:abstractNum w:abstractNumId="131">
    <w:nsid w:val="57C7D42D"/>
    <w:multiLevelType w:val="hybridMultilevel"/>
    <w:lvl w:ilvl="0">
      <w:lvlJc w:val="left"/>
      <w:lvlText w:val="(%1)"/>
      <w:numFmt w:val="lowerLetter"/>
      <w:start w:val="1"/>
    </w:lvl>
  </w:abstractNum>
  <w:abstractNum w:abstractNumId="132">
    <w:nsid w:val="312167AD"/>
    <w:multiLevelType w:val="hybridMultilevel"/>
    <w:lvl w:ilvl="0">
      <w:lvlJc w:val="left"/>
      <w:lvlText w:val="(%1)"/>
      <w:numFmt w:val="lowerLetter"/>
      <w:start w:val="3"/>
    </w:lvl>
  </w:abstractNum>
  <w:abstractNum w:abstractNumId="133">
    <w:nsid w:val="631B64D4"/>
    <w:multiLevelType w:val="hybridMultilevel"/>
    <w:lvl w:ilvl="0">
      <w:lvlJc w:val="left"/>
      <w:lvlText w:val="(%1)"/>
      <w:numFmt w:val="lowerLetter"/>
      <w:start w:val="15"/>
    </w:lvl>
  </w:abstractNum>
  <w:abstractNum w:abstractNumId="134">
    <w:nsid w:val="78B5E776"/>
    <w:multiLevelType w:val="hybridMultilevel"/>
    <w:lvl w:ilvl="0">
      <w:lvlJc w:val="left"/>
      <w:lvlText w:val="(%1)"/>
      <w:numFmt w:val="decimal"/>
      <w:start w:val="10"/>
    </w:lvl>
  </w:abstractNum>
  <w:abstractNum w:abstractNumId="135">
    <w:nsid w:val="75486E47"/>
    <w:multiLevelType w:val="hybridMultilevel"/>
    <w:lvl w:ilvl="0">
      <w:lvlJc w:val="left"/>
      <w:lvlText w:val="(%1)"/>
      <w:numFmt w:val="lowerLetter"/>
      <w:start w:val="1"/>
    </w:lvl>
    <w:lvl w:ilvl="1">
      <w:lvlJc w:val="left"/>
      <w:lvlText w:val="(%2)"/>
      <w:numFmt w:val="lowerRoman"/>
      <w:start w:val="1"/>
    </w:lvl>
  </w:abstractNum>
  <w:abstractNum w:abstractNumId="136">
    <w:nsid w:val="6E534CDE"/>
    <w:multiLevelType w:val="hybridMultilevel"/>
    <w:lvl w:ilvl="0">
      <w:lvlJc w:val="left"/>
      <w:lvlText w:val="(%1)"/>
      <w:numFmt w:val="lowerRoman"/>
      <w:start w:val="3"/>
    </w:lvl>
  </w:abstractNum>
  <w:abstractNum w:abstractNumId="137">
    <w:nsid w:val="1A0DDE32"/>
    <w:multiLevelType w:val="hybridMultilevel"/>
    <w:lvl w:ilvl="0">
      <w:lvlJc w:val="left"/>
      <w:lvlText w:val="(%1)"/>
      <w:numFmt w:val="lowerRoman"/>
      <w:start w:val="14"/>
    </w:lvl>
  </w:abstractNum>
  <w:abstractNum w:abstractNumId="138">
    <w:nsid w:val="65968C1C"/>
    <w:multiLevelType w:val="hybridMultilevel"/>
    <w:lvl w:ilvl="0">
      <w:lvlJc w:val="left"/>
      <w:lvlText w:val="(%1)"/>
      <w:numFmt w:val="lowerLetter"/>
      <w:start w:val="3"/>
    </w:lvl>
  </w:abstractNum>
  <w:abstractNum w:abstractNumId="139">
    <w:nsid w:val="46263DEC"/>
    <w:multiLevelType w:val="hybridMultilevel"/>
    <w:lvl w:ilvl="0">
      <w:lvlJc w:val="left"/>
      <w:lvlText w:val="(%1)"/>
      <w:numFmt w:val="lowerLetter"/>
      <w:start w:val="1"/>
    </w:lvl>
  </w:abstractNum>
  <w:abstractNum w:abstractNumId="140">
    <w:nsid w:val="260D8C4A"/>
    <w:multiLevelType w:val="hybridMultilevel"/>
    <w:lvl w:ilvl="0">
      <w:lvlJc w:val="left"/>
      <w:lvlText w:val="(%1)"/>
      <w:numFmt w:val="lowerLetter"/>
      <w:start w:val="4"/>
    </w:lvl>
  </w:abstractNum>
  <w:abstractNum w:abstractNumId="141">
    <w:nsid w:val="73D4D3C4"/>
    <w:multiLevelType w:val="hybridMultilevel"/>
    <w:lvl w:ilvl="0">
      <w:lvlJc w:val="left"/>
      <w:lvlText w:val="(%1)"/>
      <w:numFmt w:val="lowerLetter"/>
      <w:start w:val="1"/>
    </w:lvl>
  </w:abstractNum>
  <w:abstractNum w:abstractNumId="142">
    <w:nsid w:val="746F2E30"/>
    <w:multiLevelType w:val="hybridMultilevel"/>
    <w:lvl w:ilvl="0">
      <w:lvlJc w:val="left"/>
      <w:lvlText w:val="(%1)"/>
      <w:numFmt w:val="lowerLetter"/>
      <w:start w:val="3"/>
    </w:lvl>
  </w:abstractNum>
  <w:abstractNum w:abstractNumId="143">
    <w:nsid w:val="6FDE8AF6"/>
    <w:multiLevelType w:val="hybridMultilevel"/>
    <w:lvl w:ilvl="0">
      <w:lvlJc w:val="left"/>
      <w:lvlText w:val="."/>
      <w:numFmt w:val="bullet"/>
      <w:start w:val="1"/>
    </w:lvl>
  </w:abstractNum>
  <w:abstractNum w:abstractNumId="144">
    <w:nsid w:val="3FC32E20"/>
    <w:multiLevelType w:val="hybridMultilevel"/>
    <w:lvl w:ilvl="0">
      <w:lvlJc w:val="left"/>
      <w:lvlText w:val="(%1)"/>
      <w:numFmt w:val="lowerLetter"/>
      <w:start w:val="1"/>
    </w:lvl>
  </w:abstractNum>
  <w:abstractNum w:abstractNumId="145">
    <w:nsid w:val="49C0E823"/>
    <w:multiLevelType w:val="hybridMultilevel"/>
    <w:lvl w:ilvl="0">
      <w:lvlJc w:val="left"/>
      <w:lvlText w:val="(%1)"/>
      <w:numFmt w:val="lowerRoman"/>
      <w:start w:val="1"/>
    </w:lvl>
  </w:abstractNum>
  <w:abstractNum w:abstractNumId="146">
    <w:nsid w:val="14D53685"/>
    <w:multiLevelType w:val="hybridMultilevel"/>
    <w:lvl w:ilvl="0">
      <w:lvlJc w:val="left"/>
      <w:lvlText w:val="(%1)"/>
      <w:numFmt w:val="lowerLetter"/>
      <w:start w:val="2"/>
    </w:lvl>
  </w:abstractNum>
  <w:abstractNum w:abstractNumId="147">
    <w:nsid w:val="230F856C"/>
    <w:multiLevelType w:val="hybridMultilevel"/>
    <w:lvl w:ilvl="0">
      <w:lvlJc w:val="left"/>
      <w:lvlText w:val="(%1)"/>
      <w:numFmt w:val="decimal"/>
      <w:start w:val="30"/>
    </w:lvl>
  </w:abstractNum>
  <w:abstractNum w:abstractNumId="148">
    <w:nsid w:val="6EAA85FB"/>
    <w:multiLevelType w:val="hybridMultilevel"/>
    <w:lvl w:ilvl="0">
      <w:lvlJc w:val="left"/>
      <w:lvlText w:val="(%1)"/>
      <w:numFmt w:val="lowerLetter"/>
      <w:start w:val="1"/>
    </w:lvl>
  </w:abstractNum>
  <w:abstractNum w:abstractNumId="149">
    <w:nsid w:val="3F06ECB2"/>
    <w:multiLevelType w:val="hybridMultilevel"/>
    <w:lvl w:ilvl="0">
      <w:lvlJc w:val="left"/>
      <w:lvlText w:val="(%1)"/>
      <w:numFmt w:val="lowerLetter"/>
      <w:start w:val="1"/>
    </w:lvl>
  </w:abstractNum>
  <w:abstractNum w:abstractNumId="150">
    <w:nsid w:val="3B594807"/>
    <w:multiLevelType w:val="hybridMultilevel"/>
    <w:lvl w:ilvl="0">
      <w:lvlJc w:val="left"/>
      <w:lvlText w:val="(%1)"/>
      <w:numFmt w:val="lowerLetter"/>
      <w:start w:val="2"/>
    </w:lvl>
  </w:abstractNum>
  <w:abstractNum w:abstractNumId="151">
    <w:nsid w:val="6CAA2304"/>
    <w:multiLevelType w:val="hybridMultilevel"/>
    <w:lvl w:ilvl="0">
      <w:lvlJc w:val="left"/>
      <w:lvlText w:val="(%1)"/>
      <w:numFmt w:val="lowerLetter"/>
      <w:start w:val="1"/>
    </w:lvl>
  </w:abstractNum>
  <w:abstractNum w:abstractNumId="152">
    <w:nsid w:val="3F7C2FF4"/>
    <w:multiLevelType w:val="hybridMultilevel"/>
    <w:lvl w:ilvl="0">
      <w:lvlJc w:val="left"/>
      <w:lvlText w:val="(%1)"/>
      <w:numFmt w:val="lowerLetter"/>
      <w:start w:val="1"/>
    </w:lvl>
  </w:abstractNum>
  <w:abstractNum w:abstractNumId="153">
    <w:nsid w:val="25413BEC"/>
    <w:multiLevelType w:val="hybridMultilevel"/>
    <w:lvl w:ilvl="0">
      <w:lvlJc w:val="left"/>
      <w:lvlText w:val="(%1)"/>
      <w:numFmt w:val="lowerLetter"/>
      <w:start w:val="1"/>
    </w:lvl>
  </w:abstractNum>
  <w:abstractNum w:abstractNumId="154">
    <w:nsid w:val="17180B0B"/>
    <w:multiLevelType w:val="hybridMultilevel"/>
    <w:lvl w:ilvl="0">
      <w:lvlJc w:val="left"/>
      <w:lvlText w:val="(%1)"/>
      <w:numFmt w:val="lowerLetter"/>
      <w:start w:val="4"/>
    </w:lvl>
  </w:abstractNum>
  <w:abstractNum w:abstractNumId="155">
    <w:nsid w:val="579328B9"/>
    <w:multiLevelType w:val="hybridMultilevel"/>
    <w:lvl w:ilvl="0">
      <w:lvlJc w:val="left"/>
      <w:lvlText w:val="(%1)"/>
      <w:numFmt w:val="lowerLetter"/>
      <w:start w:val="1"/>
    </w:lvl>
  </w:abstractNum>
  <w:abstractNum w:abstractNumId="156">
    <w:nsid w:val="5D205E20"/>
    <w:multiLevelType w:val="hybridMultilevel"/>
    <w:lvl w:ilvl="0">
      <w:lvlJc w:val="left"/>
      <w:lvlText w:val="(%1)"/>
      <w:numFmt w:val="lowerLetter"/>
      <w:start w:val="1"/>
    </w:lvl>
    <w:lvl w:ilvl="1">
      <w:lvlJc w:val="left"/>
      <w:lvlText w:val="(%2)"/>
      <w:numFmt w:val="lowerRoman"/>
      <w:start w:val="1"/>
    </w:lvl>
  </w:abstractNum>
  <w:abstractNum w:abstractNumId="157">
    <w:nsid w:val="11CCA8BA"/>
    <w:multiLevelType w:val="hybridMultilevel"/>
    <w:lvl w:ilvl="0">
      <w:lvlJc w:val="left"/>
      <w:lvlText w:val="1"/>
      <w:numFmt w:val="bullet"/>
      <w:start w:val="1"/>
    </w:lvl>
  </w:abstractNum>
  <w:abstractNum w:abstractNumId="158">
    <w:nsid w:val="4D32AB86"/>
    <w:multiLevelType w:val="hybridMultilevel"/>
    <w:lvl w:ilvl="0">
      <w:lvlJc w:val="left"/>
      <w:lvlText w:val="2"/>
      <w:numFmt w:val="bullet"/>
      <w:start w:val="1"/>
    </w:lvl>
  </w:abstractNum>
  <w:abstractNum w:abstractNumId="159">
    <w:nsid w:val="3F07ACC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2020-12-22T16:04:41Z</dcterms:created>
  <dcterms:modified xsi:type="dcterms:W3CDTF">2020-12-22T16:04:41Z</dcterms:modified>
</cp:coreProperties>
</file>