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Plotkin Chad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CLEARWAY ENERGY,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300 CARNEGIE CENTER,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Clearway Energy,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CWEN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8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03/02/2020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43"/>
        <w:spacing w:after="0"/>
        <w:rPr>
          <w:sz w:val="20"/>
          <w:szCs w:val="20"/>
          <w:color w:val="auto"/>
        </w:rPr>
      </w:pPr>
      <w:r>
        <w:rPr>
          <w:rFonts w:ascii="Arial" w:cs="Arial" w:eastAsia="Arial" w:hAnsi="Arial"/>
          <w:sz w:val="18"/>
          <w:szCs w:val="18"/>
          <w:color w:val="0000FF"/>
        </w:rPr>
        <w:t>SVP and CFO</w:t>
      </w:r>
    </w:p>
    <w:p>
      <w:pPr>
        <w:spacing w:after="0" w:line="390"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600" w:type="dxa"/>
            <w:vAlign w:val="bottom"/>
            <w:tcBorders>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104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3900" w:type="dxa"/>
            <w:vAlign w:val="bottom"/>
            <w:gridSpan w:val="8"/>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240" w:type="dxa"/>
            <w:vAlign w:val="bottom"/>
          </w:tcPr>
          <w:p>
            <w:pPr>
              <w:spacing w:after="0"/>
              <w:rPr>
                <w:sz w:val="16"/>
                <w:szCs w:val="16"/>
                <w:color w:val="auto"/>
              </w:rPr>
            </w:pPr>
          </w:p>
        </w:tc>
        <w:tc>
          <w:tcPr>
            <w:tcW w:w="3360" w:type="dxa"/>
            <w:vAlign w:val="bottom"/>
            <w:gridSpan w:val="8"/>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gridSpan w:val="4"/>
          </w:tcPr>
          <w:p>
            <w:pPr>
              <w:spacing w:after="0"/>
              <w:rPr>
                <w:sz w:val="20"/>
                <w:szCs w:val="20"/>
                <w:color w:val="auto"/>
              </w:rPr>
            </w:pPr>
            <w:r>
              <w:rPr>
                <w:rFonts w:ascii="Arial" w:cs="Arial" w:eastAsia="Arial" w:hAnsi="Arial"/>
                <w:sz w:val="14"/>
                <w:szCs w:val="14"/>
                <w:color w:val="auto"/>
              </w:rPr>
              <w:t>Line)</w:t>
            </w: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PRINCETON</w:t>
            </w:r>
          </w:p>
        </w:tc>
        <w:tc>
          <w:tcPr>
            <w:tcW w:w="260" w:type="dxa"/>
            <w:vAlign w:val="bottom"/>
            <w:vMerge w:val="restart"/>
          </w:tcPr>
          <w:p>
            <w:pPr>
              <w:ind w:left="40"/>
              <w:spacing w:after="0"/>
              <w:rPr>
                <w:sz w:val="20"/>
                <w:szCs w:val="20"/>
                <w:color w:val="auto"/>
              </w:rPr>
            </w:pPr>
            <w:r>
              <w:rPr>
                <w:rFonts w:ascii="Arial" w:cs="Arial" w:eastAsia="Arial" w:hAnsi="Arial"/>
                <w:sz w:val="18"/>
                <w:szCs w:val="18"/>
                <w:color w:val="0000FF"/>
                <w:w w:val="90"/>
              </w:rPr>
              <w:t>NJ</w:t>
            </w:r>
          </w:p>
        </w:tc>
        <w:tc>
          <w:tcPr>
            <w:tcW w:w="104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8"/>
                <w:szCs w:val="18"/>
                <w:color w:val="0000FF"/>
              </w:rPr>
              <w:t>08540</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2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6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9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5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56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1800" w:type="dxa"/>
            <w:vAlign w:val="bottom"/>
            <w:tcBorders>
              <w:bottom w:val="single" w:sz="8" w:color="2C2C2C"/>
            </w:tcBorders>
            <w:gridSpan w:val="5"/>
          </w:tcPr>
          <w:p>
            <w:pPr>
              <w:spacing w:after="0"/>
              <w:rPr>
                <w:sz w:val="11"/>
                <w:szCs w:val="11"/>
                <w:color w:val="auto"/>
              </w:rPr>
            </w:pPr>
          </w:p>
        </w:tc>
        <w:tc>
          <w:tcPr>
            <w:tcW w:w="2500" w:type="dxa"/>
            <w:vAlign w:val="bottom"/>
            <w:tcBorders>
              <w:bottom w:val="single" w:sz="8" w:color="2C2C2C"/>
            </w:tcBorders>
            <w:gridSpan w:val="6"/>
          </w:tcPr>
          <w:p>
            <w:pPr>
              <w:spacing w:after="0"/>
              <w:rPr>
                <w:sz w:val="11"/>
                <w:szCs w:val="11"/>
                <w:color w:val="auto"/>
              </w:rPr>
            </w:pPr>
          </w:p>
        </w:tc>
        <w:tc>
          <w:tcPr>
            <w:tcW w:w="280" w:type="dxa"/>
            <w:vAlign w:val="bottom"/>
            <w:tcBorders>
              <w:bottom w:val="single" w:sz="8" w:color="2C2C2C"/>
            </w:tcBorders>
            <w:gridSpan w:val="2"/>
          </w:tcPr>
          <w:p>
            <w:pPr>
              <w:spacing w:after="0"/>
              <w:rPr>
                <w:sz w:val="11"/>
                <w:szCs w:val="11"/>
                <w:color w:val="auto"/>
              </w:rPr>
            </w:pPr>
          </w:p>
        </w:tc>
        <w:tc>
          <w:tcPr>
            <w:tcW w:w="1260" w:type="dxa"/>
            <w:vAlign w:val="bottom"/>
            <w:tcBorders>
              <w:bottom w:val="single" w:sz="8" w:color="2C2C2C"/>
            </w:tcBorders>
            <w:gridSpan w:val="2"/>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8080" w:type="dxa"/>
            <w:vAlign w:val="bottom"/>
            <w:tcBorders>
              <w:top w:val="single" w:sz="8" w:color="2C2C2C"/>
            </w:tcBorders>
            <w:gridSpan w:val="18"/>
          </w:tcPr>
          <w:p>
            <w:pPr>
              <w:jc w:val="center"/>
              <w:ind w:left="2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60" w:type="dxa"/>
            <w:vAlign w:val="bottom"/>
          </w:tcPr>
          <w:p>
            <w:pPr>
              <w:spacing w:after="0"/>
              <w:rPr>
                <w:sz w:val="15"/>
                <w:szCs w:val="15"/>
                <w:color w:val="auto"/>
              </w:rPr>
            </w:pPr>
          </w:p>
        </w:tc>
        <w:tc>
          <w:tcPr>
            <w:tcW w:w="1300" w:type="dxa"/>
            <w:vAlign w:val="bottom"/>
            <w:gridSpan w:val="3"/>
          </w:tcPr>
          <w:p>
            <w:pPr>
              <w:ind w:left="2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7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8"/>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00" w:type="dxa"/>
            <w:vAlign w:val="bottom"/>
            <w:gridSpan w:val="3"/>
          </w:tcPr>
          <w:p>
            <w:pPr>
              <w:ind w:left="2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7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00" w:type="dxa"/>
            <w:vAlign w:val="bottom"/>
            <w:tcBorders>
              <w:bottom w:val="single" w:sz="8" w:color="2C2C2C"/>
            </w:tcBorders>
            <w:gridSpan w:val="6"/>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6"/>
          </w:tcPr>
          <w:p>
            <w:pPr>
              <w:ind w:left="60"/>
              <w:spacing w:after="0"/>
              <w:rPr>
                <w:sz w:val="20"/>
                <w:szCs w:val="20"/>
                <w:color w:val="auto"/>
              </w:rPr>
            </w:pPr>
            <w:r>
              <w:rPr>
                <w:rFonts w:ascii="Arial" w:cs="Arial" w:eastAsia="Arial" w:hAnsi="Arial"/>
                <w:sz w:val="18"/>
                <w:szCs w:val="18"/>
                <w:color w:val="0000FF"/>
                <w:w w:val="90"/>
              </w:rPr>
              <w:t>Class C Common Stock, par value $.01 per</w:t>
            </w:r>
          </w:p>
        </w:tc>
        <w:tc>
          <w:tcPr>
            <w:tcW w:w="1300" w:type="dxa"/>
            <w:vAlign w:val="bottom"/>
            <w:gridSpan w:val="3"/>
            <w:vMerge w:val="restart"/>
          </w:tcPr>
          <w:p>
            <w:pPr>
              <w:jc w:val="right"/>
              <w:ind w:right="98"/>
              <w:spacing w:after="0"/>
              <w:rPr>
                <w:sz w:val="20"/>
                <w:szCs w:val="20"/>
                <w:color w:val="auto"/>
              </w:rPr>
            </w:pPr>
            <w:r>
              <w:rPr>
                <w:rFonts w:ascii="Arial" w:cs="Arial" w:eastAsia="Arial" w:hAnsi="Arial"/>
                <w:sz w:val="18"/>
                <w:szCs w:val="18"/>
                <w:color w:val="0000FF"/>
              </w:rPr>
              <w:t>03/02/2020</w:t>
            </w: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vMerge w:val="restart"/>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Pr>
          <w:p>
            <w:pPr>
              <w:spacing w:after="0"/>
              <w:rPr>
                <w:sz w:val="22"/>
                <w:szCs w:val="22"/>
                <w:color w:val="auto"/>
              </w:rPr>
            </w:pPr>
          </w:p>
        </w:tc>
        <w:tc>
          <w:tcPr>
            <w:tcW w:w="560" w:type="dxa"/>
            <w:vAlign w:val="bottom"/>
            <w:vMerge w:val="restart"/>
          </w:tcPr>
          <w:p>
            <w:pPr>
              <w:ind w:left="260"/>
              <w:spacing w:after="0"/>
              <w:rPr>
                <w:sz w:val="20"/>
                <w:szCs w:val="20"/>
                <w:color w:val="auto"/>
              </w:rPr>
            </w:pPr>
            <w:r>
              <w:rPr>
                <w:rFonts w:ascii="Arial" w:cs="Arial" w:eastAsia="Arial" w:hAnsi="Arial"/>
                <w:sz w:val="18"/>
                <w:szCs w:val="18"/>
                <w:color w:val="0000FF"/>
                <w:w w:val="93"/>
              </w:rPr>
              <w:t>378</w:t>
            </w:r>
          </w:p>
        </w:tc>
        <w:tc>
          <w:tcPr>
            <w:tcW w:w="760" w:type="dxa"/>
            <w:vAlign w:val="bottom"/>
            <w:vMerge w:val="restart"/>
          </w:tcPr>
          <w:p>
            <w:pPr>
              <w:ind w:left="440"/>
              <w:spacing w:after="0"/>
              <w:rPr>
                <w:sz w:val="20"/>
                <w:szCs w:val="20"/>
                <w:color w:val="auto"/>
              </w:rPr>
            </w:pPr>
            <w:r>
              <w:rPr>
                <w:rFonts w:ascii="Arial" w:cs="Arial" w:eastAsia="Arial" w:hAnsi="Arial"/>
                <w:sz w:val="18"/>
                <w:szCs w:val="18"/>
                <w:color w:val="0000FF"/>
              </w:rPr>
              <w:t>A</w:t>
            </w:r>
          </w:p>
        </w:tc>
        <w:tc>
          <w:tcPr>
            <w:tcW w:w="240" w:type="dxa"/>
            <w:vAlign w:val="bottom"/>
          </w:tcPr>
          <w:p>
            <w:pPr>
              <w:spacing w:after="0"/>
              <w:rPr>
                <w:sz w:val="22"/>
                <w:szCs w:val="22"/>
                <w:color w:val="auto"/>
              </w:rPr>
            </w:pPr>
          </w:p>
        </w:tc>
        <w:tc>
          <w:tcPr>
            <w:tcW w:w="140" w:type="dxa"/>
            <w:vAlign w:val="bottom"/>
            <w:gridSpan w:val="2"/>
            <w:vMerge w:val="restart"/>
          </w:tcPr>
          <w:p>
            <w:pPr>
              <w:spacing w:after="0"/>
              <w:rPr>
                <w:sz w:val="20"/>
                <w:szCs w:val="20"/>
                <w:color w:val="auto"/>
              </w:rPr>
            </w:pPr>
            <w:r>
              <w:rPr>
                <w:rFonts w:ascii="Arial" w:cs="Arial" w:eastAsia="Arial" w:hAnsi="Arial"/>
                <w:sz w:val="11"/>
                <w:szCs w:val="11"/>
                <w:color w:val="008000"/>
                <w:w w:val="88"/>
              </w:rPr>
              <w:t>(1)</w:t>
            </w:r>
          </w:p>
        </w:tc>
        <w:tc>
          <w:tcPr>
            <w:tcW w:w="1500" w:type="dxa"/>
            <w:vAlign w:val="bottom"/>
            <w:gridSpan w:val="3"/>
            <w:vMerge w:val="restart"/>
          </w:tcPr>
          <w:p>
            <w:pPr>
              <w:ind w:left="540"/>
              <w:spacing w:after="0"/>
              <w:rPr>
                <w:sz w:val="20"/>
                <w:szCs w:val="20"/>
                <w:color w:val="auto"/>
              </w:rPr>
            </w:pPr>
            <w:r>
              <w:rPr>
                <w:rFonts w:ascii="Arial" w:cs="Arial" w:eastAsia="Arial" w:hAnsi="Arial"/>
                <w:sz w:val="18"/>
                <w:szCs w:val="18"/>
                <w:color w:val="0000FF"/>
              </w:rPr>
              <w:t>38,832</w:t>
            </w:r>
            <w:r>
              <w:rPr>
                <w:rFonts w:ascii="Arial" w:cs="Arial" w:eastAsia="Arial" w:hAnsi="Arial"/>
                <w:sz w:val="22"/>
                <w:szCs w:val="22"/>
                <w:color w:val="008000"/>
                <w:vertAlign w:val="superscript"/>
              </w:rPr>
              <w:t>(2)</w:t>
            </w:r>
          </w:p>
        </w:tc>
        <w:tc>
          <w:tcPr>
            <w:tcW w:w="920" w:type="dxa"/>
            <w:vAlign w:val="bottom"/>
            <w:vMerge w:val="restart"/>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3"/>
          </w:tcPr>
          <w:p>
            <w:pPr>
              <w:spacing w:after="0"/>
              <w:rPr>
                <w:sz w:val="8"/>
                <w:szCs w:val="8"/>
                <w:color w:val="auto"/>
              </w:rPr>
            </w:pPr>
          </w:p>
        </w:tc>
        <w:tc>
          <w:tcPr>
            <w:tcW w:w="1800" w:type="dxa"/>
            <w:vAlign w:val="bottom"/>
            <w:tcBorders>
              <w:bottom w:val="single" w:sz="8" w:color="2C2C2C"/>
            </w:tcBorders>
            <w:gridSpan w:val="5"/>
          </w:tcPr>
          <w:p>
            <w:pPr>
              <w:spacing w:after="0"/>
              <w:rPr>
                <w:sz w:val="8"/>
                <w:szCs w:val="8"/>
                <w:color w:val="auto"/>
              </w:rPr>
            </w:pPr>
          </w:p>
        </w:tc>
        <w:tc>
          <w:tcPr>
            <w:tcW w:w="2500" w:type="dxa"/>
            <w:vAlign w:val="bottom"/>
            <w:tcBorders>
              <w:bottom w:val="single" w:sz="8" w:color="2C2C2C"/>
            </w:tcBorders>
            <w:gridSpan w:val="6"/>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7"/>
          </w:tcPr>
          <w:p>
            <w:pPr>
              <w:jc w:val="center"/>
              <w:ind w:left="82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980" w:type="dxa"/>
            <w:vAlign w:val="bottom"/>
            <w:gridSpan w:val="13"/>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5"/>
                <w:szCs w:val="15"/>
                <w:color w:val="auto"/>
              </w:rPr>
            </w:pPr>
          </w:p>
        </w:tc>
        <w:tc>
          <w:tcPr>
            <w:tcW w:w="104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gridSpan w:val="2"/>
          </w:tcPr>
          <w:p>
            <w:pPr>
              <w:ind w:left="5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0" w:type="dxa"/>
            <w:vAlign w:val="bottom"/>
            <w:gridSpan w:val="2"/>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   Shares</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dividend equivalent rights accrued on the Reporting Person's Restricted Stock Units ("RSUs") and Relative Performance Stock Units ("RPSUs"), which become exercisable proportionately with the RSUs and RPSUs to which they relate and may only be settled in Class C Common Stock of Clearway Energy, Inc. as determined by the RSU or RPSU to which they relate.</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3,149 dividend equivalent rights that may only be settled in Class C Common Stock.</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2"/>
              </w:rPr>
              <w:t>/s/ Michael A. Brown, by</w:t>
            </w:r>
          </w:p>
        </w:tc>
        <w:tc>
          <w:tcPr>
            <w:tcW w:w="32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03/04/2020</w:t>
            </w:r>
          </w:p>
        </w:tc>
        <w:tc>
          <w:tcPr>
            <w:tcW w:w="0" w:type="dxa"/>
            <w:vAlign w:val="bottom"/>
          </w:tcPr>
          <w:p>
            <w:pPr>
              <w:spacing w:after="0"/>
              <w:rPr>
                <w:sz w:val="1"/>
                <w:szCs w:val="1"/>
                <w:color w:val="auto"/>
              </w:rPr>
            </w:pPr>
          </w:p>
        </w:tc>
      </w:tr>
      <w:tr>
        <w:trPr>
          <w:trHeight w:val="88"/>
        </w:trPr>
        <w:tc>
          <w:tcPr>
            <w:tcW w:w="1320" w:type="dxa"/>
            <w:vAlign w:val="bottom"/>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bottom w:val="single" w:sz="8" w:color="auto"/>
            </w:tcBorders>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85648"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2020-03-04T15:47:17Z</dcterms:created>
  <dcterms:modified xsi:type="dcterms:W3CDTF">2020-03-04T15:47:17Z</dcterms:modified>
</cp:coreProperties>
</file>