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Sotos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1,984</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237,291</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17,121 dividend equivalent rights that may only be settled in Class C Common Stock. There has been a de minimus adjustment of 1 share to the number of dividend equivalent rights as aresult of rounding fractional shares.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 by</w:t>
            </w:r>
          </w:p>
        </w:tc>
        <w:tc>
          <w:tcPr>
            <w:tcW w:w="2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2021-12-03T15:45:22Z</dcterms:created>
  <dcterms:modified xsi:type="dcterms:W3CDTF">2021-12-03T15:45:22Z</dcterms:modified>
</cp:coreProperties>
</file>