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3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SCHEDULE 13D</w:t>
      </w:r>
    </w:p>
    <w:p>
      <w:pPr>
        <w:spacing w:after="0" w:line="22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(Amendment No. 4)*</w:t>
      </w:r>
    </w:p>
    <w:p>
      <w:pPr>
        <w:spacing w:after="0" w:line="21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NRG YIELD, INC.</w:t>
      </w:r>
    </w:p>
    <w:p>
      <w:pPr>
        <w:spacing w:after="0" w:line="64"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Class A common stock</w:t>
      </w:r>
    </w:p>
    <w:p>
      <w:pPr>
        <w:spacing w:after="0" w:line="2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Class C common stock</w:t>
      </w:r>
    </w:p>
    <w:p>
      <w:pPr>
        <w:spacing w:after="0" w:line="22"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62942 X 306 (Class A common stock)</w:t>
      </w:r>
    </w:p>
    <w:p>
      <w:pPr>
        <w:spacing w:after="0" w:line="27"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62942 X 405 (Class C common stock)</w:t>
      </w:r>
    </w:p>
    <w:p>
      <w:pPr>
        <w:spacing w:after="0" w:line="35"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Brian E. Curci</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NRG Energy, Inc.</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804 Carnegie Center</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Princeton, New Jersey 08540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(609) 524-4500</w:t>
      </w:r>
    </w:p>
    <w:p>
      <w:pPr>
        <w:spacing w:after="0" w:line="35"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August 31, 2018</w:t>
      </w:r>
    </w:p>
    <w:p>
      <w:pPr>
        <w:spacing w:after="0" w:line="40"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45" w:lineRule="exact"/>
        <w:rPr>
          <w:sz w:val="24"/>
          <w:szCs w:val="24"/>
          <w:color w:val="auto"/>
        </w:rPr>
      </w:pPr>
    </w:p>
    <w:p>
      <w:pPr>
        <w:ind w:left="600" w:right="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44" w:lineRule="exact"/>
        <w:rPr>
          <w:sz w:val="24"/>
          <w:szCs w:val="24"/>
          <w:color w:val="auto"/>
        </w:rPr>
      </w:pPr>
    </w:p>
    <w:p>
      <w:pPr>
        <w:ind w:left="600" w:right="240" w:hanging="4"/>
        <w:spacing w:after="0" w:line="267" w:lineRule="auto"/>
        <w:tabs>
          <w:tab w:leader="none" w:pos="700"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40" w:lineRule="exact"/>
        <w:rPr>
          <w:sz w:val="24"/>
          <w:szCs w:val="24"/>
          <w:color w:val="auto"/>
        </w:rPr>
      </w:pPr>
    </w:p>
    <w:p>
      <w:pPr>
        <w:ind w:left="600" w:right="40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190500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CUSIP No. 62942 X 306 (Class A common stock); 62942 X 405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040" w:right="7600" w:hanging="646"/>
        <w:spacing w:after="0" w:line="342"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 NRG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27940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1040" w:hanging="646"/>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1270635</wp:posOffset>
            </wp:positionH>
            <wp:positionV relativeFrom="paragraph">
              <wp:posOffset>40640</wp:posOffset>
            </wp:positionV>
            <wp:extent cx="5942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-215900</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040" w:hanging="646"/>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92075</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1040" w:hanging="646"/>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680"/>
          </w:cols>
          <w:pgMar w:left="300" w:top="463" w:right="919" w:bottom="45" w:gutter="0" w:footer="0" w:header="0"/>
        </w:sectPr>
      </w:pPr>
    </w:p>
    <w:bookmarkStart w:id="1" w:name="page2"/>
    <w:bookmarkEnd w:id="1"/>
    <w:p>
      <w:pPr>
        <w:spacing w:after="0" w:line="52" w:lineRule="exact"/>
        <w:rPr>
          <w:sz w:val="20"/>
          <w:szCs w:val="20"/>
          <w:color w:val="auto"/>
        </w:rPr>
      </w:pPr>
    </w:p>
    <w:p>
      <w:pPr>
        <w:ind w:left="460"/>
        <w:spacing w:after="0"/>
        <w:tabs>
          <w:tab w:leader="none" w:pos="1080" w:val="left"/>
          <w:tab w:leader="none" w:pos="730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99060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00" w:right="7640" w:hanging="646"/>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57150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91" w:orient="portrait"/>
          <w:cols w:equalWidth="0" w:num="1">
            <w:col w:w="11360"/>
          </w:cols>
          <w:pgMar w:left="240" w:top="382"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380" w:type="dxa"/>
            <w:vAlign w:val="bottom"/>
          </w:tcPr>
          <w:p>
            <w:pPr>
              <w:spacing w:after="0"/>
              <w:rPr>
                <w:sz w:val="18"/>
                <w:szCs w:val="18"/>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91" w:orient="portrait"/>
          <w:cols w:equalWidth="0" w:num="2">
            <w:col w:w="1620" w:space="420"/>
            <w:col w:w="9320"/>
          </w:cols>
          <w:pgMar w:left="240" w:top="382" w:right="299" w:bottom="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2040" w:right="7460" w:hanging="506"/>
        <w:spacing w:after="0" w:line="277" w:lineRule="auto"/>
        <w:tabs>
          <w:tab w:leader="none" w:pos="2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57150</wp:posOffset>
            </wp:positionV>
            <wp:extent cx="5994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00" w:right="5460" w:hanging="646"/>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57150</wp:posOffset>
            </wp:positionV>
            <wp:extent cx="6586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92075</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right="7240" w:hanging="646"/>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in Row (11) 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00" w:hanging="646"/>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83185</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-654050</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Amendment No. 4 (this “Amendment”) amends and supplements the Schedule 13D originally filed with the Securities and Exchange Commission on August 1, 2013, by NRG Energy, Inc. (the “Reporting Person”), as amended by the Schedule 13D/A filed with the Securities and Exchange Commission on February 10, 2015, as further amended by the Schedule 13D/A filed with the Securities and Exchange Commission on May 14, 2015 and as further amended by the Schedule 13D/A filed with the Securities and Exchange Commission on February 6, 2018. Capitalized terms used but not otherwise defined in this Amendment shall have the meanings ascribed to such terms in the Schedule 13D. Except as otherwise provided herein, each Item of the Schedule 13D remains unchanged.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by adding the following:</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7"/>
          <w:szCs w:val="17"/>
          <w:color w:val="auto"/>
        </w:rPr>
        <w:t>February 6, 2018, the Reporting Person entered into a Purchase and Sale Agreement (the “Purchase Agreement”) with NRG Repowering Holdings LLC, a</w:t>
      </w:r>
      <w:r>
        <w:rPr>
          <w:rFonts w:ascii="Arial" w:cs="Arial" w:eastAsia="Arial" w:hAnsi="Arial"/>
          <w:sz w:val="18"/>
          <w:szCs w:val="18"/>
          <w:color w:val="auto"/>
        </w:rPr>
        <w:t xml:space="preserve"> </w:t>
      </w:r>
      <w:r>
        <w:rPr>
          <w:rFonts w:ascii="Arial" w:cs="Arial" w:eastAsia="Arial" w:hAnsi="Arial"/>
          <w:sz w:val="17"/>
          <w:szCs w:val="17"/>
          <w:color w:val="auto"/>
        </w:rPr>
        <w:t>wholly owned subsidiary of the Reporting Person (together with the Reporting Person, the “NRG Parties”), and GIP III Zephyr Acquisition Partners, a subsidiary of Global Infrastructure Management LLC (“GIP”), pursuant to which the NRG Parties agreed to sell to GIP one hundred percent (100%) of the outstanding membership interests of Zephyr Renewables LLC (the “Company”).</w:t>
      </w:r>
    </w:p>
    <w:p>
      <w:pPr>
        <w:spacing w:after="0" w:line="18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August 31, 2018, the NRG Parties completed the sale of the Company to GIP pursuant to the terms of the Purchase Agreement for an aggregate purchase price, payable in United States funds, of approximately one billion three hundred forty-seven million five hundred thousand dollars ($1,347,500,000) (the “Sale”).</w:t>
      </w:r>
    </w:p>
    <w:p>
      <w:pPr>
        <w:sectPr>
          <w:pgSz w:w="11900" w:h="16891" w:orient="portrait"/>
          <w:cols w:equalWidth="0" w:num="1">
            <w:col w:w="11360"/>
          </w:cols>
          <w:pgMar w:left="240" w:top="382" w:right="299" w:bottom="0" w:gutter="0" w:footer="0" w:header="0"/>
          <w:type w:val="continuous"/>
        </w:sectPr>
      </w:pPr>
    </w:p>
    <w:bookmarkStart w:id="2" w:name="page3"/>
    <w:bookmarkEnd w:id="2"/>
    <w:p>
      <w:pPr>
        <w:ind w:right="160"/>
        <w:spacing w:after="0" w:line="264" w:lineRule="auto"/>
        <w:rPr>
          <w:sz w:val="20"/>
          <w:szCs w:val="20"/>
          <w:color w:val="auto"/>
        </w:rPr>
      </w:pPr>
      <w:r>
        <w:rPr>
          <w:rFonts w:ascii="Arial" w:cs="Arial" w:eastAsia="Arial" w:hAnsi="Arial"/>
          <w:sz w:val="18"/>
          <w:szCs w:val="18"/>
          <w:color w:val="auto"/>
        </w:rPr>
        <w:t>At the time of the Sale, the Company owned (i) 100% of the Class B Common Stock and 100% of the Class D Common Stock of the Issuer and (ii) 100% of the Class B Units and 100% of the Class D Units of NRG Yield LLC. As a result, the Reporting Person no longer beneficially owns any shares of Class A Common Stock or Class C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Sections (a), (b), (c) and (e) of Item 5 are hereby amended and restated in their entirety to read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(b) As a result of the Sale, the Reporting Person no longer beneficially owns any shares of Class A Common Stock or Class C Common Stock.</w:t>
      </w:r>
    </w:p>
    <w:p>
      <w:pPr>
        <w:spacing w:after="0" w:line="23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Except as reported herein, the Reporting Person has not effected any transactions in the Class A Common Stock or Class C Common Stock during the past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60 days.</w:t>
      </w:r>
    </w:p>
    <w:p>
      <w:pPr>
        <w:spacing w:after="0" w:line="211" w:lineRule="exact"/>
        <w:rPr>
          <w:sz w:val="20"/>
          <w:szCs w:val="20"/>
          <w:color w:val="auto"/>
        </w:rPr>
      </w:pPr>
    </w:p>
    <w:p>
      <w:pPr>
        <w:ind w:right="580" w:firstLine="8"/>
        <w:spacing w:after="0" w:line="277" w:lineRule="auto"/>
        <w:tabs>
          <w:tab w:leader="none" w:pos="2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Reporting Person ceased to be the beneficial owner of more than 5% of each of the Class A Common Stock and the Class C Common Stock on August 31, 2018 in connection with the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7 is hereby amended and restated in its entirety to read as follows:</w:t>
      </w:r>
    </w:p>
    <w:p>
      <w:pPr>
        <w:spacing w:after="0" w:line="225" w:lineRule="exact"/>
        <w:rPr>
          <w:sz w:val="20"/>
          <w:szCs w:val="20"/>
          <w:color w:val="auto"/>
        </w:rPr>
      </w:pPr>
    </w:p>
    <w:p>
      <w:pPr>
        <w:ind w:left="340" w:right="160" w:hanging="332"/>
        <w:spacing w:after="0" w:line="27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and Sale Agreement, dated as of February 6, 2018, by and among NRG Energy, Inc. and NRG Repowering Holdings LLC, and GIP III Zephyr Acquisition Partners, L.P. (incorporated by reference to Exhibit 2.9 to the Reporting Person’s Annual Report on Form 10-K for the year ended December 31, 2017 (File No. 001-15891)).</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2" w:lineRule="exact"/>
        <w:rPr>
          <w:sz w:val="20"/>
          <w:szCs w:val="20"/>
          <w:color w:val="auto"/>
        </w:rPr>
      </w:pPr>
    </w:p>
    <w:p>
      <w:pPr>
        <w:ind w:left="660" w:right="120" w:hanging="328"/>
        <w:spacing w:after="0" w:line="227" w:lineRule="auto"/>
        <w:tabs>
          <w:tab w:leader="none" w:pos="651"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202" w:lineRule="exact"/>
        <w:rPr>
          <w:sz w:val="20"/>
          <w:szCs w:val="20"/>
          <w:color w:val="auto"/>
        </w:rPr>
      </w:pPr>
    </w:p>
    <w:p>
      <w:pPr>
        <w:ind w:left="660" w:right="4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filing excludes schedules pursuant to Item 601(b)(2) of Regulation S-K, which the Reporting Person agrees to furnish supplementary to the Securities and Exchange Commission upon request by the Commission.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31, 2018</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ENERGY,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Curci</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Brian Curci</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630"/>
              <w:spacing w:after="0"/>
              <w:rPr>
                <w:sz w:val="20"/>
                <w:szCs w:val="20"/>
                <w:color w:val="auto"/>
              </w:rPr>
            </w:pPr>
            <w:r>
              <w:rPr>
                <w:rFonts w:ascii="Arial" w:cs="Arial" w:eastAsia="Arial" w:hAnsi="Arial"/>
                <w:sz w:val="18"/>
                <w:szCs w:val="18"/>
                <w:color w:val="auto"/>
              </w:rPr>
              <w:t>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lvl w:ilvl="1">
      <w:lvlJc w:val="left"/>
      <w:lvlText w:val="(%2)"/>
      <w:numFmt w:val="lowerLetter"/>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6"/>
      <w:numFmt w:val="bullet"/>
      <w:start w:val="1"/>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3"/>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5"/>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2019-12-08T05:24:34Z</dcterms:created>
  <dcterms:modified xsi:type="dcterms:W3CDTF">2019-12-08T05:24:34Z</dcterms:modified>
</cp:coreProperties>
</file>