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right"/>
        <w:ind w:right="659"/>
        <w:spacing w:after="0"/>
        <w:rPr>
          <w:sz w:val="20"/>
          <w:szCs w:val="20"/>
          <w:color w:val="auto"/>
        </w:rPr>
      </w:pPr>
      <w:r>
        <w:rPr>
          <w:rFonts w:ascii="Arial" w:cs="Arial" w:eastAsia="Arial" w:hAnsi="Arial"/>
          <w:sz w:val="18"/>
          <w:szCs w:val="18"/>
          <w:b w:val="1"/>
          <w:bCs w:val="1"/>
          <w:color w:val="auto"/>
        </w:rPr>
        <w:t>Filed Pursuant to Rule 424(b)(5)</w:t>
      </w:r>
    </w:p>
    <w:p>
      <w:pPr>
        <w:spacing w:after="0" w:line="50" w:lineRule="exact"/>
        <w:rPr>
          <w:sz w:val="24"/>
          <w:szCs w:val="24"/>
          <w:color w:val="auto"/>
        </w:rPr>
      </w:pPr>
    </w:p>
    <w:p>
      <w:pPr>
        <w:jc w:val="right"/>
        <w:ind w:right="659"/>
        <w:spacing w:after="0"/>
        <w:rPr>
          <w:sz w:val="20"/>
          <w:szCs w:val="20"/>
          <w:color w:val="auto"/>
        </w:rPr>
      </w:pPr>
      <w:r>
        <w:rPr>
          <w:rFonts w:ascii="Arial" w:cs="Arial" w:eastAsia="Arial" w:hAnsi="Arial"/>
          <w:sz w:val="18"/>
          <w:szCs w:val="18"/>
          <w:b w:val="1"/>
          <w:bCs w:val="1"/>
          <w:color w:val="auto"/>
        </w:rPr>
        <w:t>Registration No. 333-241652</w:t>
      </w:r>
    </w:p>
    <w:p>
      <w:pPr>
        <w:spacing w:after="0" w:line="225"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802005</wp:posOffset>
            </wp:positionH>
            <wp:positionV relativeFrom="paragraph">
              <wp:posOffset>257175</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274320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320" w:type="dxa"/>
            <w:vAlign w:val="bottom"/>
          </w:tcPr>
          <w:p>
            <w:pPr>
              <w:jc w:val="center"/>
              <w:ind w:left="802"/>
              <w:spacing w:after="0"/>
              <w:rPr>
                <w:sz w:val="20"/>
                <w:szCs w:val="20"/>
                <w:color w:val="auto"/>
              </w:rPr>
            </w:pPr>
            <w:r>
              <w:rPr>
                <w:rFonts w:ascii="Arial" w:cs="Arial" w:eastAsia="Arial" w:hAnsi="Arial"/>
                <w:sz w:val="14"/>
                <w:szCs w:val="14"/>
                <w:b w:val="1"/>
                <w:bCs w:val="1"/>
                <w:color w:val="auto"/>
                <w:w w:val="89"/>
              </w:rPr>
              <w:t>Proposed maximum</w:t>
            </w:r>
          </w:p>
        </w:tc>
        <w:tc>
          <w:tcPr>
            <w:tcW w:w="1160" w:type="dxa"/>
            <w:vAlign w:val="bottom"/>
          </w:tcPr>
          <w:p>
            <w:pPr>
              <w:jc w:val="center"/>
              <w:ind w:left="2"/>
              <w:spacing w:after="0"/>
              <w:rPr>
                <w:sz w:val="20"/>
                <w:szCs w:val="20"/>
                <w:color w:val="auto"/>
              </w:rPr>
            </w:pPr>
            <w:r>
              <w:rPr>
                <w:rFonts w:ascii="Arial" w:cs="Arial" w:eastAsia="Arial" w:hAnsi="Arial"/>
                <w:sz w:val="14"/>
                <w:szCs w:val="14"/>
                <w:b w:val="1"/>
                <w:bCs w:val="1"/>
                <w:color w:val="auto"/>
                <w:w w:val="91"/>
              </w:rPr>
              <w:t>Amount of</w:t>
            </w:r>
          </w:p>
        </w:tc>
      </w:tr>
      <w:tr>
        <w:trPr>
          <w:trHeight w:val="229"/>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2320" w:type="dxa"/>
            <w:vAlign w:val="bottom"/>
            <w:tcBorders>
              <w:bottom w:val="single" w:sz="8" w:color="auto"/>
            </w:tcBorders>
          </w:tcPr>
          <w:p>
            <w:pPr>
              <w:jc w:val="center"/>
              <w:ind w:left="842"/>
              <w:spacing w:after="0"/>
              <w:rPr>
                <w:sz w:val="20"/>
                <w:szCs w:val="20"/>
                <w:color w:val="auto"/>
              </w:rPr>
            </w:pPr>
            <w:r>
              <w:rPr>
                <w:rFonts w:ascii="Arial" w:cs="Arial" w:eastAsia="Arial" w:hAnsi="Arial"/>
                <w:sz w:val="14"/>
                <w:szCs w:val="14"/>
                <w:b w:val="1"/>
                <w:bCs w:val="1"/>
                <w:color w:val="auto"/>
                <w:w w:val="89"/>
              </w:rPr>
              <w:t>offering price</w:t>
            </w:r>
          </w:p>
        </w:tc>
        <w:tc>
          <w:tcPr>
            <w:tcW w:w="1160" w:type="dxa"/>
            <w:vAlign w:val="bottom"/>
            <w:tcBorders>
              <w:bottom w:val="single" w:sz="8" w:color="auto"/>
            </w:tcBorders>
          </w:tcPr>
          <w:p>
            <w:pPr>
              <w:jc w:val="center"/>
              <w:ind w:left="42"/>
              <w:spacing w:after="0" w:line="230" w:lineRule="exact"/>
              <w:rPr>
                <w:sz w:val="20"/>
                <w:szCs w:val="20"/>
                <w:color w:val="auto"/>
              </w:rPr>
            </w:pPr>
            <w:r>
              <w:rPr>
                <w:rFonts w:ascii="Arial" w:cs="Arial" w:eastAsia="Arial" w:hAnsi="Arial"/>
                <w:sz w:val="14"/>
                <w:szCs w:val="14"/>
                <w:b w:val="1"/>
                <w:bCs w:val="1"/>
                <w:color w:val="auto"/>
                <w:w w:val="84"/>
              </w:rPr>
              <w:t>registration fee</w:t>
            </w:r>
            <w:r>
              <w:rPr>
                <w:rFonts w:ascii="Arial" w:cs="Arial" w:eastAsia="Arial" w:hAnsi="Arial"/>
                <w:sz w:val="21"/>
                <w:szCs w:val="21"/>
                <w:b w:val="1"/>
                <w:bCs w:val="1"/>
                <w:color w:val="auto"/>
                <w:w w:val="84"/>
                <w:vertAlign w:val="superscript"/>
              </w:rPr>
              <w:t>(1)</w:t>
            </w:r>
          </w:p>
        </w:tc>
      </w:tr>
      <w:tr>
        <w:trPr>
          <w:trHeight w:val="257"/>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C common stock, par value $0.01 per share</w:t>
            </w:r>
          </w:p>
        </w:tc>
        <w:tc>
          <w:tcPr>
            <w:tcW w:w="2320" w:type="dxa"/>
            <w:vAlign w:val="bottom"/>
            <w:tcBorders>
              <w:bottom w:val="single" w:sz="8" w:color="auto"/>
            </w:tcBorders>
            <w:shd w:val="clear" w:color="auto" w:fill="CCEEFF"/>
          </w:tcPr>
          <w:p>
            <w:pPr>
              <w:jc w:val="center"/>
              <w:ind w:left="822"/>
              <w:spacing w:after="0"/>
              <w:rPr>
                <w:sz w:val="20"/>
                <w:szCs w:val="20"/>
                <w:color w:val="auto"/>
              </w:rPr>
            </w:pPr>
            <w:r>
              <w:rPr>
                <w:rFonts w:ascii="Arial" w:cs="Arial" w:eastAsia="Arial" w:hAnsi="Arial"/>
                <w:sz w:val="18"/>
                <w:szCs w:val="18"/>
                <w:color w:val="auto"/>
                <w:w w:val="88"/>
              </w:rPr>
              <w:t>$ 150,000,000</w:t>
            </w:r>
          </w:p>
        </w:tc>
        <w:tc>
          <w:tcPr>
            <w:tcW w:w="1160" w:type="dxa"/>
            <w:vAlign w:val="bottom"/>
            <w:tcBorders>
              <w:bottom w:val="single" w:sz="8" w:color="auto"/>
            </w:tcBorders>
            <w:shd w:val="clear" w:color="auto" w:fill="CCEEFF"/>
          </w:tcPr>
          <w:p>
            <w:pPr>
              <w:jc w:val="center"/>
              <w:ind w:left="42"/>
              <w:spacing w:after="0"/>
              <w:rPr>
                <w:sz w:val="20"/>
                <w:szCs w:val="20"/>
                <w:color w:val="auto"/>
              </w:rPr>
            </w:pPr>
            <w:r>
              <w:rPr>
                <w:rFonts w:ascii="Arial" w:cs="Arial" w:eastAsia="Arial" w:hAnsi="Arial"/>
                <w:sz w:val="18"/>
                <w:szCs w:val="18"/>
                <w:color w:val="auto"/>
                <w:w w:val="92"/>
              </w:rPr>
              <w:t>$19,470</w:t>
            </w:r>
          </w:p>
        </w:tc>
      </w:tr>
    </w:tbl>
    <w:p>
      <w:pPr>
        <w:spacing w:after="0" w:line="26" w:lineRule="exact"/>
        <w:rPr>
          <w:sz w:val="24"/>
          <w:szCs w:val="24"/>
          <w:color w:val="auto"/>
        </w:rPr>
      </w:pPr>
    </w:p>
    <w:p>
      <w:pPr>
        <w:ind w:left="1620" w:right="1299" w:hanging="358"/>
        <w:spacing w:after="0" w:line="277"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457(o) and Rule 457(r) under the Securities Act of 1933, as amended, based on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6520815</wp:posOffset>
            </wp:positionV>
            <wp:extent cx="68065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Prospectus Supplement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Prospectus dated 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211455</wp:posOffset>
            </wp:positionV>
            <wp:extent cx="3780155" cy="840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8015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00"/>
        <w:spacing w:after="0"/>
        <w:rPr>
          <w:sz w:val="20"/>
          <w:szCs w:val="20"/>
          <w:color w:val="auto"/>
        </w:rPr>
      </w:pPr>
      <w:r>
        <w:rPr>
          <w:rFonts w:ascii="Arial" w:cs="Arial" w:eastAsia="Arial" w:hAnsi="Arial"/>
          <w:sz w:val="32"/>
          <w:szCs w:val="32"/>
          <w:b w:val="1"/>
          <w:bCs w:val="1"/>
          <w:color w:val="auto"/>
        </w:rPr>
        <w:t>Clearway Energy, Inc.</w:t>
      </w:r>
    </w:p>
    <w:p>
      <w:pPr>
        <w:spacing w:after="0" w:line="115" w:lineRule="exact"/>
        <w:rPr>
          <w:sz w:val="20"/>
          <w:szCs w:val="20"/>
          <w:color w:val="auto"/>
        </w:rPr>
      </w:pPr>
    </w:p>
    <w:p>
      <w:pPr>
        <w:ind w:left="1500"/>
        <w:spacing w:after="0"/>
        <w:rPr>
          <w:sz w:val="20"/>
          <w:szCs w:val="20"/>
          <w:color w:val="auto"/>
        </w:rPr>
      </w:pPr>
      <w:r>
        <w:rPr>
          <w:rFonts w:ascii="Arial" w:cs="Arial" w:eastAsia="Arial" w:hAnsi="Arial"/>
          <w:sz w:val="24"/>
          <w:szCs w:val="24"/>
          <w:color w:val="auto"/>
        </w:rPr>
        <w:t>Up to $150,000,000 Aggregate Offering Price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127000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8" w:lineRule="exact"/>
        <w:rPr>
          <w:sz w:val="20"/>
          <w:szCs w:val="20"/>
          <w:color w:val="auto"/>
        </w:rPr>
      </w:pPr>
    </w:p>
    <w:p>
      <w:pPr>
        <w:ind w:left="1260" w:right="719" w:firstLine="360"/>
        <w:spacing w:after="0" w:line="227" w:lineRule="auto"/>
        <w:rPr>
          <w:sz w:val="20"/>
          <w:szCs w:val="20"/>
          <w:color w:val="auto"/>
        </w:rPr>
      </w:pPr>
      <w:r>
        <w:rPr>
          <w:rFonts w:ascii="Arial" w:cs="Arial" w:eastAsia="Arial" w:hAnsi="Arial"/>
          <w:sz w:val="18"/>
          <w:szCs w:val="18"/>
          <w:color w:val="auto"/>
        </w:rPr>
        <w:t>We have entered into an equity distribution agreement with Credit Suisse Securities (USA) LLC, Goldman Sachs &amp; Co. LLC, Morgan Stanley &amp; Co. LLC and UBS Securities LLC, as sales agents, relating to the offer and sale from time to time of shares of our Class C common stock, par value $0.01 per share (“Class C common stock”). In accordance with the terms of the equity distribution agreement, we may offer and sell shares of our Class C common stock having an aggregate offering price of up to $150,000,000 from time to time pursuant to a continuous equity offering program.</w:t>
      </w:r>
    </w:p>
    <w:p>
      <w:pPr>
        <w:spacing w:after="0" w:line="108" w:lineRule="exact"/>
        <w:rPr>
          <w:sz w:val="20"/>
          <w:szCs w:val="20"/>
          <w:color w:val="auto"/>
        </w:rPr>
      </w:pPr>
    </w:p>
    <w:p>
      <w:pPr>
        <w:ind w:left="1260" w:right="919" w:firstLine="360"/>
        <w:spacing w:after="0" w:line="235" w:lineRule="auto"/>
        <w:rPr>
          <w:sz w:val="20"/>
          <w:szCs w:val="20"/>
          <w:color w:val="auto"/>
        </w:rPr>
      </w:pPr>
      <w:r>
        <w:rPr>
          <w:rFonts w:ascii="Arial" w:cs="Arial" w:eastAsia="Arial" w:hAnsi="Arial"/>
          <w:sz w:val="18"/>
          <w:szCs w:val="18"/>
          <w:color w:val="auto"/>
        </w:rPr>
        <w:t>Our Class C common stock is listed on the New York Stock Exchange (“NYSE”) under the symbol “CWEN.” The last reported sale price of our Class C common stock on the NYSE on August 5, 2020 was $25.77 per share.</w:t>
      </w:r>
    </w:p>
    <w:p>
      <w:pPr>
        <w:spacing w:after="0" w:line="40" w:lineRule="exact"/>
        <w:rPr>
          <w:sz w:val="20"/>
          <w:szCs w:val="20"/>
          <w:color w:val="auto"/>
        </w:rPr>
      </w:pPr>
    </w:p>
    <w:p>
      <w:pPr>
        <w:ind w:left="1260" w:right="719" w:firstLine="360"/>
        <w:spacing w:after="0" w:line="237" w:lineRule="auto"/>
        <w:rPr>
          <w:sz w:val="20"/>
          <w:szCs w:val="20"/>
          <w:color w:val="auto"/>
        </w:rPr>
      </w:pPr>
      <w:r>
        <w:rPr>
          <w:rFonts w:ascii="Arial" w:cs="Arial" w:eastAsia="Arial" w:hAnsi="Arial"/>
          <w:sz w:val="17"/>
          <w:szCs w:val="17"/>
          <w:color w:val="auto"/>
        </w:rPr>
        <w:t>Sales of shares of our Class C common stock, if any, will be made by any method permitted by law and deemed to be an “at the market” offering as defined in Rule 415 under the Securities Act of 1933, as amended (the “Securities Act”), including by ordinary brokers’ transactions through the facilities of the NYSE, to or through a market maker or directly on or through an electronic communications network, at market prices prevailing at the time of sale, at prices related to prevailing market prices or at negotiated prices, in block transactions or as otherwise permitted by law. Sales of shares of our Class C common stock will be made by only one sales agent on any given day. The sales agents are not required to sell any specific number or dollar amount of shares of Class C common stock, but each will use its commercially reasonable efforts, as our agent and subject to the terms of the equity distribution agreement, to sell the shares of Class C common stock offered, as instructed by us.</w:t>
      </w:r>
    </w:p>
    <w:p>
      <w:pPr>
        <w:spacing w:after="0" w:line="54" w:lineRule="exact"/>
        <w:rPr>
          <w:sz w:val="20"/>
          <w:szCs w:val="20"/>
          <w:color w:val="auto"/>
        </w:rPr>
      </w:pPr>
    </w:p>
    <w:p>
      <w:pPr>
        <w:ind w:left="1260" w:right="1039" w:firstLine="360"/>
        <w:spacing w:after="0" w:line="274" w:lineRule="auto"/>
        <w:rPr>
          <w:sz w:val="20"/>
          <w:szCs w:val="20"/>
          <w:color w:val="auto"/>
        </w:rPr>
      </w:pPr>
      <w:r>
        <w:rPr>
          <w:rFonts w:ascii="Arial" w:cs="Arial" w:eastAsia="Arial" w:hAnsi="Arial"/>
          <w:sz w:val="17"/>
          <w:szCs w:val="17"/>
          <w:color w:val="auto"/>
        </w:rPr>
        <w:t>We will pay each sales agent an aggregate fee of up to 2.0% of the gross sales price of all shares of Class C common stock sold through such sales agent under the equity distribution agreement.</w:t>
      </w:r>
    </w:p>
    <w:p>
      <w:pPr>
        <w:spacing w:after="0" w:line="26" w:lineRule="exact"/>
        <w:rPr>
          <w:sz w:val="20"/>
          <w:szCs w:val="20"/>
          <w:color w:val="auto"/>
        </w:rPr>
      </w:pPr>
    </w:p>
    <w:p>
      <w:pPr>
        <w:ind w:left="1260" w:right="699" w:firstLine="360"/>
        <w:spacing w:after="0" w:line="225" w:lineRule="auto"/>
        <w:rPr>
          <w:sz w:val="20"/>
          <w:szCs w:val="20"/>
          <w:color w:val="auto"/>
        </w:rPr>
      </w:pPr>
      <w:r>
        <w:rPr>
          <w:rFonts w:ascii="Arial" w:cs="Arial" w:eastAsia="Arial" w:hAnsi="Arial"/>
          <w:sz w:val="18"/>
          <w:szCs w:val="18"/>
          <w:color w:val="auto"/>
        </w:rPr>
        <w:t>Under the terms of the equity distribution agreement, we may also sell shares of our Class C common stock to a sales agent as principal for its own account at a price agreed upon at the time of sale. If we sell shares of our Class C common stock to a sales agent as principal, we will enter into a separate terms agreement with such sales agent, and we will describe that agreement in a separate prospectus supplement or free writing prospectus. The offering of Class C common stock pursuant to the equity distribution agreement will terminate upon the earlier of (i) the sale of all shares of Class C common stock subject to the equity distribution agreement or (ii) the termination of the equity distribution agreement by us or by each of the sales agents.</w:t>
      </w:r>
    </w:p>
    <w:p>
      <w:pPr>
        <w:spacing w:after="0" w:line="41" w:lineRule="exact"/>
        <w:rPr>
          <w:sz w:val="20"/>
          <w:szCs w:val="20"/>
          <w:color w:val="auto"/>
        </w:rPr>
      </w:pPr>
    </w:p>
    <w:p>
      <w:pPr>
        <w:ind w:left="1260" w:right="759" w:firstLine="360"/>
        <w:spacing w:after="0" w:line="276" w:lineRule="auto"/>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Investing in our Class C common stock involves a high degree of risk. Please read “Risk Factors” beginning on page </w:t>
      </w:r>
      <w:hyperlink w:anchor="page12">
        <w:r>
          <w:rPr>
            <w:rFonts w:ascii="Arial" w:cs="Arial" w:eastAsia="Arial" w:hAnsi="Arial"/>
            <w:sz w:val="16"/>
            <w:szCs w:val="16"/>
            <w:i w:val="1"/>
            <w:iCs w:val="1"/>
            <w:u w:val="single" w:color="auto"/>
            <w:color w:val="0000EE"/>
          </w:rPr>
          <w:t>S-7</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i w:val="1"/>
          <w:iCs w:val="1"/>
          <w:color w:val="auto"/>
        </w:rPr>
        <w:t>of this prospectus supplement. You should also consider the risk factors described in the documents incorporated by reference in this prospectus supplement and the accompanying prospectus.</w:t>
      </w:r>
    </w:p>
    <w:p>
      <w:pPr>
        <w:spacing w:after="0" w:line="27" w:lineRule="exact"/>
        <w:rPr>
          <w:sz w:val="20"/>
          <w:szCs w:val="20"/>
          <w:color w:val="auto"/>
        </w:rPr>
      </w:pPr>
    </w:p>
    <w:p>
      <w:pPr>
        <w:ind w:left="1260" w:right="799" w:firstLine="360"/>
        <w:spacing w:after="0" w:line="253" w:lineRule="auto"/>
        <w:rPr>
          <w:sz w:val="20"/>
          <w:szCs w:val="20"/>
          <w:color w:val="auto"/>
        </w:rPr>
      </w:pPr>
      <w:r>
        <w:rPr>
          <w:rFonts w:ascii="Arial" w:cs="Arial" w:eastAsia="Arial" w:hAnsi="Arial"/>
          <w:sz w:val="17"/>
          <w:szCs w:val="17"/>
          <w:color w:val="auto"/>
        </w:rPr>
        <w:t>Neither the Securities and Exchange Commission nor any state securities commission has approved or disapproved of these securities or determined if this prospectus supplement and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130810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340" w:lineRule="exact"/>
        <w:rPr>
          <w:sz w:val="20"/>
          <w:szCs w:val="20"/>
          <w:color w:val="auto"/>
        </w:rPr>
      </w:pPr>
    </w:p>
    <w:p>
      <w:pPr>
        <w:jc w:val="center"/>
        <w:ind w:left="1780"/>
        <w:spacing w:after="0"/>
        <w:rPr>
          <w:sz w:val="20"/>
          <w:szCs w:val="20"/>
          <w:color w:val="auto"/>
        </w:rPr>
      </w:pPr>
      <w:r>
        <w:rPr>
          <w:rFonts w:ascii="Arial" w:cs="Arial" w:eastAsia="Arial" w:hAnsi="Arial"/>
          <w:sz w:val="32"/>
          <w:szCs w:val="32"/>
          <w:b w:val="1"/>
          <w:bCs w:val="1"/>
          <w:color w:val="auto"/>
        </w:rPr>
        <w:t>Credit Suisse</w:t>
      </w:r>
    </w:p>
    <w:p>
      <w:pPr>
        <w:spacing w:after="0" w:line="46" w:lineRule="exact"/>
        <w:rPr>
          <w:sz w:val="20"/>
          <w:szCs w:val="20"/>
          <w:color w:val="auto"/>
        </w:rPr>
      </w:pPr>
    </w:p>
    <w:p>
      <w:pPr>
        <w:jc w:val="center"/>
        <w:ind w:left="1780"/>
        <w:spacing w:after="0"/>
        <w:rPr>
          <w:sz w:val="20"/>
          <w:szCs w:val="20"/>
          <w:color w:val="auto"/>
        </w:rPr>
      </w:pPr>
      <w:r>
        <w:rPr>
          <w:rFonts w:ascii="Arial" w:cs="Arial" w:eastAsia="Arial" w:hAnsi="Arial"/>
          <w:sz w:val="28"/>
          <w:szCs w:val="28"/>
          <w:b w:val="1"/>
          <w:bCs w:val="1"/>
          <w:color w:val="auto"/>
        </w:rPr>
        <w:t>Morgan Stanley</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Goldman Sachs &amp; Co. LLC</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auto"/>
        </w:rPr>
        <w:t>UBS Investment Bank</w:t>
      </w:r>
    </w:p>
    <w:p>
      <w:pPr>
        <w:spacing w:after="0" w:line="118" w:lineRule="exact"/>
        <w:rPr>
          <w:sz w:val="20"/>
          <w:szCs w:val="20"/>
          <w:color w:val="auto"/>
        </w:rPr>
      </w:pPr>
    </w:p>
    <w:p>
      <w:pPr>
        <w:sectPr>
          <w:pgSz w:w="11900" w:h="16838" w:orient="portrait"/>
          <w:cols w:equalWidth="0" w:num="2">
            <w:col w:w="4760" w:space="720"/>
            <w:col w:w="4659"/>
          </w:cols>
          <w:pgMar w:left="320" w:top="131" w:right="1440" w:bottom="1440" w:gutter="0" w:footer="0" w:header="0"/>
          <w:type w:val="continuous"/>
        </w:sectPr>
      </w:pPr>
    </w:p>
    <w:p>
      <w:pPr>
        <w:ind w:left="3200"/>
        <w:spacing w:after="0"/>
        <w:rPr>
          <w:sz w:val="20"/>
          <w:szCs w:val="20"/>
          <w:color w:val="auto"/>
        </w:rPr>
      </w:pPr>
      <w:r>
        <w:rPr>
          <w:rFonts w:ascii="Arial" w:cs="Arial" w:eastAsia="Arial" w:hAnsi="Arial"/>
          <w:sz w:val="16"/>
          <w:szCs w:val="16"/>
          <w:color w:val="auto"/>
        </w:rPr>
        <w:t>The date of this prospectus supplement is 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243840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501015</wp:posOffset>
            </wp:positionV>
            <wp:extent cx="68065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560" w:type="dxa"/>
            <w:vAlign w:val="bottom"/>
          </w:tcPr>
          <w:p>
            <w:pPr>
              <w:ind w:left="26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PROSPECTUS SUPPLEMENT</w:t>
            </w: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8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 SUPPLEMENT AND THE ACCOMPANYING PROSPECTUS</w:t>
              </w:r>
            </w:hyperlink>
          </w:p>
        </w:tc>
        <w:tc>
          <w:tcPr>
            <w:tcW w:w="74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S-ii</w:t>
              </w:r>
            </w:hyperlink>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gridSpan w:val="3"/>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NOTICE TO INVESTORS</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S-ii</w:t>
              </w:r>
            </w:hyperlink>
          </w:p>
        </w:tc>
        <w:tc>
          <w:tcPr>
            <w:tcW w:w="0" w:type="dxa"/>
            <w:vAlign w:val="bottom"/>
          </w:tcPr>
          <w:p>
            <w:pPr>
              <w:spacing w:after="0"/>
              <w:rPr>
                <w:sz w:val="1"/>
                <w:szCs w:val="1"/>
                <w:color w:val="auto"/>
              </w:rPr>
            </w:pPr>
          </w:p>
        </w:tc>
      </w:tr>
      <w:tr>
        <w:trPr>
          <w:trHeight w:val="230"/>
        </w:trPr>
        <w:tc>
          <w:tcPr>
            <w:tcW w:w="7480" w:type="dxa"/>
            <w:vAlign w:val="bottom"/>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CAUTIONARY STATEMENT REGARDING FORWARD-LOOKING STATEMENTS</w:t>
              </w:r>
            </w:hyperlink>
          </w:p>
        </w:tc>
        <w:tc>
          <w:tcPr>
            <w:tcW w:w="74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S-iii</w:t>
              </w:r>
            </w:hyperlink>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gridSpan w:val="3"/>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S-1</w:t>
              </w:r>
            </w:hyperlink>
          </w:p>
        </w:tc>
        <w:tc>
          <w:tcPr>
            <w:tcW w:w="0" w:type="dxa"/>
            <w:vAlign w:val="bottom"/>
          </w:tcPr>
          <w:p>
            <w:pPr>
              <w:spacing w:after="0"/>
              <w:rPr>
                <w:sz w:val="1"/>
                <w:szCs w:val="1"/>
                <w:color w:val="auto"/>
              </w:rPr>
            </w:pPr>
          </w:p>
        </w:tc>
      </w:tr>
      <w:tr>
        <w:trPr>
          <w:trHeight w:val="229"/>
        </w:trPr>
        <w:tc>
          <w:tcPr>
            <w:tcW w:w="7480" w:type="dxa"/>
            <w:vAlign w:val="bottom"/>
            <w:gridSpan w:val="4"/>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THE OFFERING</w:t>
              </w:r>
            </w:hyperlink>
          </w:p>
        </w:tc>
        <w:tc>
          <w:tcPr>
            <w:tcW w:w="74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S-4</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gridSpan w:val="3"/>
            <w:shd w:val="clear" w:color="auto" w:fill="CCEEFF"/>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RISK FACTORS</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S-7</w:t>
              </w:r>
            </w:hyperlink>
          </w:p>
        </w:tc>
        <w:tc>
          <w:tcPr>
            <w:tcW w:w="0" w:type="dxa"/>
            <w:vAlign w:val="bottom"/>
          </w:tcPr>
          <w:p>
            <w:pPr>
              <w:spacing w:after="0"/>
              <w:rPr>
                <w:sz w:val="1"/>
                <w:szCs w:val="1"/>
                <w:color w:val="auto"/>
              </w:rPr>
            </w:pPr>
          </w:p>
        </w:tc>
      </w:tr>
      <w:tr>
        <w:trPr>
          <w:trHeight w:val="229"/>
        </w:trPr>
        <w:tc>
          <w:tcPr>
            <w:tcW w:w="7480" w:type="dxa"/>
            <w:vAlign w:val="bottom"/>
            <w:gridSpan w:val="4"/>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USE OF PROCEEDS</w:t>
              </w:r>
            </w:hyperlink>
          </w:p>
        </w:tc>
        <w:tc>
          <w:tcPr>
            <w:tcW w:w="740" w:type="dxa"/>
            <w:vAlign w:val="bottom"/>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S-9</w:t>
              </w:r>
            </w:hyperlink>
          </w:p>
        </w:tc>
        <w:tc>
          <w:tcPr>
            <w:tcW w:w="0" w:type="dxa"/>
            <w:vAlign w:val="bottom"/>
          </w:tcPr>
          <w:p>
            <w:pPr>
              <w:spacing w:after="0"/>
              <w:rPr>
                <w:sz w:val="1"/>
                <w:szCs w:val="1"/>
                <w:color w:val="auto"/>
              </w:rPr>
            </w:pPr>
          </w:p>
        </w:tc>
      </w:tr>
      <w:tr>
        <w:trPr>
          <w:trHeight w:val="203"/>
        </w:trPr>
        <w:tc>
          <w:tcPr>
            <w:tcW w:w="20" w:type="dxa"/>
            <w:vAlign w:val="bottom"/>
            <w:tcBorders>
              <w:bottom w:val="single" w:sz="8" w:color="0000EE"/>
            </w:tcBorders>
          </w:tcPr>
          <w:p>
            <w:pPr>
              <w:spacing w:after="0"/>
              <w:rPr>
                <w:sz w:val="17"/>
                <w:szCs w:val="17"/>
                <w:color w:val="auto"/>
              </w:rPr>
            </w:pPr>
          </w:p>
        </w:tc>
        <w:tc>
          <w:tcPr>
            <w:tcW w:w="7460" w:type="dxa"/>
            <w:vAlign w:val="bottom"/>
            <w:tcBorders>
              <w:bottom w:val="single" w:sz="8" w:color="0000EE"/>
            </w:tcBorders>
            <w:gridSpan w:val="3"/>
            <w:shd w:val="clear" w:color="auto" w:fill="CCEEFF"/>
          </w:tcPr>
          <w:p>
            <w:pPr>
              <w:spacing w:after="0" w:line="202"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MATERIAL U.S. FEDERAL INCOME TAX CONSIDERATIONS FOR NON-U.S. HOLDERS OF</w:t>
              </w:r>
            </w:hyperlink>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300" w:type="dxa"/>
            <w:vAlign w:val="bottom"/>
            <w:gridSpan w:val="2"/>
            <w:shd w:val="clear" w:color="auto" w:fill="CCEEFF"/>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OUR CLASS C COMMON STOCK</w:t>
              </w:r>
            </w:hyperlink>
          </w:p>
        </w:tc>
        <w:tc>
          <w:tcPr>
            <w:tcW w:w="740" w:type="dxa"/>
            <w:vAlign w:val="bottom"/>
            <w:shd w:val="clear" w:color="auto" w:fill="CCEEFF"/>
          </w:tcPr>
          <w:p>
            <w:pPr>
              <w:jc w:val="right"/>
              <w:spacing w:after="0" w:line="196" w:lineRule="exact"/>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S-10</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0000EE"/>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480" w:type="dxa"/>
            <w:vAlign w:val="bottom"/>
            <w:gridSpan w:val="4"/>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PLAN OF DISTRIBUTION</w:t>
              </w:r>
            </w:hyperlink>
          </w:p>
        </w:tc>
        <w:tc>
          <w:tcPr>
            <w:tcW w:w="74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S-14</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gridSpan w:val="3"/>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LEGAL MATTERS</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S-16</w:t>
              </w:r>
            </w:hyperlink>
          </w:p>
        </w:tc>
        <w:tc>
          <w:tcPr>
            <w:tcW w:w="0" w:type="dxa"/>
            <w:vAlign w:val="bottom"/>
          </w:tcPr>
          <w:p>
            <w:pPr>
              <w:spacing w:after="0"/>
              <w:rPr>
                <w:sz w:val="1"/>
                <w:szCs w:val="1"/>
                <w:color w:val="auto"/>
              </w:rPr>
            </w:pPr>
          </w:p>
        </w:tc>
      </w:tr>
      <w:tr>
        <w:trPr>
          <w:trHeight w:val="229"/>
        </w:trPr>
        <w:tc>
          <w:tcPr>
            <w:tcW w:w="7480" w:type="dxa"/>
            <w:vAlign w:val="bottom"/>
            <w:gridSpan w:val="4"/>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EXPERTS</w:t>
              </w:r>
            </w:hyperlink>
          </w:p>
        </w:tc>
        <w:tc>
          <w:tcPr>
            <w:tcW w:w="740" w:type="dxa"/>
            <w:vAlign w:val="bottom"/>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S-16</w:t>
              </w:r>
            </w:hyperlink>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60" w:type="dxa"/>
            <w:vAlign w:val="bottom"/>
            <w:gridSpan w:val="3"/>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WHERE YOU CAN FIND MORE INFORMATION</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S-16</w:t>
              </w:r>
            </w:hyperlink>
          </w:p>
        </w:tc>
        <w:tc>
          <w:tcPr>
            <w:tcW w:w="0" w:type="dxa"/>
            <w:vAlign w:val="bottom"/>
          </w:tcPr>
          <w:p>
            <w:pPr>
              <w:spacing w:after="0"/>
              <w:rPr>
                <w:sz w:val="1"/>
                <w:szCs w:val="1"/>
                <w:color w:val="auto"/>
              </w:rPr>
            </w:pPr>
          </w:p>
        </w:tc>
      </w:tr>
      <w:tr>
        <w:trPr>
          <w:trHeight w:val="270"/>
        </w:trPr>
        <w:tc>
          <w:tcPr>
            <w:tcW w:w="7480" w:type="dxa"/>
            <w:vAlign w:val="bottom"/>
            <w:gridSpan w:val="4"/>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INCORPORATION BY REFERENCE</w:t>
              </w:r>
            </w:hyperlink>
          </w:p>
        </w:tc>
        <w:tc>
          <w:tcPr>
            <w:tcW w:w="740" w:type="dxa"/>
            <w:vAlign w:val="bottom"/>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S-17</w:t>
              </w:r>
            </w:hyperlink>
          </w:p>
        </w:tc>
        <w:tc>
          <w:tcPr>
            <w:tcW w:w="0" w:type="dxa"/>
            <w:vAlign w:val="bottom"/>
          </w:tcPr>
          <w:p>
            <w:pPr>
              <w:spacing w:after="0"/>
              <w:rPr>
                <w:sz w:val="1"/>
                <w:szCs w:val="1"/>
                <w:color w:val="auto"/>
              </w:rPr>
            </w:pPr>
          </w:p>
        </w:tc>
      </w:tr>
      <w:tr>
        <w:trPr>
          <w:trHeight w:val="283"/>
        </w:trPr>
        <w:tc>
          <w:tcPr>
            <w:tcW w:w="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BASE PROSPECTUS</w:t>
            </w: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480" w:type="dxa"/>
            <w:vAlign w:val="bottom"/>
            <w:gridSpan w:val="4"/>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ABOUT THIS PROSPECTUS</w:t>
              </w:r>
            </w:hyperlink>
          </w:p>
        </w:tc>
        <w:tc>
          <w:tcPr>
            <w:tcW w:w="740" w:type="dxa"/>
            <w:vAlign w:val="bottom"/>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ii</w:t>
              </w:r>
            </w:hyperlink>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gridSpan w:val="3"/>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FORWARD-LOOKING STATEMENTS</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230"/>
        </w:trPr>
        <w:tc>
          <w:tcPr>
            <w:tcW w:w="7480" w:type="dxa"/>
            <w:vAlign w:val="bottom"/>
            <w:gridSpan w:val="4"/>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SUMMARY</w:t>
              </w:r>
            </w:hyperlink>
          </w:p>
        </w:tc>
        <w:tc>
          <w:tcPr>
            <w:tcW w:w="740" w:type="dxa"/>
            <w:vAlign w:val="bottom"/>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gridSpan w:val="3"/>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RISK FACTORS</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29"/>
        </w:trPr>
        <w:tc>
          <w:tcPr>
            <w:tcW w:w="7480" w:type="dxa"/>
            <w:vAlign w:val="bottom"/>
            <w:gridSpan w:val="4"/>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USE OF PROCEEDS</w:t>
              </w:r>
            </w:hyperlink>
          </w:p>
        </w:tc>
        <w:tc>
          <w:tcPr>
            <w:tcW w:w="740" w:type="dxa"/>
            <w:vAlign w:val="bottom"/>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gridSpan w:val="3"/>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DESCRIPTION OF CAPITAL STOCK</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229"/>
        </w:trPr>
        <w:tc>
          <w:tcPr>
            <w:tcW w:w="7480" w:type="dxa"/>
            <w:vAlign w:val="bottom"/>
            <w:gridSpan w:val="4"/>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DESCRIPTION OF DEBT SECURITIES</w:t>
              </w:r>
            </w:hyperlink>
          </w:p>
        </w:tc>
        <w:tc>
          <w:tcPr>
            <w:tcW w:w="740" w:type="dxa"/>
            <w:vAlign w:val="bottom"/>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12</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gridSpan w:val="3"/>
            <w:shd w:val="clear" w:color="auto" w:fill="CCEEFF"/>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PLAN OF DISTRIBUTION</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14</w:t>
              </w:r>
            </w:hyperlink>
          </w:p>
        </w:tc>
        <w:tc>
          <w:tcPr>
            <w:tcW w:w="0" w:type="dxa"/>
            <w:vAlign w:val="bottom"/>
          </w:tcPr>
          <w:p>
            <w:pPr>
              <w:spacing w:after="0"/>
              <w:rPr>
                <w:sz w:val="1"/>
                <w:szCs w:val="1"/>
                <w:color w:val="auto"/>
              </w:rPr>
            </w:pPr>
          </w:p>
        </w:tc>
      </w:tr>
      <w:tr>
        <w:trPr>
          <w:trHeight w:val="230"/>
        </w:trPr>
        <w:tc>
          <w:tcPr>
            <w:tcW w:w="7480" w:type="dxa"/>
            <w:vAlign w:val="bottom"/>
            <w:gridSpan w:val="4"/>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LEGAL MATTERS</w:t>
              </w:r>
            </w:hyperlink>
          </w:p>
        </w:tc>
        <w:tc>
          <w:tcPr>
            <w:tcW w:w="740" w:type="dxa"/>
            <w:vAlign w:val="bottom"/>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16</w:t>
              </w:r>
            </w:hyperlink>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60" w:type="dxa"/>
            <w:vAlign w:val="bottom"/>
            <w:gridSpan w:val="3"/>
            <w:shd w:val="clear" w:color="auto" w:fill="CCEEFF"/>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EXPERTS</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16</w:t>
              </w:r>
            </w:hyperlink>
          </w:p>
        </w:tc>
        <w:tc>
          <w:tcPr>
            <w:tcW w:w="0" w:type="dxa"/>
            <w:vAlign w:val="bottom"/>
          </w:tcPr>
          <w:p>
            <w:pPr>
              <w:spacing w:after="0"/>
              <w:rPr>
                <w:sz w:val="1"/>
                <w:szCs w:val="1"/>
                <w:color w:val="auto"/>
              </w:rPr>
            </w:pPr>
          </w:p>
        </w:tc>
      </w:tr>
      <w:tr>
        <w:trPr>
          <w:trHeight w:val="243"/>
        </w:trPr>
        <w:tc>
          <w:tcPr>
            <w:tcW w:w="7480" w:type="dxa"/>
            <w:vAlign w:val="bottom"/>
            <w:gridSpan w:val="4"/>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INCORPORATION BY REFERENCE OF CERTAIN INFORMATION</w:t>
              </w:r>
            </w:hyperlink>
          </w:p>
        </w:tc>
        <w:tc>
          <w:tcPr>
            <w:tcW w:w="740" w:type="dxa"/>
            <w:vAlign w:val="bottom"/>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16</w:t>
              </w:r>
            </w:hyperlink>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60" w:type="dxa"/>
            <w:vAlign w:val="bottom"/>
            <w:gridSpan w:val="3"/>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WHERE YOU CAN FIND MORE INFORMATION</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17</w:t>
              </w:r>
            </w:hyperlink>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260" w:right="699" w:firstLine="360"/>
        <w:spacing w:after="0" w:line="289" w:lineRule="auto"/>
        <w:rPr>
          <w:sz w:val="20"/>
          <w:szCs w:val="20"/>
          <w:color w:val="auto"/>
        </w:rPr>
      </w:pPr>
      <w:r>
        <w:rPr>
          <w:rFonts w:ascii="Arial" w:cs="Arial" w:eastAsia="Arial" w:hAnsi="Arial"/>
          <w:sz w:val="16"/>
          <w:szCs w:val="16"/>
          <w:b w:val="1"/>
          <w:bCs w:val="1"/>
          <w:color w:val="auto"/>
        </w:rPr>
        <w:t>We and the sales agents have not authorized anyone to provide any information other than that contained in this prospectus supplement and the accompanying prospectus or incorporated by reference in this prospectus supplement and the accompanying prospectus or in any free writing prospectus prepared by or on behalf of us to which we have referred you. We and the sales agents take no responsibility for, and can provide no assurance as to the reliability of, any other information that others may give you. We and the sales agents are not making an offer of these securities in any jurisdiction where the offer is not permitted. You should not assume that the information contained in this prospectus supplement and the accompanying prospectus or incorporated by reference in this prospectus supplement and the accompanying prospectus is accurate as of any date other than the date of such document. Our business, financial condition, results of operations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ABOUT THIS PROSPECTUS SUPPLEMENT AND THE ACCOMPANYING PROSPECTUS</w:t>
      </w:r>
    </w:p>
    <w:p>
      <w:pPr>
        <w:spacing w:after="0" w:line="148"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This document consists of two parts. The first part is the prospectus supplement, which describes the specific terms of sales of our Class C common stock made under this equity offering program and also adds to and updates the information contained or incorporated by reference in the accompanying prospectus. The second part is the accompanying prospectus, which describes more general information regarding our securities, some of which does not apply to the sales made under this equity offering program. You should read both this prospectus supplement and the accompanying prospectus, together with additional information described under the heading “Where You Can Find More Information” and “Incorporation by Reference” in this prospectus supplement and “Where You Can Find More Information” in the accompanying prospectus in their entirety before making an investment decision.</w:t>
      </w:r>
    </w:p>
    <w:p>
      <w:pPr>
        <w:spacing w:after="0" w:line="113"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If the information set forth in this prospectus supplement differs in any way from the information set forth in the accompanying prospectus or the information contained in any document incorporated by reference herein or therein, the information contained in the most recent document shall control. Unless the context otherwise requires or as otherwise expressly stated, references in this prospectus supplement to “the Company,” “we,” “us” and “our” and similar terms refer to Clearway Energy, Inc. (“Clearway Inc.”), together with its consolidated subsidiaries, including Clearway Energy LLC (“Clearway LLC”) and Clearway Energy Operating LLC (“Clearway Operating LLC”). References in this prospectus supplement to Clearway Inc. refer to Clearway Inc., and not any of its subsidiaries, unless the context otherwise requires. Unless the context otherwise requires or as otherwise indicated, references in this prospectus supplement to “CEG” refer to Clearway Energy Group LLC.</w:t>
      </w:r>
    </w:p>
    <w:p>
      <w:pPr>
        <w:spacing w:after="0" w:line="190"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NOTICE TO INVESTORS</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A number of our subsidiaries are “public utilities” (as defined in the Federal Power Act (“FPA”)) subject to the jurisdiction of the U.S. Federal Energy Regulatory Commission (“FERC”) because they own or operate FERC jurisdictional facilities, including certain generation interconnection facilities and various “paper” facilities, such as wholesale power sales contracts and market based rate tariffs. The FPA requires us either to obtain prior authorization from FERC prior to the transfer of an amount of our Class A common stock, par value $0.01 per share (“Class A common stock”) or Class C common stock sufficient to convey direct or indirect “control” over any of our public utility subsidiaries or to qualify for a blanket authorization granted under FERC’s regulations for certain types of transfers generally deemed by FERC not to convey direct or indirect “control.” We intend to conduct this equity offering program in a manner consistent with FERC’s guidance on “control” and the requirements for blanket authorizations granted under FERC’s regulations. Our Amended and Restated Certificate of Incorporation, as amended (our “Certificate of Incorporation”), prohibits any person and any of its affiliate companies in the aggregate, any “public utility” (as defined in the FPA) or any “holding company” (as defined in the Public Utility Holding Company Act of 2005) from acquiring, through this equity offering program or in subsequent purchases other than secondary market transactions (as discussed under “Business — Regulatory Matters — FERC” and “Business — Regulatory Matters” in our Annual Report on Form 10-K for the year ended December 31, 2019 filed on March 2, 2020, as amended by Amendment No. 1 thereto filed with the Securities and Exchange Commission (the “SEC”) on March 30, 2020 (as amended, our “2019 Annual Report”)), an amount of our Class A common stock or Class C common stock sufficient to convey direct or indirect “control” over any of our public utility subsidiaries without the prior written consent of our board of directors (our “Board”). For the purposes of this equity offering program, the transfer restriction would require board approval for any transfer of our Class A or Class C shares other than through secondary market transactions if, after such a transfer, a given investor, together with its affiliates, would hold 10% or more of our voting securities. Board approval would also be required if, after such a transfer, the sum of the following equals or exceeds 10%: (a) the percentage of our voting securities held by the investor and its affiliates (other than indirectly through interests in CEG), plus (b) the percentage of CEG's voting securities held by the investor and its affiliates, plus (c) the percentage of any of our public utility subsidiaries’ voting securities held by the investor and its affiliates (other than indirectly through interests in us and CEG). This prospectus supplement does not constitute an offer to sell any shares of our Class C common stock to any person in violation of these or any other provisions of our Certificate of Incorporation.</w:t>
      </w:r>
    </w:p>
    <w:p>
      <w:pPr>
        <w:spacing w:after="0" w:line="37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48" w:lineRule="exact"/>
        <w:rPr>
          <w:sz w:val="20"/>
          <w:szCs w:val="20"/>
          <w:color w:val="auto"/>
        </w:rPr>
      </w:pPr>
    </w:p>
    <w:p>
      <w:pPr>
        <w:ind w:left="1260" w:right="719" w:firstLine="360"/>
        <w:spacing w:after="0" w:line="251" w:lineRule="auto"/>
        <w:rPr>
          <w:rFonts w:ascii="Arial" w:cs="Arial" w:eastAsia="Arial" w:hAnsi="Arial"/>
          <w:sz w:val="17"/>
          <w:szCs w:val="17"/>
          <w:color w:val="0000EE"/>
        </w:rPr>
      </w:pPr>
      <w:r>
        <w:rPr>
          <w:rFonts w:ascii="Arial" w:cs="Arial" w:eastAsia="Arial" w:hAnsi="Arial"/>
          <w:sz w:val="17"/>
          <w:szCs w:val="17"/>
          <w:color w:val="auto"/>
        </w:rPr>
        <w:t xml:space="preserve">This prospectus supplement, the accompanying prospectus and the information incorporated into this prospectus supplement by reference contain forward-looking statements within the meaning of Section 27A of the Securities Act, and Section 21E of the Securities Exchange Act of 1934, as amended (the “Exchange Act”), which involve risks and uncertainties. All statements, other than statements of historical facts, that are included in or incorporated by reference into this prospectus supplement, the accompanying prospectus and the information incorporated into this prospectus supplement by reference, or made in presentations, in response to questions or otherwise, that address activities, events or developments that we expect or anticipate to occur in the future, including such matters as projections, capital allocation, future capital expenditures, business strategy, competitive strengths, goals, future acquisitions or dispositions, development or operation of power generation assets, market and industry developments and the growth of our business and operations (often, but not always, through the use of words or phrases such as “believes,” “plans,” “intends,” “will likely result,” “are expected to,” “will continue,” “is anticipated,” “estimated,” “projection,” “target,” “goal,” “objective,” “outlook” and similar expressions), are forward- looking statements. These factors, risks and uncertainties include the factors described elsewhere in this prospectus supplement, the accompanying prospectus and the information incorporated into this prospectus supplement by reference, under Item 1A — Risk Factors in Part I of the </w:t>
      </w:r>
      <w:hyperlink r:id="rId18">
        <w:r>
          <w:rPr>
            <w:rFonts w:ascii="Arial" w:cs="Arial" w:eastAsia="Arial" w:hAnsi="Arial"/>
            <w:sz w:val="17"/>
            <w:szCs w:val="17"/>
            <w:u w:val="single" w:color="auto"/>
            <w:color w:val="0000EE"/>
          </w:rPr>
          <w:t>2019 Annual Report</w:t>
        </w:r>
      </w:hyperlink>
      <w:r>
        <w:rPr>
          <w:rFonts w:ascii="Arial" w:cs="Arial" w:eastAsia="Arial" w:hAnsi="Arial"/>
          <w:sz w:val="17"/>
          <w:szCs w:val="17"/>
          <w:color w:val="auto"/>
        </w:rPr>
        <w:t xml:space="preserve">, and in Part II of the </w:t>
      </w:r>
      <w:hyperlink r:id="rId19">
        <w:r>
          <w:rPr>
            <w:rFonts w:ascii="Arial" w:cs="Arial" w:eastAsia="Arial" w:hAnsi="Arial"/>
            <w:sz w:val="17"/>
            <w:szCs w:val="17"/>
            <w:color w:val="auto"/>
          </w:rPr>
          <w:t xml:space="preserve">Quarterly Reports on Form 10-Q for the three months ended March 31, 2020 </w:t>
        </w:r>
        <w:r>
          <w:rPr>
            <w:rFonts w:ascii="Arial" w:cs="Arial" w:eastAsia="Arial" w:hAnsi="Arial"/>
            <w:sz w:val="17"/>
            <w:szCs w:val="17"/>
            <w:u w:val="single" w:color="auto"/>
            <w:color w:val="0000EE"/>
          </w:rPr>
          <w:t>(our “First Quarter Form 10-</w:t>
        </w:r>
      </w:hyperlink>
      <w:hyperlink r:id="rId19">
        <w:r>
          <w:rPr>
            <w:rFonts w:ascii="Arial" w:cs="Arial" w:eastAsia="Arial" w:hAnsi="Arial"/>
            <w:sz w:val="17"/>
            <w:szCs w:val="17"/>
            <w:u w:val="single" w:color="auto"/>
            <w:color w:val="0000EE"/>
          </w:rPr>
          <w:t>Q”)</w:t>
        </w:r>
        <w:r>
          <w:rPr>
            <w:rFonts w:ascii="Arial" w:cs="Arial" w:eastAsia="Arial" w:hAnsi="Arial"/>
            <w:sz w:val="17"/>
            <w:szCs w:val="17"/>
            <w:color w:val="0000EE"/>
          </w:rPr>
          <w:t xml:space="preserve"> </w:t>
        </w:r>
        <w:r>
          <w:rPr>
            <w:rFonts w:ascii="Arial" w:cs="Arial" w:eastAsia="Arial" w:hAnsi="Arial"/>
            <w:sz w:val="17"/>
            <w:szCs w:val="17"/>
            <w:color w:val="000000"/>
          </w:rPr>
          <w:t>and the three months ended June 30, 2020 (our “Second Quarter Form 10-Q”), each of which is</w:t>
        </w:r>
      </w:hyperlink>
      <w:r>
        <w:rPr>
          <w:rFonts w:ascii="Arial" w:cs="Arial" w:eastAsia="Arial" w:hAnsi="Arial"/>
          <w:sz w:val="17"/>
          <w:szCs w:val="17"/>
          <w:color w:val="0000EE"/>
        </w:rPr>
        <w:t xml:space="preserve"> </w:t>
      </w:r>
      <w:r>
        <w:rPr>
          <w:rFonts w:ascii="Arial" w:cs="Arial" w:eastAsia="Arial" w:hAnsi="Arial"/>
          <w:sz w:val="17"/>
          <w:szCs w:val="17"/>
          <w:color w:val="000000"/>
        </w:rPr>
        <w:t>incorporated in this prospectus supplement by reference, as well as the following:</w:t>
      </w:r>
    </w:p>
    <w:p>
      <w:pPr>
        <w:spacing w:after="0" w:line="71" w:lineRule="exact"/>
        <w:rPr>
          <w:rFonts w:ascii="Arial" w:cs="Arial" w:eastAsia="Arial" w:hAnsi="Arial"/>
          <w:sz w:val="17"/>
          <w:szCs w:val="17"/>
          <w:color w:val="auto"/>
        </w:rPr>
      </w:pPr>
    </w:p>
    <w:p>
      <w:pPr>
        <w:ind w:left="1800" w:hanging="178"/>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the Pacific Gas and Electric Company bankruptcy;</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and grow our quarterly dividend;</w:t>
      </w:r>
    </w:p>
    <w:p>
      <w:pPr>
        <w:spacing w:after="0" w:line="103" w:lineRule="exact"/>
        <w:rPr>
          <w:rFonts w:ascii="Arial" w:cs="Arial" w:eastAsia="Arial" w:hAnsi="Arial"/>
          <w:sz w:val="18"/>
          <w:szCs w:val="18"/>
          <w:color w:val="auto"/>
        </w:rPr>
      </w:pPr>
    </w:p>
    <w:p>
      <w:pPr>
        <w:ind w:left="1800" w:right="779" w:hanging="17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our relationships with Global Infrastructure Investors III, LLC (“GIP”) and CEG, including our ability to acquire assets from GIP or CEG;</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COVID-19 or any other pandemic;</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identify, evaluate and consummate acquisitions from third parties;</w:t>
      </w:r>
    </w:p>
    <w:p>
      <w:pPr>
        <w:spacing w:after="0" w:line="117"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additional capital due to our indebtedness, corporate structure, market conditions or otherwise;</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117" w:lineRule="exact"/>
        <w:rPr>
          <w:rFonts w:ascii="Arial" w:cs="Arial" w:eastAsia="Arial" w:hAnsi="Arial"/>
          <w:sz w:val="18"/>
          <w:szCs w:val="18"/>
          <w:color w:val="auto"/>
        </w:rPr>
      </w:pPr>
    </w:p>
    <w:p>
      <w:pPr>
        <w:ind w:left="1800" w:right="919" w:hanging="178"/>
        <w:spacing w:after="0" w:line="272" w:lineRule="auto"/>
        <w:tabs>
          <w:tab w:leader="none" w:pos="1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w:t>
      </w:r>
    </w:p>
    <w:p>
      <w:pPr>
        <w:spacing w:after="0" w:line="69" w:lineRule="exact"/>
        <w:rPr>
          <w:rFonts w:ascii="Arial" w:cs="Arial" w:eastAsia="Arial" w:hAnsi="Arial"/>
          <w:sz w:val="17"/>
          <w:szCs w:val="17"/>
          <w:color w:val="auto"/>
        </w:rPr>
      </w:pPr>
    </w:p>
    <w:p>
      <w:pPr>
        <w:ind w:left="1800" w:right="779" w:hanging="178"/>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operate our businesses efficiently, manage maintenance capital expenditures and costs effectively, and generate earnings and cash flows from our asset-based businesses in relation to our debt and other obligations;</w:t>
      </w:r>
    </w:p>
    <w:p>
      <w:pPr>
        <w:spacing w:after="0" w:line="75" w:lineRule="exact"/>
        <w:rPr>
          <w:rFonts w:ascii="Arial" w:cs="Arial" w:eastAsia="Arial" w:hAnsi="Arial"/>
          <w:sz w:val="18"/>
          <w:szCs w:val="18"/>
          <w:color w:val="auto"/>
        </w:rPr>
      </w:pPr>
    </w:p>
    <w:p>
      <w:pPr>
        <w:ind w:left="1800" w:right="1019" w:hanging="17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willingness and ability of counterparties to our offtake agreements to fulfill their obligations under such agreements;</w:t>
      </w:r>
    </w:p>
    <w:p>
      <w:pPr>
        <w:spacing w:after="0" w:line="48" w:lineRule="exact"/>
        <w:rPr>
          <w:rFonts w:ascii="Arial" w:cs="Arial" w:eastAsia="Arial" w:hAnsi="Arial"/>
          <w:sz w:val="18"/>
          <w:szCs w:val="18"/>
          <w:color w:val="auto"/>
        </w:rPr>
      </w:pPr>
    </w:p>
    <w:p>
      <w:pPr>
        <w:ind w:left="1800" w:right="939" w:hanging="17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enter into contracts to sell power and procure fuel on acceptable terms and prices as current offtake agreements expire;</w:t>
      </w:r>
    </w:p>
    <w:p>
      <w:pPr>
        <w:spacing w:after="0" w:line="62" w:lineRule="exact"/>
        <w:rPr>
          <w:rFonts w:ascii="Arial" w:cs="Arial" w:eastAsia="Arial" w:hAnsi="Arial"/>
          <w:sz w:val="18"/>
          <w:szCs w:val="18"/>
          <w:color w:val="auto"/>
        </w:rPr>
      </w:pPr>
    </w:p>
    <w:p>
      <w:pPr>
        <w:ind w:left="1800" w:right="899" w:hanging="17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Government regulation, including compliance with regulatory requirements and changes in market rules, rates, tariffs and environmental laws;</w:t>
      </w:r>
    </w:p>
    <w:p>
      <w:pPr>
        <w:spacing w:after="0" w:line="62" w:lineRule="exact"/>
        <w:rPr>
          <w:rFonts w:ascii="Arial" w:cs="Arial" w:eastAsia="Arial" w:hAnsi="Arial"/>
          <w:sz w:val="18"/>
          <w:szCs w:val="18"/>
          <w:color w:val="auto"/>
        </w:rPr>
      </w:pPr>
    </w:p>
    <w:p>
      <w:pPr>
        <w:ind w:left="1800" w:right="719" w:hanging="178"/>
        <w:spacing w:after="0" w:line="25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and financial restrictions placed on us that are contained in the project-level debt facilities and other agreements of certain subsidiaries and project-level subsidiaries generally, in the Clearway Operating LLC amended and restated revolving credit facility (the “Revolving Credit Facility”), in the indentures governing the $600.0 million aggregate principal amount of Clearway Operating LLC’s</w:t>
      </w:r>
    </w:p>
    <w:p>
      <w:pPr>
        <w:sectPr>
          <w:pgSz w:w="11900" w:h="16838" w:orient="portrait"/>
          <w:cols w:equalWidth="0" w:num="1">
            <w:col w:w="10139"/>
          </w:cols>
          <w:pgMar w:left="320" w:top="132" w:right="1440" w:bottom="1440" w:gutter="0" w:footer="0" w:header="0"/>
        </w:sectPr>
      </w:pPr>
    </w:p>
    <w:p>
      <w:pPr>
        <w:spacing w:after="0" w:line="363" w:lineRule="exact"/>
        <w:rPr>
          <w:rFonts w:ascii="Arial" w:cs="Arial" w:eastAsia="Arial" w:hAnsi="Arial"/>
          <w:sz w:val="17"/>
          <w:szCs w:val="17"/>
          <w:color w:val="auto"/>
        </w:rPr>
      </w:pPr>
    </w:p>
    <w:p>
      <w:pPr>
        <w:ind w:left="5180"/>
        <w:spacing w:after="0"/>
        <w:rPr>
          <w:sz w:val="20"/>
          <w:szCs w:val="20"/>
          <w:color w:val="auto"/>
        </w:rPr>
      </w:pPr>
      <w:r>
        <w:rPr>
          <w:rFonts w:ascii="Arial" w:cs="Arial" w:eastAsia="Arial" w:hAnsi="Arial"/>
          <w:sz w:val="18"/>
          <w:szCs w:val="18"/>
          <w:color w:val="auto"/>
        </w:rPr>
        <w:t>S-iii</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800" w:right="679"/>
        <w:spacing w:after="0" w:line="286" w:lineRule="auto"/>
        <w:rPr>
          <w:sz w:val="20"/>
          <w:szCs w:val="20"/>
          <w:color w:val="auto"/>
        </w:rPr>
      </w:pPr>
      <w:r>
        <w:rPr>
          <w:rFonts w:ascii="Arial" w:cs="Arial" w:eastAsia="Arial" w:hAnsi="Arial"/>
          <w:sz w:val="17"/>
          <w:szCs w:val="17"/>
          <w:color w:val="auto"/>
        </w:rPr>
        <w:t>5.750% unsecured senior notes due 2025, the $350.0 million aggregate principal amount of Clearway Operating LLC’s 5.00% unsecured senior notes due 2026, and the $850.0 million aggregate principal amount of Clearway Operating LLC’s 4.750% unsecured senior notes due 2028;</w:t>
      </w:r>
    </w:p>
    <w:p>
      <w:pPr>
        <w:spacing w:after="0" w:line="57" w:lineRule="exact"/>
        <w:rPr>
          <w:sz w:val="20"/>
          <w:szCs w:val="20"/>
          <w:color w:val="auto"/>
        </w:rPr>
      </w:pPr>
    </w:p>
    <w:p>
      <w:pPr>
        <w:ind w:left="1800" w:right="899" w:hanging="178"/>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we may not have adequate insurance to cover losses resulting from such hazards or the inability of our insurers to provide coverage;</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engage in successful mergers and acquisitions activity; and</w:t>
      </w:r>
    </w:p>
    <w:p>
      <w:pPr>
        <w:spacing w:after="0" w:line="117" w:lineRule="exact"/>
        <w:rPr>
          <w:rFonts w:ascii="Arial" w:cs="Arial" w:eastAsia="Arial" w:hAnsi="Arial"/>
          <w:sz w:val="18"/>
          <w:szCs w:val="18"/>
          <w:color w:val="auto"/>
        </w:rPr>
      </w:pPr>
    </w:p>
    <w:p>
      <w:pPr>
        <w:ind w:left="1800" w:right="1419" w:hanging="178"/>
        <w:spacing w:after="0" w:line="308"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borrow additional funds and access capital markets, as well as our substantial indebtedness and the possibility that we may incur additional indebtedness going forward.</w:t>
      </w:r>
    </w:p>
    <w:p>
      <w:pPr>
        <w:spacing w:after="0" w:line="65" w:lineRule="exact"/>
        <w:rPr>
          <w:sz w:val="20"/>
          <w:szCs w:val="20"/>
          <w:color w:val="auto"/>
        </w:rPr>
      </w:pPr>
    </w:p>
    <w:p>
      <w:pPr>
        <w:ind w:left="1260" w:right="919" w:firstLine="360"/>
        <w:spacing w:after="0" w:line="275" w:lineRule="auto"/>
        <w:rPr>
          <w:sz w:val="20"/>
          <w:szCs w:val="20"/>
          <w:color w:val="auto"/>
        </w:rPr>
      </w:pPr>
      <w:r>
        <w:rPr>
          <w:rFonts w:ascii="Arial" w:cs="Arial" w:eastAsia="Arial" w:hAnsi="Arial"/>
          <w:sz w:val="17"/>
          <w:szCs w:val="17"/>
          <w:color w:val="auto"/>
        </w:rPr>
        <w:t>Any forward-looking statement speaks only as of the date on which it is made, and except as may be required by applicable law, we undertake no obligation to publicly update or revise any forward-looking statement, whether as a result of new information, future events or otherwise. Any forward-looking statements included in this prospectus supplement, the accompanying prospectus and the information incorporated into this prospectus supplement by reference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1280" w:right="699" w:firstLine="360"/>
        <w:spacing w:after="0" w:line="254" w:lineRule="auto"/>
        <w:rPr>
          <w:sz w:val="20"/>
          <w:szCs w:val="20"/>
          <w:color w:val="auto"/>
        </w:rPr>
      </w:pPr>
      <w:r>
        <w:rPr>
          <w:rFonts w:ascii="Arial" w:cs="Arial" w:eastAsia="Arial" w:hAnsi="Arial"/>
          <w:sz w:val="18"/>
          <w:szCs w:val="18"/>
          <w:i w:val="1"/>
          <w:iCs w:val="1"/>
          <w:color w:val="auto"/>
        </w:rPr>
        <w:t>This summary highlights information contained elsewhere in this prospectus supplement and the accompanying prospectus, or incorporated by reference in this prospectus supplement and the accompanying prospectus. As a result, this summary does not contain all of the information that may be important to you or that you should consider before investing in our Class C common stock. You should carefully read this entire prospectus supplement and the accompanying prospectus, together with all documents incorporated by reference herein and therein, which are described under “Where You Can Find More Information” and “Incorporation by Reference” in this prospectus supplement and under “Where You Can Find More Information” in the accompanying prospectus.</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About Clearway Energy, Inc.</w:t>
      </w:r>
    </w:p>
    <w:p>
      <w:pPr>
        <w:spacing w:after="0" w:line="162" w:lineRule="exact"/>
        <w:rPr>
          <w:sz w:val="20"/>
          <w:szCs w:val="20"/>
          <w:color w:val="auto"/>
        </w:rPr>
      </w:pPr>
    </w:p>
    <w:p>
      <w:pPr>
        <w:ind w:left="1280" w:right="659" w:firstLine="360"/>
        <w:spacing w:after="0" w:line="259" w:lineRule="auto"/>
        <w:rPr>
          <w:sz w:val="20"/>
          <w:szCs w:val="20"/>
          <w:color w:val="auto"/>
        </w:rPr>
      </w:pPr>
      <w:r>
        <w:rPr>
          <w:rFonts w:ascii="Arial" w:cs="Arial" w:eastAsia="Arial" w:hAnsi="Arial"/>
          <w:sz w:val="18"/>
          <w:szCs w:val="18"/>
          <w:color w:val="auto"/>
        </w:rPr>
        <w:t>We are a publicly-traded energy infrastructure investor in and owner of modern, sustainable and long-term contracted assets across North America. We are sponsored by GIP III Zephyr Acquisition Partners, L.P. through its portfolio company, CEG. GIP is an independent fund manager that invests in infrastructure assets in energy and transport sectors.</w:t>
      </w:r>
    </w:p>
    <w:p>
      <w:pPr>
        <w:spacing w:after="0" w:line="106" w:lineRule="exact"/>
        <w:rPr>
          <w:sz w:val="20"/>
          <w:szCs w:val="20"/>
          <w:color w:val="auto"/>
        </w:rPr>
      </w:pPr>
    </w:p>
    <w:p>
      <w:pPr>
        <w:ind w:left="1280" w:right="719" w:firstLine="360"/>
        <w:spacing w:after="0" w:line="270" w:lineRule="auto"/>
        <w:rPr>
          <w:sz w:val="20"/>
          <w:szCs w:val="20"/>
          <w:color w:val="auto"/>
        </w:rPr>
      </w:pPr>
      <w:r>
        <w:rPr>
          <w:rFonts w:ascii="Arial" w:cs="Arial" w:eastAsia="Arial" w:hAnsi="Arial"/>
          <w:sz w:val="17"/>
          <w:szCs w:val="17"/>
          <w:color w:val="auto"/>
        </w:rPr>
        <w:t>Our environmentally-sound asset portfolio includes over 5,991 Megawatts (“MW”) of wind, solar and natural gas-fired power generation facilities. Through this diversified and contracted portfolio, we endeavor to provide our investors with stable and growing dividend income. Substantially all of our generation assets are under long-term contractual arrangements for the output or capacity from these assets. We also own thermal infrastructure assets with an aggregate steam and chilled water capacity of 1,453 net megawatts thermal equivalent and electric generation capacity of 36 net MW. These thermal infrastructure assets provide steam, hot water and/or chilled water and, in some instances, electricity to commercial businesses, universities, hospitals and governmental units in multiple locations, principally through long-term contracts or pursuant to rates regulated by state utility commissions.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Organizational Structure</w:t>
      </w:r>
    </w:p>
    <w:p>
      <w:pPr>
        <w:spacing w:after="0" w:line="162" w:lineRule="exact"/>
        <w:rPr>
          <w:sz w:val="20"/>
          <w:szCs w:val="20"/>
          <w:color w:val="auto"/>
        </w:rPr>
      </w:pPr>
    </w:p>
    <w:p>
      <w:pPr>
        <w:ind w:left="1280" w:right="779" w:firstLine="360"/>
        <w:spacing w:after="0" w:line="277" w:lineRule="auto"/>
        <w:rPr>
          <w:sz w:val="20"/>
          <w:szCs w:val="20"/>
          <w:color w:val="auto"/>
        </w:rPr>
      </w:pPr>
      <w:r>
        <w:rPr>
          <w:rFonts w:ascii="Arial" w:cs="Arial" w:eastAsia="Arial" w:hAnsi="Arial"/>
          <w:sz w:val="18"/>
          <w:szCs w:val="18"/>
          <w:color w:val="auto"/>
        </w:rPr>
        <w:t>The following organizational chart summarizes certain relevant aspects of our organizational structure as of June 30, 2020:</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Summary of Risk Factors</w:t>
      </w:r>
    </w:p>
    <w:p>
      <w:pPr>
        <w:spacing w:after="0" w:line="162" w:lineRule="exact"/>
        <w:rPr>
          <w:sz w:val="20"/>
          <w:szCs w:val="20"/>
          <w:color w:val="auto"/>
        </w:rPr>
      </w:pPr>
    </w:p>
    <w:p>
      <w:pPr>
        <w:ind w:left="1280" w:right="719" w:firstLine="360"/>
        <w:spacing w:after="0" w:line="286" w:lineRule="auto"/>
        <w:rPr>
          <w:sz w:val="20"/>
          <w:szCs w:val="20"/>
          <w:color w:val="auto"/>
        </w:rPr>
      </w:pPr>
      <w:r>
        <w:rPr>
          <w:rFonts w:ascii="Arial" w:cs="Arial" w:eastAsia="Arial" w:hAnsi="Arial"/>
          <w:sz w:val="17"/>
          <w:szCs w:val="17"/>
          <w:color w:val="auto"/>
        </w:rPr>
        <w:t>You should read the “Risk Factors” sections in this prospectus supplement, in our 2019 Annual Report, our First Quarter Form 10-Q and our Second Quarter Form 10-Q for a discussion of the factors you should carefully consider before deciding to purchase any shares of Class C common stock.</w:t>
      </w:r>
    </w:p>
    <w:p>
      <w:pPr>
        <w:spacing w:after="0" w:line="16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1280" w:right="679" w:firstLine="360"/>
        <w:spacing w:after="0" w:line="253" w:lineRule="auto"/>
        <w:rPr>
          <w:sz w:val="20"/>
          <w:szCs w:val="20"/>
          <w:color w:val="auto"/>
        </w:rPr>
      </w:pPr>
      <w:r>
        <w:rPr>
          <w:rFonts w:ascii="Arial" w:cs="Arial" w:eastAsia="Arial" w:hAnsi="Arial"/>
          <w:sz w:val="18"/>
          <w:szCs w:val="18"/>
          <w:color w:val="auto"/>
        </w:rPr>
        <w:t>Our principal executive offices are located at Clearway Energy, Inc., 300 Carnegie Center, Suite 300, Princeton, New Jersey 08540. Our telephone number is (609) 608-1525. Our website is located at http://www.clearwayenergy.com. We make available our periodic reports and other information filed with or furnished to the SEC pursuant to Section 13(a) or 15(d) of the Exchange Act, free of charge, through our website, as soon as reasonably practicable after those reports and other information are electronically filed with or furnished to the SEC. Information on our website or any other website is not incorporated by reference into this prospectus supplement and does not constitute a part of this prospectus supplement. The SEC maintains a website at http://www.sec.gov that contains reports and other information regarding issuers that file electronically with the SEC.</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Class C common stock offered</w:t>
      </w:r>
    </w:p>
    <w:p>
      <w:pPr>
        <w:spacing w:after="0" w:line="12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Manner of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Up to $150,000,000 of our Class C common stock.</w:t>
      </w:r>
    </w:p>
    <w:p>
      <w:pPr>
        <w:spacing w:after="0" w:line="117" w:lineRule="exact"/>
        <w:rPr>
          <w:sz w:val="20"/>
          <w:szCs w:val="20"/>
          <w:color w:val="auto"/>
        </w:rPr>
      </w:pPr>
    </w:p>
    <w:p>
      <w:pPr>
        <w:jc w:val="both"/>
        <w:ind w:left="20" w:right="759"/>
        <w:spacing w:after="0" w:line="259" w:lineRule="auto"/>
        <w:rPr>
          <w:sz w:val="20"/>
          <w:szCs w:val="20"/>
          <w:color w:val="auto"/>
        </w:rPr>
      </w:pPr>
      <w:r>
        <w:rPr>
          <w:rFonts w:ascii="Arial" w:cs="Arial" w:eastAsia="Arial" w:hAnsi="Arial"/>
          <w:sz w:val="18"/>
          <w:szCs w:val="18"/>
          <w:color w:val="auto"/>
        </w:rPr>
        <w:t>“At-the-market” offering that may be made from time to time through the sales agents or to a sales agent as principal for its own account at a price agreed upon at the time of sale. Please read “Plan of Distribution.”</w:t>
      </w:r>
    </w:p>
    <w:p>
      <w:pPr>
        <w:spacing w:after="0" w:line="79" w:lineRule="exact"/>
        <w:rPr>
          <w:sz w:val="20"/>
          <w:szCs w:val="20"/>
          <w:color w:val="auto"/>
        </w:rPr>
      </w:pPr>
    </w:p>
    <w:p>
      <w:pPr>
        <w:sectPr>
          <w:pgSz w:w="11900" w:h="16838" w:orient="portrait"/>
          <w:cols w:equalWidth="0" w:num="2">
            <w:col w:w="4000" w:space="720"/>
            <w:col w:w="5419"/>
          </w:cols>
          <w:pgMar w:left="320" w:top="131" w:right="1440" w:bottom="1440" w:gutter="0" w:footer="0" w:header="0"/>
          <w:type w:val="continuous"/>
        </w:sectPr>
      </w:pPr>
    </w:p>
    <w:p>
      <w:pPr>
        <w:ind w:left="1280"/>
        <w:spacing w:after="0"/>
        <w:tabs>
          <w:tab w:leader="none" w:pos="47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intend to use the net proceeds from the sale of the Class C</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common stock for general corporate purposes, which may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include the repayment or refinancing of indebtedness and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funding of working capital, capital expenditures, acquisitions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and investments. Please read “Use of Proceeds.”</w:t>
      </w:r>
    </w:p>
    <w:p>
      <w:pPr>
        <w:spacing w:after="0" w:line="14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Affiliates of the sales agents are lenders under the Revolving</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Credit Facility. To the extent we use proceeds from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offering to repay any indebtedness under the Revolving Credit</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Facility, such affiliates will receive proceeds from this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offering. Please read “Plan of Distribution.”</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6"/>
          <w:szCs w:val="16"/>
          <w:color w:val="auto"/>
        </w:rPr>
        <w:t>Each share of our Class A common stock, and Class B</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common stock, par value $0.01 per share (“Class B common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stock”), entitles the holder thereof to one vote on all matters to</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be voted on by stockholders generally. Each share of our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Class C common stock and Class D common stock, par value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$0.01 per share (“Class D common stock”), entitles the holder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thereof to 1/100th of one vote on all matters to be voted on by</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stockholders generally. Holders of our shares of Class A</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common stock, Class B common stock, Class C common stock</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and Class D common stock vote together as a single class 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all matters presented to our stockholders for their vote or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approval, except as otherwise required by applicable law or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the listing requirements of any exchange on which shares of</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our common stock are listed. Except in respect of matters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relating to the election and removal of directors on our board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of directors and as otherwise provided in our Certificate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Incorporation or required by law, all matters to be voted on by</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holders of shares of our Class A common stock, Class B</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common stock, Class C common stock, and Class D common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stock must be approved by a majority, on a combined basis, of</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such shares present in person or by proxy at the meeting and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entitled to vote on the subject matter. In the case of election of</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directors, all matters to be voted on by our stockholders must</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be approved by a plurality of the votes entitled to be cast by</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all shares of our common stock on a combined basis. For a</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complete description of our capital stock, please read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“Description of Capital Stock” in the accompanying</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prospectus.</w:t>
      </w:r>
    </w:p>
    <w:p>
      <w:pPr>
        <w:spacing w:after="0" w:line="14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Through its indirect ownership of our Class B common stock</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and Class D common stock, GIP, through CEG, will hold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shares of our common stock having 54.90% of the combined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voting power of all of our common stock outstanding upon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completion of this offering (assuming 5,820,721 shares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Class C common stock are sold in this equity offering program</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based on the last reported sale price included on the cover of</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this prospectus supplement). As a result, GIP, through CEG,</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8130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5516245" cy="813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will continue to be able to exercise control over matters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requiring the approval of our stockholders, including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election of our directors and the approval of significant</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corporate transactions.</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Economic interest</w:t>
      </w:r>
      <w:r>
        <w:rPr>
          <w:sz w:val="20"/>
          <w:szCs w:val="20"/>
          <w:color w:val="auto"/>
        </w:rPr>
        <w:tab/>
      </w:r>
      <w:r>
        <w:rPr>
          <w:rFonts w:ascii="Arial" w:cs="Arial" w:eastAsia="Arial" w:hAnsi="Arial"/>
          <w:sz w:val="17"/>
          <w:szCs w:val="17"/>
          <w:color w:val="auto"/>
        </w:rPr>
        <w:t>Upon completion of this equity offering program, the holders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of our Class A common stock and Class C common stock will</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own in the aggregate an approximate 58.61% economic</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interest in our business through our ownership of Class A</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units and Class C units of Clearway LLC and GIP, through</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CEG, will own in the aggregate an approximate 41.39%</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economic interest in our business through its ownership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Class B units and Class D units of Clearway LLC (in each</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case, assuming 5,820,721 shares of Class C common stock are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sold in this equity offering program based on the last reported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sale price included on the cover of this prospectus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supplement).</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Exchange and registration rights</w:t>
      </w:r>
      <w:r>
        <w:rPr>
          <w:sz w:val="20"/>
          <w:szCs w:val="20"/>
          <w:color w:val="auto"/>
        </w:rPr>
        <w:tab/>
      </w:r>
      <w:r>
        <w:rPr>
          <w:rFonts w:ascii="Arial" w:cs="Arial" w:eastAsia="Arial" w:hAnsi="Arial"/>
          <w:sz w:val="17"/>
          <w:szCs w:val="17"/>
          <w:color w:val="auto"/>
        </w:rPr>
        <w:t>Each Class D unit of Clearway LLC is exchangeable for a</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share of our Class C common stock and each Class B unit of</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Clearway LLC is exchangeable for a share of our Class A</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common stock, in each case, subject to equitable adjustments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 stock splits, stock dividends and reclassifications in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accordance with the terms of the Amended and Restated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Exchange Agreement (as defined under “Description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Capital Stock — Fourth Amended and Restated Limited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Liability Company Agreement of Clearway LLC — Amended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and Restated Exchange Agreement” in the accompanying</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prospectus). When CEG exchanges a Class D unit of Clearway</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LLC for a share of our Class C common stock, we will</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automatically redeem and cancel a corresponding share of our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Class D common stock and the Class D unit will automatically</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convert into a Class C unit of Clearway LLC issued to us.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When CEG exchanges a Class B unit of Clearway LLC for a</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share of our Class A common stock, we will automatically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redeem and cancel a corresponding share of our Class B</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common stock and the Class B unit will automatically convert</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into a Class A unit of Clearway LLC issued to us.</w:t>
      </w:r>
    </w:p>
    <w:p>
      <w:pPr>
        <w:spacing w:after="0" w:line="13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Pursuant to a registration rights agreement that we have</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entered into with CEG, we agreed to file a registration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statement for the sale of the shares of our Class A common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stock and Class C common stock that are issuable upon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exchange of Class B units and Class D units, respectively, of</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Clearway LLC upon request and cause that registration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statement to be declared effective by the SEC as soon as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practicable thereafter.</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Cash dividends</w:t>
      </w:r>
      <w:r>
        <w:rPr>
          <w:sz w:val="20"/>
          <w:szCs w:val="20"/>
          <w:color w:val="auto"/>
        </w:rPr>
        <w:tab/>
      </w:r>
      <w:r>
        <w:rPr>
          <w:rFonts w:ascii="Arial" w:cs="Arial" w:eastAsia="Arial" w:hAnsi="Arial"/>
          <w:sz w:val="17"/>
          <w:szCs w:val="17"/>
          <w:color w:val="auto"/>
        </w:rPr>
        <w:t>We expect to pay a quarterly dividend on or about the 75th</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day following the expiration of each fiscal quarter to holders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of our Class A common stock and Class C common stock of</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record on or about the 60th day following the last day of such</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fiscal quarter. However, we do not have a legal obligation to</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declare or pay dividends at a specific quarterly dividend level</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or at all and our ability to pay the regular quarterly dividend is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subject to various restrictions and other factors.</w:t>
      </w:r>
    </w:p>
    <w:p>
      <w:pPr>
        <w:spacing w:after="0" w:line="14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On July 30, 2020, we declared a quarterly dividend of $0.3125</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per share ($1.25 per share annualized) on our outstanding</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60" w:right="280" w:hanging="179"/>
        <w:spacing w:after="0" w:line="263" w:lineRule="auto"/>
        <w:rPr>
          <w:sz w:val="20"/>
          <w:szCs w:val="20"/>
          <w:color w:val="auto"/>
        </w:rPr>
      </w:pPr>
      <w:r>
        <w:rPr>
          <w:rFonts w:ascii="Arial" w:cs="Arial" w:eastAsia="Arial" w:hAnsi="Arial"/>
          <w:sz w:val="18"/>
          <w:szCs w:val="18"/>
          <w:color w:val="auto"/>
        </w:rPr>
        <w:t>Material U.S. federal income tax considerations for non-U.S. 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59"/>
        <w:spacing w:after="0" w:line="263" w:lineRule="auto"/>
        <w:rPr>
          <w:sz w:val="20"/>
          <w:szCs w:val="20"/>
          <w:color w:val="auto"/>
        </w:rPr>
      </w:pPr>
      <w:r>
        <w:rPr>
          <w:rFonts w:ascii="Arial" w:cs="Arial" w:eastAsia="Arial" w:hAnsi="Arial"/>
          <w:sz w:val="18"/>
          <w:szCs w:val="18"/>
          <w:color w:val="auto"/>
        </w:rPr>
        <w:t>Class A common stock and Class C common stock, payable on September 15, 2020 to holders of record as of September 1, 2020.</w:t>
      </w:r>
    </w:p>
    <w:p>
      <w:pPr>
        <w:spacing w:after="0" w:line="200" w:lineRule="exact"/>
        <w:rPr>
          <w:sz w:val="20"/>
          <w:szCs w:val="20"/>
          <w:color w:val="auto"/>
        </w:rPr>
      </w:pPr>
    </w:p>
    <w:p>
      <w:pPr>
        <w:spacing w:after="0" w:line="308" w:lineRule="exact"/>
        <w:rPr>
          <w:sz w:val="20"/>
          <w:szCs w:val="20"/>
          <w:color w:val="auto"/>
        </w:rPr>
      </w:pPr>
    </w:p>
    <w:p>
      <w:pPr>
        <w:ind w:right="759"/>
        <w:spacing w:after="0" w:line="257" w:lineRule="auto"/>
        <w:rPr>
          <w:sz w:val="20"/>
          <w:szCs w:val="20"/>
          <w:color w:val="auto"/>
        </w:rPr>
      </w:pPr>
      <w:r>
        <w:rPr>
          <w:rFonts w:ascii="Arial" w:cs="Arial" w:eastAsia="Arial" w:hAnsi="Arial"/>
          <w:sz w:val="18"/>
          <w:szCs w:val="18"/>
          <w:color w:val="auto"/>
        </w:rPr>
        <w:t>For a discussion of the material U.S. federal income tax consequences that may be relevant to prospective investors who are non-U.S. holders, please read “Material U.S. Federal Income Tax Considerations for Non-U.S. Holders of our Class C Common Stock.”</w:t>
      </w:r>
    </w:p>
    <w:p>
      <w:pPr>
        <w:spacing w:after="0" w:line="80" w:lineRule="exact"/>
        <w:rPr>
          <w:sz w:val="20"/>
          <w:szCs w:val="20"/>
          <w:color w:val="auto"/>
        </w:rPr>
      </w:pPr>
    </w:p>
    <w:p>
      <w:pPr>
        <w:sectPr>
          <w:pgSz w:w="11900" w:h="16838" w:orient="portrait"/>
          <w:cols w:equalWidth="0" w:num="2">
            <w:col w:w="4020" w:space="720"/>
            <w:col w:w="5399"/>
          </w:cols>
          <w:pgMar w:left="320" w:top="132" w:right="1440" w:bottom="1440" w:gutter="0" w:footer="0" w:header="0"/>
          <w:type w:val="continuous"/>
        </w:sectPr>
      </w:pPr>
    </w:p>
    <w:p>
      <w:pPr>
        <w:ind w:left="1280"/>
        <w:spacing w:after="0"/>
        <w:tabs>
          <w:tab w:leader="none" w:pos="4720" w:val="left"/>
        </w:tabs>
        <w:rPr>
          <w:sz w:val="20"/>
          <w:szCs w:val="20"/>
          <w:color w:val="auto"/>
        </w:rPr>
      </w:pPr>
      <w:r>
        <w:rPr>
          <w:rFonts w:ascii="Arial" w:cs="Arial" w:eastAsia="Arial" w:hAnsi="Arial"/>
          <w:sz w:val="18"/>
          <w:szCs w:val="18"/>
          <w:color w:val="auto"/>
        </w:rPr>
        <w:t>Exchange listing</w:t>
      </w:r>
      <w:r>
        <w:rPr>
          <w:sz w:val="20"/>
          <w:szCs w:val="20"/>
          <w:color w:val="auto"/>
        </w:rPr>
        <w:tab/>
      </w:r>
      <w:r>
        <w:rPr>
          <w:rFonts w:ascii="Arial" w:cs="Arial" w:eastAsia="Arial" w:hAnsi="Arial"/>
          <w:sz w:val="16"/>
          <w:szCs w:val="16"/>
          <w:color w:val="auto"/>
        </w:rPr>
        <w:t>Our Class C common stock is traded on the NYSE under the</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symbol “CWEN.”</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699" w:firstLine="360"/>
        <w:spacing w:after="0" w:line="252" w:lineRule="auto"/>
        <w:rPr>
          <w:rFonts w:ascii="Arial" w:cs="Arial" w:eastAsia="Arial" w:hAnsi="Arial"/>
          <w:sz w:val="18"/>
          <w:szCs w:val="18"/>
          <w:i w:val="1"/>
          <w:iCs w:val="1"/>
          <w:color w:val="0000EE"/>
        </w:rPr>
      </w:pPr>
      <w:r>
        <w:rPr>
          <w:rFonts w:ascii="Arial" w:cs="Arial" w:eastAsia="Arial" w:hAnsi="Arial"/>
          <w:sz w:val="18"/>
          <w:szCs w:val="18"/>
          <w:i w:val="1"/>
          <w:iCs w:val="1"/>
          <w:color w:val="auto"/>
        </w:rPr>
        <w:t xml:space="preserve">An investment in our Class C common stock involves a high degree of risk. You should carefully read and consider the risk factors below, as well as the “Risk Factors” section in our </w:t>
      </w:r>
      <w:hyperlink r:id="rId18">
        <w:r>
          <w:rPr>
            <w:rFonts w:ascii="Arial" w:cs="Arial" w:eastAsia="Arial" w:hAnsi="Arial"/>
            <w:sz w:val="18"/>
            <w:szCs w:val="18"/>
            <w:i w:val="1"/>
            <w:iCs w:val="1"/>
            <w:u w:val="single" w:color="auto"/>
            <w:color w:val="0000EE"/>
          </w:rPr>
          <w:t>2019 Annual Report</w:t>
        </w:r>
      </w:hyperlink>
      <w:r>
        <w:rPr>
          <w:rFonts w:ascii="Arial" w:cs="Arial" w:eastAsia="Arial" w:hAnsi="Arial"/>
          <w:sz w:val="18"/>
          <w:szCs w:val="18"/>
          <w:i w:val="1"/>
          <w:iCs w:val="1"/>
          <w:color w:val="auto"/>
        </w:rPr>
        <w:t xml:space="preserve">, our </w:t>
      </w:r>
      <w:hyperlink r:id="rId19">
        <w:r>
          <w:rPr>
            <w:rFonts w:ascii="Arial" w:cs="Arial" w:eastAsia="Arial" w:hAnsi="Arial"/>
            <w:sz w:val="18"/>
            <w:szCs w:val="18"/>
            <w:i w:val="1"/>
            <w:iCs w:val="1"/>
            <w:u w:val="single" w:color="auto"/>
            <w:color w:val="0000EE"/>
          </w:rPr>
          <w:t>First Quarter Form 10-Q</w:t>
        </w:r>
      </w:hyperlink>
      <w:r>
        <w:rPr>
          <w:rFonts w:ascii="Arial" w:cs="Arial" w:eastAsia="Arial" w:hAnsi="Arial"/>
          <w:sz w:val="18"/>
          <w:szCs w:val="18"/>
          <w:i w:val="1"/>
          <w:iCs w:val="1"/>
          <w:color w:val="000000"/>
        </w:rPr>
        <w:t>,</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our Second Quarter Form 10-Q and in other documents that we subsequently file</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with the SEC, all of which are incorporated by reference in this prospectus supplement and the accompanying prospectus, for a discussion of certain of the factors to consider carefully before deciding to purchase any Class C common stock. You should also read all other information contained in or incorporated by reference in this prospectus supplement and the accompanying prospectus before deciding to invest in our Class C common stock. If any of the risks actually occur, they may materially harm our business, financial condition, operating results or cash flow. As a result, the market price of our Class C common stock could decline, and you could lose all or part of your investment. Additional risks and uncertainties that are not yet identified or that we think are immaterial may also materially harm our business, operating results, financial condition or cash flow and could result in a complete or partial loss of your investment.</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the Offering</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Market volatility may affect the price of our Class C common stock and the value of your investment.</w:t>
      </w:r>
    </w:p>
    <w:p>
      <w:pPr>
        <w:spacing w:after="0" w:line="173"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The market price of our Class C common stock may fluctuate significantly in response to a number of factors, most of which we cannot predict or control, including general market and economic conditions, disruptions, downgrades, credit events and perceived problems in the credit markets; actual or anticipated variations in our quarterly operating results or dividends; changes in our investments or asset composition; write-downs or perceived credit or liquidity issues affecting our assets; market perception of GIP, our business and our assets; our level of indebtedness and/or adverse market reaction to any indebtedness that we may incur in the future; our ability to raise capital on favorable terms or at all; loss of any major funding source; additions or departures of our executive officers or key personnel; changes in market valuations of similar power generation companies; and speculation in the press or investment community regarding us or GIP.</w:t>
      </w:r>
    </w:p>
    <w:p>
      <w:pPr>
        <w:spacing w:after="0" w:line="127" w:lineRule="exact"/>
        <w:rPr>
          <w:sz w:val="20"/>
          <w:szCs w:val="20"/>
          <w:color w:val="auto"/>
        </w:rPr>
      </w:pPr>
    </w:p>
    <w:p>
      <w:pPr>
        <w:ind w:left="1260" w:right="899" w:firstLine="360"/>
        <w:spacing w:after="0" w:line="263" w:lineRule="auto"/>
        <w:rPr>
          <w:sz w:val="20"/>
          <w:szCs w:val="20"/>
          <w:color w:val="auto"/>
        </w:rPr>
      </w:pPr>
      <w:r>
        <w:rPr>
          <w:rFonts w:ascii="Arial" w:cs="Arial" w:eastAsia="Arial" w:hAnsi="Arial"/>
          <w:sz w:val="18"/>
          <w:szCs w:val="18"/>
          <w:color w:val="auto"/>
        </w:rPr>
        <w:t>Securities markets in general have experienced extreme volatility that has often been unrelated to the operating performance of particular companies. Any broad market fluctuations may adversely affect the trading price of our Class A and Class C common stock.</w:t>
      </w:r>
    </w:p>
    <w:p>
      <w:pPr>
        <w:spacing w:after="0" w:line="180" w:lineRule="exact"/>
        <w:rPr>
          <w:sz w:val="20"/>
          <w:szCs w:val="20"/>
          <w:color w:val="auto"/>
        </w:rPr>
      </w:pPr>
    </w:p>
    <w:p>
      <w:pPr>
        <w:ind w:left="1260" w:right="939"/>
        <w:spacing w:after="0" w:line="282" w:lineRule="auto"/>
        <w:rPr>
          <w:sz w:val="20"/>
          <w:szCs w:val="20"/>
          <w:color w:val="auto"/>
        </w:rPr>
      </w:pPr>
      <w:r>
        <w:rPr>
          <w:rFonts w:ascii="Arial" w:cs="Arial" w:eastAsia="Arial" w:hAnsi="Arial"/>
          <w:sz w:val="18"/>
          <w:szCs w:val="18"/>
          <w:b w:val="1"/>
          <w:bCs w:val="1"/>
          <w:color w:val="auto"/>
        </w:rPr>
        <w:t>You may experience dilution of your ownership interest due to the future issuance of additional shares of our Class C common stock.</w:t>
      </w:r>
    </w:p>
    <w:p>
      <w:pPr>
        <w:spacing w:after="0" w:line="85"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We are in a capital intensive business, and may not have sufficient funds to finance the growth of our business, future acquisitions or to support our projected capital expenditures. As a result, we may require additional funds from further equity or debt financings, including tax equity financing transactions or sales of preferred shares or convertible debt to complete future acquisitions, expansions and capital expenditures and pay the general and administrative costs of our business. In the future, we may issue our previously authorized and unissued securities, resulting in the dilution of the ownership interests of purchasers of our Class C common stock offered hereby. Under our Certificate of Incorporation, we are authorized to issue 500,000,000 shares of Class A common stock, 500,000,000 shares of Class B common stock, 1,000,000,000 shares of Class C common stock, 1,000,000,000 shares of Class D common stock and 10,000,000 shares of preferred stock with preferences and rights as determined by the Board. The potential issuance of additional shares of common stock or preferred stock or convertible debt may create downward pressure on the trading price of our Class C common stock. We may also issue additional shares of our Class C common stock or other securities that are convertible into or exercisable for our Class C common stock in future public offerings or private placements for capital raising purposes or for other business purposes, potentially at an offering price, conversion price or exercise price that is below the offering price for our Class C common stock in this equity offering program.</w:t>
      </w:r>
    </w:p>
    <w:p>
      <w:pPr>
        <w:spacing w:after="0" w:line="200" w:lineRule="exact"/>
        <w:rPr>
          <w:sz w:val="20"/>
          <w:szCs w:val="20"/>
          <w:color w:val="auto"/>
        </w:rPr>
      </w:pPr>
    </w:p>
    <w:p>
      <w:pPr>
        <w:spacing w:after="0" w:line="2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1019"/>
        <w:spacing w:after="0" w:line="282" w:lineRule="auto"/>
        <w:rPr>
          <w:sz w:val="20"/>
          <w:szCs w:val="20"/>
          <w:color w:val="auto"/>
        </w:rPr>
      </w:pPr>
      <w:r>
        <w:rPr>
          <w:rFonts w:ascii="Arial" w:cs="Arial" w:eastAsia="Arial" w:hAnsi="Arial"/>
          <w:sz w:val="18"/>
          <w:szCs w:val="18"/>
          <w:b w:val="1"/>
          <w:bCs w:val="1"/>
          <w:color w:val="auto"/>
        </w:rPr>
        <w:t>Our management will have broad discretion over the use of proceeds from any sales made under this equity offering program and may not use the proceeds effectively.</w:t>
      </w:r>
    </w:p>
    <w:p>
      <w:pPr>
        <w:spacing w:after="0" w:line="85"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Our management will have broad discretion as to the application of the net proceeds from any sales made under this equity offering program and could spend the proceeds in a variety of ways that may ultimately fail to improve our operating results or enhance the value of our Class C common stock. Our failure to apply these funds effectively could have a negative effect on our business and cause the price of our Class C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We intend to use the net proceeds from the sale of the Class C common stock for general corporate purposes, which may include the repayment or refinancing of indebtedness and the funding of working capital, capital expenditures, acquisitions and investments. We may invest funds not required immediately for such purposes in marketable securities and short-term investments.</w:t>
      </w:r>
    </w:p>
    <w:p>
      <w:pPr>
        <w:spacing w:after="0" w:line="119" w:lineRule="exact"/>
        <w:rPr>
          <w:sz w:val="20"/>
          <w:szCs w:val="20"/>
          <w:color w:val="auto"/>
        </w:rPr>
      </w:pPr>
    </w:p>
    <w:p>
      <w:pPr>
        <w:ind w:left="1260" w:right="999" w:firstLine="360"/>
        <w:spacing w:after="0" w:line="263" w:lineRule="auto"/>
        <w:rPr>
          <w:sz w:val="20"/>
          <w:szCs w:val="20"/>
          <w:color w:val="auto"/>
        </w:rPr>
      </w:pPr>
      <w:r>
        <w:rPr>
          <w:rFonts w:ascii="Arial" w:cs="Arial" w:eastAsia="Arial" w:hAnsi="Arial"/>
          <w:sz w:val="18"/>
          <w:szCs w:val="18"/>
          <w:color w:val="auto"/>
        </w:rPr>
        <w:t>Affiliates of the sales agents are lenders under the Revolving Credit Facility. To the extent we use proceeds from the offering to repay any indebtedness under the Revolving Credit Facility, such affiliates will receive proceeds from this offering. Please read “Plan of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20" w:right="2219" w:firstLine="42"/>
        <w:spacing w:after="0" w:line="312" w:lineRule="auto"/>
        <w:rPr>
          <w:sz w:val="20"/>
          <w:szCs w:val="20"/>
          <w:color w:val="auto"/>
        </w:rPr>
      </w:pPr>
      <w:r>
        <w:rPr>
          <w:rFonts w:ascii="Arial" w:cs="Arial" w:eastAsia="Arial" w:hAnsi="Arial"/>
          <w:sz w:val="17"/>
          <w:szCs w:val="17"/>
          <w:b w:val="1"/>
          <w:bCs w:val="1"/>
          <w:color w:val="auto"/>
        </w:rPr>
        <w:t>MATERIAL U.S. FEDERAL INCOME TAX CONSIDERATIONS FOR NON-U.S. HOLDERS OF OUR CLASS C COMMON STOCK</w:t>
      </w:r>
    </w:p>
    <w:p>
      <w:pPr>
        <w:spacing w:after="0" w:line="63" w:lineRule="exact"/>
        <w:rPr>
          <w:sz w:val="20"/>
          <w:szCs w:val="20"/>
          <w:color w:val="auto"/>
        </w:rPr>
      </w:pPr>
    </w:p>
    <w:p>
      <w:pPr>
        <w:ind w:left="1260" w:right="739" w:firstLine="360"/>
        <w:spacing w:after="0" w:line="296" w:lineRule="auto"/>
        <w:rPr>
          <w:sz w:val="20"/>
          <w:szCs w:val="20"/>
          <w:color w:val="auto"/>
        </w:rPr>
      </w:pPr>
      <w:r>
        <w:rPr>
          <w:rFonts w:ascii="Arial" w:cs="Arial" w:eastAsia="Arial" w:hAnsi="Arial"/>
          <w:sz w:val="16"/>
          <w:szCs w:val="16"/>
          <w:color w:val="auto"/>
        </w:rPr>
        <w:t>The following is a summary of the material U.S. federal income tax consequences (and to a limited extent U.S. federal estate tax consequences) to non-U.S. holders, defined below, of the purchase, ownership and disposition of shares of our Class C common stock as of the date of this prospectus supplement. Except where noted, this summary deals only with shares of our Class C common stock purchased in this equity offering program that are held as capital assets by a non-U.S. holder (as defined below).</w:t>
      </w:r>
    </w:p>
    <w:p>
      <w:pPr>
        <w:spacing w:after="0" w:line="9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 “non-U.S. holder” means a beneficial owner of shares of our Class C common stock that is not for</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U.S. federal income tax purposes any of the following:</w:t>
      </w:r>
    </w:p>
    <w:p>
      <w:pPr>
        <w:spacing w:after="0" w:line="103" w:lineRule="exact"/>
        <w:rPr>
          <w:sz w:val="20"/>
          <w:szCs w:val="20"/>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800" w:right="1059" w:hanging="178"/>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entity or arrangement treated as a partnership for U.S. federal income tax purposes;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28" w:lineRule="exact"/>
        <w:rPr>
          <w:rFonts w:ascii="Arial" w:cs="Arial" w:eastAsia="Arial" w:hAnsi="Arial"/>
          <w:sz w:val="17"/>
          <w:szCs w:val="17"/>
          <w:color w:val="auto"/>
        </w:rPr>
      </w:pPr>
    </w:p>
    <w:p>
      <w:pPr>
        <w:ind w:left="1800" w:right="999" w:hanging="178"/>
        <w:spacing w:after="0" w:line="274"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have the authority to control all substantial decisions of the trust or</w:t>
      </w:r>
    </w:p>
    <w:p>
      <w:pPr>
        <w:ind w:left="1800" w:right="779"/>
        <w:spacing w:after="0" w:line="260" w:lineRule="auto"/>
        <w:rPr>
          <w:rFonts w:ascii="Arial" w:cs="Arial" w:eastAsia="Arial" w:hAnsi="Arial"/>
          <w:sz w:val="17"/>
          <w:szCs w:val="17"/>
          <w:color w:val="auto"/>
        </w:rPr>
      </w:pPr>
      <w:r>
        <w:rPr>
          <w:rFonts w:ascii="Arial" w:cs="Arial" w:eastAsia="Arial" w:hAnsi="Arial"/>
          <w:sz w:val="18"/>
          <w:szCs w:val="18"/>
          <w:color w:val="auto"/>
        </w:rPr>
        <w:t>(2) has a valid election in effect under applicable U.S. Treasury regulations to be treated as a United States person.</w:t>
      </w:r>
    </w:p>
    <w:p>
      <w:pPr>
        <w:spacing w:after="0" w:line="118"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If any entity or arrangement treated as a partnership for U.S federal income tax purposes holds shares of our Class C common stock, the tax treatment of a partner generally will depend upon the status of the partner and the activities of the partnership. If you are a partner of a partnership holding shares of our Class C common stock, you should consult your tax advisors.</w:t>
      </w:r>
    </w:p>
    <w:p>
      <w:pPr>
        <w:spacing w:after="0" w:line="106"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This summary is based upon provisions of the U.S. Internal Revenue Code of 1986, as amended (the “Code”), applicable U.S. Treasury regulations, rulings and judicial decisions, all as of the date of the prospectus supplement. Those authorities are subject to different interpretations and may be changed, perhaps retroactively, so as to result in U.S. federal income and estate tax consequences different from those summarized below. This summary does not address all aspects of U.S. federal income taxes and does not deal with foreign, state, local, alternative minimum or other tax considerations that may be relevant to non-U.S. holders in light of their particular circumstances. In addition, this summary does not represent a detailed description of the U.S. federal income tax consequences applicable to you if you are subject to special treatment under the U.S. federal income tax laws (including, without limitation, if you are a U.S. expatriate, financial institution, insurance company, tax-exempt organization, dealer in securities, broker, “controlled foreign corporation,” “passive foreign investment company,” a partnership or other pass-through entity for U.S. federal income tax purposes (or an investor in such a pass-through entity), a person who acquired shares of our Class C common stock as compensation or otherwise in connection with the performance of services, a person subject to special tax accounting rules as a result of any item of gross income with respect to the Class C common stock being taken into account in an applicable financial statement, or a person who has acquired shares of our Class C common stock as part of a straddle, hedge, conversion transaction or other integrated investment). We cannot assure you that a change in law will not alter significantly the tax considerations that we describe in this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We have not and will not seek any rulings from the Internal Revenue Service (“IRS”) regarding the matters discussed below. There can be no assurance that the IRS will not take positions concerning the tax consequences of the purchase, ownership or disposition of shares of our Class C common stock that are different from those discussed below.</w:t>
      </w:r>
    </w:p>
    <w:p>
      <w:pPr>
        <w:spacing w:after="0" w:line="102" w:lineRule="exact"/>
        <w:rPr>
          <w:sz w:val="20"/>
          <w:szCs w:val="20"/>
          <w:color w:val="auto"/>
        </w:rPr>
      </w:pPr>
    </w:p>
    <w:p>
      <w:pPr>
        <w:ind w:left="1260" w:right="699" w:firstLine="360"/>
        <w:spacing w:after="0" w:line="329" w:lineRule="auto"/>
        <w:rPr>
          <w:sz w:val="20"/>
          <w:szCs w:val="20"/>
          <w:color w:val="auto"/>
        </w:rPr>
      </w:pPr>
      <w:r>
        <w:rPr>
          <w:rFonts w:ascii="Arial" w:cs="Arial" w:eastAsia="Arial" w:hAnsi="Arial"/>
          <w:sz w:val="15"/>
          <w:szCs w:val="15"/>
          <w:b w:val="1"/>
          <w:bCs w:val="1"/>
          <w:color w:val="auto"/>
        </w:rPr>
        <w:t>If you are considering the purchase of shares of our Class C common stock, you should consult your own tax advisors concerning the particular U.S. federal income, estate and gift tax consequences to you of the ownership and disposition of the shares of our Class C common stock, as well as the consequences to you arising under the laws of any other applicable taxing jurisdiction in light of your particular circumstances.</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We intend to pay cash distributions on shares of our Class C common stock for the foreseeable future. Distributions on our Class C common stock will constitute dividends for U.S.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that reduces your basis in our Class C common stock (determined on a share by share basis), but not below zero, and thereafter will be treated as gain from the sale of stock.</w:t>
      </w:r>
    </w:p>
    <w:p>
      <w:pPr>
        <w:spacing w:after="0" w:line="127"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The gross amount of dividends paid to a non-U.S. holder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tax treaty, the income is attributable to a permanent establishment maintained by the non-U.S. holder in the United States) generally are not subject to the withholding tax, provided certain certification and disclosure requirements are satisfied. Instead, such dividends are subject to U.S. federal income tax on a net income basis generally in the same manner as if the non-U.S. holder were a United States person as defined under the Code (unless an applicable income tax treaty provides otherwise). To obtain the exemption from withholding on effectively connected income, a non-U.S. holder must provide us, our paying agent or other applicable withholding agent with a properly executed IRS Form W-8ECI (or successor form) prior to the payment of the dividend. A corporate non-U.S. holder may be subject to an additional “branch profits tax” at a 30% rate (or such lower rate as may be specified by an applicable income tax treaty) on its effectively connected earnings and profits attributable to such dividends.</w:t>
      </w:r>
    </w:p>
    <w:p>
      <w:pPr>
        <w:spacing w:after="0" w:line="103" w:lineRule="exact"/>
        <w:rPr>
          <w:sz w:val="20"/>
          <w:szCs w:val="20"/>
          <w:color w:val="auto"/>
        </w:rPr>
      </w:pPr>
    </w:p>
    <w:p>
      <w:pPr>
        <w:ind w:left="1260" w:right="1099" w:firstLine="360"/>
        <w:spacing w:after="0" w:line="274" w:lineRule="auto"/>
        <w:rPr>
          <w:sz w:val="20"/>
          <w:szCs w:val="20"/>
          <w:color w:val="auto"/>
        </w:rPr>
      </w:pPr>
      <w:r>
        <w:rPr>
          <w:rFonts w:ascii="Arial" w:cs="Arial" w:eastAsia="Arial" w:hAnsi="Arial"/>
          <w:sz w:val="17"/>
          <w:szCs w:val="17"/>
          <w:color w:val="auto"/>
        </w:rPr>
        <w:t>A non-U.S. holder of shares of our Class C common stock who wishes to claim the benefit of an applicable treaty rate and avoid backup withholding, as discussed below, for dividends will be required</w:t>
      </w:r>
    </w:p>
    <w:p>
      <w:pPr>
        <w:ind w:left="1260" w:right="699" w:firstLine="2"/>
        <w:spacing w:after="0" w:line="251" w:lineRule="auto"/>
        <w:tabs>
          <w:tab w:leader="none" w:pos="1519"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complete IRS Form W-8BEN or Form W-8BEN-E (or other applicable or successor form) and to certify under penalty of perjury that such holder is not a United States person as defined under the Code and is eligible for treaty benefits or (b) if shares of our Class C common stock are held through certain foreign intermediaries, to satisfy the relevant certification requirements of applicable U.S. Treasury regulations. A non-U.S. holder who provides us, our paying agent or other applicable withholding agent with an IRS Form W-8BEN, Form W-8BEN-E, Form W-8ECI or other form must update the form or submit a new form, as applicable, if there is a change in circumstances that makes any information on such form incorrect. Special certification and other requirements apply to certain non-U.S. holders that are pass-through entities rather than corporations or individuals.</w:t>
      </w:r>
    </w:p>
    <w:p>
      <w:pPr>
        <w:spacing w:after="0" w:line="130"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It is possible that a distribution made to a non-U.S. holder may be subject to over-withholding because, for example, at the time of the distribution we or the relevant withholding agent may not be able to determine how much of the distribution constitutes dividends or the proper documentation establishing the benefits of any applicable treaty has not been properly supplied. If there is any over-withholding on distributions made to a non-U.S. holder, such non-U.S. holder may obtain a refund of the over-withheld amount by timely filing an appropriate claim for refund with the IRS. Non-U.S. holders should consult their tax advisors regarding the applicable withholding tax rules and the possibility of obtaining a refund of any over-withheld amounts.</w:t>
      </w: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Gain on Disposition of Shares of Our Class C Common Stock</w:t>
      </w:r>
    </w:p>
    <w:p>
      <w:pPr>
        <w:spacing w:after="0" w:line="148" w:lineRule="exact"/>
        <w:rPr>
          <w:sz w:val="20"/>
          <w:szCs w:val="20"/>
          <w:color w:val="auto"/>
        </w:rPr>
      </w:pPr>
    </w:p>
    <w:p>
      <w:pPr>
        <w:ind w:left="1260" w:right="1159" w:firstLine="360"/>
        <w:spacing w:after="0" w:line="261" w:lineRule="auto"/>
        <w:rPr>
          <w:sz w:val="20"/>
          <w:szCs w:val="20"/>
          <w:color w:val="auto"/>
        </w:rPr>
      </w:pPr>
      <w:r>
        <w:rPr>
          <w:rFonts w:ascii="Arial" w:cs="Arial" w:eastAsia="Arial" w:hAnsi="Arial"/>
          <w:sz w:val="18"/>
          <w:szCs w:val="18"/>
          <w:color w:val="auto"/>
        </w:rPr>
        <w:t>Any gain realized by a non-U.S. holder on the disposition of shares of our Class C common stock generally will not be subject to U.S. federal income tax unless:</w:t>
      </w:r>
    </w:p>
    <w:p>
      <w:pPr>
        <w:spacing w:after="0" w:line="63" w:lineRule="exact"/>
        <w:rPr>
          <w:sz w:val="20"/>
          <w:szCs w:val="20"/>
          <w:color w:val="auto"/>
        </w:rPr>
      </w:pPr>
    </w:p>
    <w:p>
      <w:pPr>
        <w:jc w:val="both"/>
        <w:ind w:left="1800" w:right="779" w:hanging="178"/>
        <w:spacing w:after="0" w:line="263"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tax treaty, the income is attributable to a permanent establishment maintained by the non-U.S. holder in the United States);</w:t>
      </w:r>
    </w:p>
    <w:p>
      <w:pPr>
        <w:spacing w:after="0" w:line="75" w:lineRule="exact"/>
        <w:rPr>
          <w:rFonts w:ascii="Arial" w:cs="Arial" w:eastAsia="Arial" w:hAnsi="Arial"/>
          <w:sz w:val="18"/>
          <w:szCs w:val="18"/>
          <w:color w:val="auto"/>
        </w:rPr>
      </w:pPr>
    </w:p>
    <w:p>
      <w:pPr>
        <w:ind w:left="1800" w:right="859" w:hanging="178"/>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that disposition and certain other conditions are met; or</w:t>
      </w:r>
    </w:p>
    <w:p>
      <w:pPr>
        <w:spacing w:after="0" w:line="48" w:lineRule="exact"/>
        <w:rPr>
          <w:rFonts w:ascii="Arial" w:cs="Arial" w:eastAsia="Arial" w:hAnsi="Arial"/>
          <w:sz w:val="18"/>
          <w:szCs w:val="18"/>
          <w:color w:val="auto"/>
        </w:rPr>
      </w:pPr>
    </w:p>
    <w:p>
      <w:pPr>
        <w:ind w:left="1800" w:right="839" w:hanging="178"/>
        <w:spacing w:after="0" w:line="259"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Class C common stock constitutes a U.S. real property interest by reason of our status as a “United States real property holding corporation” (a “USRPHC”) for U.S. federal income tax purposes at any time during the shorter of the five-year period ending on the date of the disposition or the period that the non-U.S. holder held shares of our Class C common stock.</w:t>
      </w:r>
    </w:p>
    <w:p>
      <w:pPr>
        <w:spacing w:after="0" w:line="119"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7"/>
          <w:szCs w:val="17"/>
          <w:color w:val="auto"/>
        </w:rPr>
        <w:t>In the case of a non-U.S. holder described in the first bullet point above, any gain will be subject to U.S. federal income tax on a net income basis generally in the same manner as if the non-U.S. holder were a United States person as defined under the Code (unless an applicable income tax treaty provides otherwise), and a non-U.S. holder that is a foreign corporation may be subject to the branch profits tax equal to 30% of its effectively connected earnings and profits attributable to such gain (or at such lower rate as may be specified by an applicable income tax treaty). In the case of a non-U.S. holder described in the second bullet point above, except as otherwise provided by an applicable income tax treaty, any gain, which may be offset by certain U.S.-source capital losses, will be subject to a 30% tax even though the individual is not considered a resident of the United States under the Code.</w:t>
      </w:r>
    </w:p>
    <w:p>
      <w:pPr>
        <w:spacing w:after="0" w:line="103"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6"/>
          <w:szCs w:val="16"/>
          <w:color w:val="auto"/>
        </w:rPr>
        <w:t>We believe that we are not currently and will not become a USRPHC. However, because the determination of whether we are a USRPHC depends on the fair market value of our U.S. real property relative to the fair market value of our other business assets and because the definition of U.S. real property is not entirely clear, there can be no assurance that we are not a USRPHC now or will not become one in the future. Even if we become a USRPHC, however, as long as our Class C common stock is regularly traded on an established securities market, as to which there can be no assurance, such Class C common stock will be treated as a U.S. real property interest only if you actually or constructively hold more than five percent of such regularly traded Class C common stock at any time during the applicable period described above.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62" w:lineRule="exact"/>
        <w:rPr>
          <w:sz w:val="20"/>
          <w:szCs w:val="20"/>
          <w:color w:val="auto"/>
        </w:rPr>
      </w:pPr>
    </w:p>
    <w:p>
      <w:pPr>
        <w:jc w:val="both"/>
        <w:ind w:left="1260" w:right="739" w:firstLine="360"/>
        <w:spacing w:after="0" w:line="248" w:lineRule="auto"/>
        <w:rPr>
          <w:sz w:val="20"/>
          <w:szCs w:val="20"/>
          <w:color w:val="auto"/>
        </w:rPr>
      </w:pPr>
      <w:r>
        <w:rPr>
          <w:rFonts w:ascii="Arial" w:cs="Arial" w:eastAsia="Arial" w:hAnsi="Arial"/>
          <w:sz w:val="18"/>
          <w:szCs w:val="18"/>
          <w:color w:val="auto"/>
        </w:rPr>
        <w:t>We must report annually to the IRS and to you the amount of dividends paid to you and the amount of tax, if any, withheld with respect to such dividends. The IRS may make this information available to the tax authorities in the country in which you are resident.</w:t>
      </w:r>
    </w:p>
    <w:p>
      <w:pPr>
        <w:spacing w:after="0" w:line="114"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7"/>
          <w:szCs w:val="17"/>
          <w:color w:val="auto"/>
        </w:rPr>
        <w:t>In addition, you may be subject to information reporting requirements and backup withholding tax with respect to dividends paid on, and the proceeds of disposition of, shares of our Class C common stock, unless, generally, you certify under penalties of perjury (usually on IRS Form W-8BEN or Form W-8BEN-</w:t>
      </w:r>
    </w:p>
    <w:p>
      <w:pPr>
        <w:ind w:left="1480" w:hanging="218"/>
        <w:spacing w:after="0" w:line="235"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you are not a U.S. person or you otherwise establish an exemption. Additional rules relating to</w:t>
      </w:r>
    </w:p>
    <w:p>
      <w:pPr>
        <w:ind w:left="1260" w:right="939"/>
        <w:spacing w:after="0" w:line="243" w:lineRule="auto"/>
        <w:rPr>
          <w:rFonts w:ascii="Arial" w:cs="Arial" w:eastAsia="Arial" w:hAnsi="Arial"/>
          <w:sz w:val="18"/>
          <w:szCs w:val="18"/>
          <w:color w:val="auto"/>
        </w:rPr>
      </w:pPr>
      <w:r>
        <w:rPr>
          <w:rFonts w:ascii="Arial" w:cs="Arial" w:eastAsia="Arial" w:hAnsi="Arial"/>
          <w:sz w:val="18"/>
          <w:szCs w:val="18"/>
          <w:color w:val="auto"/>
        </w:rPr>
        <w:t>information reporting requirements and backup withholding tax with respect to payments of the proceeds from the disposition of shares of our Class C common stock are as follows:</w:t>
      </w:r>
    </w:p>
    <w:p>
      <w:pPr>
        <w:spacing w:after="0" w:line="64" w:lineRule="exact"/>
        <w:rPr>
          <w:rFonts w:ascii="Arial" w:cs="Arial" w:eastAsia="Arial" w:hAnsi="Arial"/>
          <w:sz w:val="18"/>
          <w:szCs w:val="18"/>
          <w:color w:val="auto"/>
        </w:rPr>
      </w:pPr>
    </w:p>
    <w:p>
      <w:pPr>
        <w:ind w:left="1800" w:right="839" w:hanging="178"/>
        <w:spacing w:after="0" w:line="257"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the proceeds are paid to or through the U.S. office of a broker, the proceeds generally will be subject to backup withholding tax and information reporting, unless you certify under penalties of perjury (usually on IRS Form W-8BEN or Form W-8BEN-E) that you are not a U.S. person and the applicable withholding agent does not have actual knowledge or reason to know you are a U.S. person or you otherwise establish an exemption.</w:t>
      </w:r>
    </w:p>
    <w:p>
      <w:pPr>
        <w:spacing w:after="0" w:line="79" w:lineRule="exact"/>
        <w:rPr>
          <w:rFonts w:ascii="Arial" w:cs="Arial" w:eastAsia="Arial" w:hAnsi="Arial"/>
          <w:sz w:val="18"/>
          <w:szCs w:val="18"/>
          <w:color w:val="auto"/>
        </w:rPr>
      </w:pPr>
    </w:p>
    <w:p>
      <w:pPr>
        <w:jc w:val="both"/>
        <w:ind w:left="1800" w:right="899" w:hanging="178"/>
        <w:spacing w:after="0" w:line="263"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the proceeds are paid to or through a non-U.S. office of a broker that is not a U.S. person and is not a foreign person with certain specified U.S. connections (a “U.S.-related person”), information reporting and backup withholding tax generally will not apply.</w:t>
      </w:r>
    </w:p>
    <w:p>
      <w:pPr>
        <w:spacing w:after="0" w:line="75" w:lineRule="exact"/>
        <w:rPr>
          <w:rFonts w:ascii="Arial" w:cs="Arial" w:eastAsia="Arial" w:hAnsi="Arial"/>
          <w:sz w:val="18"/>
          <w:szCs w:val="18"/>
          <w:color w:val="auto"/>
        </w:rPr>
      </w:pPr>
    </w:p>
    <w:p>
      <w:pPr>
        <w:ind w:left="1800" w:right="959" w:hanging="178"/>
        <w:spacing w:after="0" w:line="308" w:lineRule="auto"/>
        <w:tabs>
          <w:tab w:leader="none" w:pos="1800" w:val="left"/>
        </w:tabs>
        <w:numPr>
          <w:ilvl w:val="1"/>
          <w:numId w:val="7"/>
        </w:numPr>
        <w:rPr>
          <w:rFonts w:ascii="Arial" w:cs="Arial" w:eastAsia="Arial" w:hAnsi="Arial"/>
          <w:sz w:val="17"/>
          <w:szCs w:val="17"/>
          <w:color w:val="auto"/>
        </w:rPr>
      </w:pPr>
      <w:r>
        <w:rPr>
          <w:rFonts w:ascii="Arial" w:cs="Arial" w:eastAsia="Arial" w:hAnsi="Arial"/>
          <w:sz w:val="17"/>
          <w:szCs w:val="17"/>
          <w:color w:val="auto"/>
        </w:rPr>
        <w:t>If the proceeds are paid to or through a non-U.S. office of a broker that is a U.S. person or a U.S.-related person, the proceeds generally will be subject to information reporting (but not to backup</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019"/>
        <w:spacing w:after="0" w:line="308" w:lineRule="auto"/>
        <w:rPr>
          <w:sz w:val="20"/>
          <w:szCs w:val="20"/>
          <w:color w:val="auto"/>
        </w:rPr>
      </w:pPr>
      <w:r>
        <w:rPr>
          <w:rFonts w:ascii="Arial" w:cs="Arial" w:eastAsia="Arial" w:hAnsi="Arial"/>
          <w:sz w:val="17"/>
          <w:szCs w:val="17"/>
          <w:color w:val="auto"/>
        </w:rPr>
        <w:t>withholding tax), unless you certify under penalties of perjury (usually on IRS Form W-8BEN or Form W-8BEN-E) that you are not a U.S. person or you otherwise establish an exemption.</w:t>
      </w:r>
    </w:p>
    <w:p>
      <w:pPr>
        <w:spacing w:after="0" w:line="65" w:lineRule="exact"/>
        <w:rPr>
          <w:sz w:val="20"/>
          <w:szCs w:val="20"/>
          <w:color w:val="auto"/>
        </w:rPr>
      </w:pPr>
    </w:p>
    <w:p>
      <w:pPr>
        <w:ind w:left="1260" w:right="879" w:firstLine="360"/>
        <w:spacing w:after="0" w:line="263"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you reside or are established.</w:t>
      </w:r>
    </w:p>
    <w:p>
      <w:pPr>
        <w:spacing w:after="0" w:line="116" w:lineRule="exact"/>
        <w:rPr>
          <w:sz w:val="20"/>
          <w:szCs w:val="20"/>
          <w:color w:val="auto"/>
        </w:rPr>
      </w:pPr>
    </w:p>
    <w:p>
      <w:pPr>
        <w:jc w:val="both"/>
        <w:ind w:left="1260" w:right="799" w:firstLine="360"/>
        <w:spacing w:after="0" w:line="263" w:lineRule="auto"/>
        <w:rPr>
          <w:sz w:val="20"/>
          <w:szCs w:val="20"/>
          <w:color w:val="auto"/>
        </w:rPr>
      </w:pPr>
      <w:r>
        <w:rPr>
          <w:rFonts w:ascii="Arial" w:cs="Arial" w:eastAsia="Arial" w:hAnsi="Arial"/>
          <w:sz w:val="18"/>
          <w:szCs w:val="18"/>
          <w:color w:val="auto"/>
        </w:rPr>
        <w:t>Any amounts withheld under the backup withholding tax rules may be allowed as a refund or a credit against your U.S. federal income tax liability, provided the required information is timely furnished by you to the IRS.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Foreign Accounts</w:t>
      </w:r>
    </w:p>
    <w:p>
      <w:pPr>
        <w:spacing w:after="0" w:line="162"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The Foreign Account Tax Compliance Act (the “FATCA”), generally imposes a U.S. federal withholding tax of 30% on dividends on our Class C common stock, paid to a “foreign financial institution” (as specifically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our Class C common stock paid to a “non-financial foreign entity” (as specifically defined for purposes of these rules) unless such entity provides the withholding agent with a certification identifying certain substantial direct and indirect U.S. owners of the entity, certifies that there are none or otherwise establishes an exemption. Under certain circumstances, a non-U.S. holder might be eligible for refunds or credits of such taxes. An intergovernmental agreement between the United States and an applicable foreign country may modify the requirements described in this paragraph.</w:t>
      </w:r>
    </w:p>
    <w:p>
      <w:pPr>
        <w:spacing w:after="0" w:line="105"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Prior to the issuance of proposed Treasury Regulations, withholding taxes under FATCA also would have applied to gross proceeds from a sale or other disposition of a debt obligation. The proposed Treasury Regulations provide that such gross proceeds are generally not subject to withholding taxes under FATCA. Taxpayers may rely on these proposed Treasury Regulations until they are revoked or final Treasury Regulations are issued.</w:t>
      </w:r>
    </w:p>
    <w:p>
      <w:pPr>
        <w:spacing w:after="0" w:line="120"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Each investor is encouraged to consult with its tax advisor regarding how FATCA may apply to their investment in our Class C common stock.</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Federal Estate Tax</w:t>
      </w:r>
    </w:p>
    <w:p>
      <w:pPr>
        <w:spacing w:after="0" w:line="162"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Shares of our Class C common stock that are owned (or treated as owned) by an individual who is not a citizen or resident of the United States (as specially defined for U.S. federal estate tax purposes) at the time of death will be included in such individual’s gross estate for U.S. federal estate tax purposes, unless an applicable estate or other tax treaty provides otherwise, and, therefore, may be subject to U.S. federal estate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1260" w:right="759" w:firstLine="360"/>
        <w:spacing w:after="0" w:line="262" w:lineRule="auto"/>
        <w:rPr>
          <w:sz w:val="20"/>
          <w:szCs w:val="20"/>
          <w:color w:val="auto"/>
        </w:rPr>
      </w:pPr>
      <w:r>
        <w:rPr>
          <w:rFonts w:ascii="Arial" w:cs="Arial" w:eastAsia="Arial" w:hAnsi="Arial"/>
          <w:sz w:val="17"/>
          <w:szCs w:val="17"/>
          <w:color w:val="auto"/>
        </w:rPr>
        <w:t>We have entered into an equity distribution agreement with the sales agents, under which, from time to time, we may offer and sell on our own behalf shares of our Class C common stock having an aggregate offering price of up to $150,000,000. We will file the equity distribution agreement as an exhibit to a Current Report on Form 8-K, which will be incorporated by reference in this prospectus supplement.</w:t>
      </w:r>
    </w:p>
    <w:p>
      <w:pPr>
        <w:spacing w:after="0" w:line="105" w:lineRule="exact"/>
        <w:rPr>
          <w:sz w:val="20"/>
          <w:szCs w:val="20"/>
          <w:color w:val="auto"/>
        </w:rPr>
      </w:pPr>
    </w:p>
    <w:p>
      <w:pPr>
        <w:ind w:left="1260" w:right="759" w:firstLine="360"/>
        <w:spacing w:after="0" w:line="239" w:lineRule="auto"/>
        <w:rPr>
          <w:sz w:val="20"/>
          <w:szCs w:val="20"/>
          <w:color w:val="auto"/>
        </w:rPr>
      </w:pPr>
      <w:r>
        <w:rPr>
          <w:rFonts w:ascii="Arial" w:cs="Arial" w:eastAsia="Arial" w:hAnsi="Arial"/>
          <w:sz w:val="18"/>
          <w:szCs w:val="18"/>
          <w:color w:val="auto"/>
        </w:rPr>
        <w:t>The sales, if any, of shares of our Class C common stock made under the equity distribution agreement will be made by any method permitted that is deemed an “at the market offering” as defined in Rule 415 under the Securities Act, including ordinary brokers’ transactions on the NYSE, to or through a market maker or directly on or through an electronic communications network, at market prices prevailing at the time of sale, at prices related to prevailing market prices or at negotiated prices, in block transactions, or as otherwise permitted by law. The sales agents will not engage in any transactions that stabilize the price of our Class C common stock.</w:t>
      </w:r>
    </w:p>
    <w:p>
      <w:pPr>
        <w:spacing w:after="0" w:line="123"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color w:val="auto"/>
        </w:rPr>
        <w:t>Under the terms of the equity distribution agreement, we may also sell shares of our Class C common stock to one or more of the sales agents as principal for its own account at a price agreed upon at the time of sale. If we sell shares of our Class C common stock to one or more of the sales agents as principal, we will enter into a separate terms agreement with such sales agents and will describe that agreement in a separate prospectus supplement or free writing prospectus.</w:t>
      </w:r>
    </w:p>
    <w:p>
      <w:pPr>
        <w:spacing w:after="0" w:line="108"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7"/>
          <w:szCs w:val="17"/>
          <w:color w:val="auto"/>
        </w:rPr>
        <w:t>Subject to the terms and conditions of the equity distribution agreement, the sales agents will use their commercially reasonable efforts consistent with their normal trading and sales practices to sell all of the designated shares of Class C common stock. We may instruct the sales agents not to sell any shares of our Class C common stock if the sales cannot be effected at or above the price designated by us. We or any of the sales agents may suspend the equity offering program at any time by notifying the other parties.</w:t>
      </w:r>
    </w:p>
    <w:p>
      <w:pPr>
        <w:spacing w:after="0" w:line="106"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7"/>
          <w:szCs w:val="17"/>
          <w:color w:val="auto"/>
        </w:rPr>
        <w:t>Each sales agent will provide to us written confirmation following the close of trading on the NYSE each day on which shares of our Class C common stock are sold under the equity distribution agreement. Each confirmation will include the number of shares of Class C common stock sold on that day, the gross sales proceeds and the net proceeds to us (after regulatory transaction fees, if any, but before other expenses). We will report at least quarterly the number of shares of our Class C common stock sold through the sales agents under the equity distribution agreement, the net proceeds to us (before expenses) and the commissions of the sales agents in connection with the sales of the shares of Class C common stock.</w:t>
      </w:r>
    </w:p>
    <w:p>
      <w:pPr>
        <w:spacing w:after="0" w:line="112" w:lineRule="exact"/>
        <w:rPr>
          <w:sz w:val="20"/>
          <w:szCs w:val="20"/>
          <w:color w:val="auto"/>
        </w:rPr>
      </w:pPr>
    </w:p>
    <w:p>
      <w:pPr>
        <w:jc w:val="both"/>
        <w:ind w:left="1260" w:right="779" w:firstLine="360"/>
        <w:spacing w:after="0" w:line="286" w:lineRule="auto"/>
        <w:rPr>
          <w:sz w:val="20"/>
          <w:szCs w:val="20"/>
          <w:color w:val="auto"/>
        </w:rPr>
      </w:pPr>
      <w:r>
        <w:rPr>
          <w:rFonts w:ascii="Arial" w:cs="Arial" w:eastAsia="Arial" w:hAnsi="Arial"/>
          <w:sz w:val="17"/>
          <w:szCs w:val="17"/>
          <w:color w:val="auto"/>
        </w:rPr>
        <w:t>We will pay each sales agent a commission rate of up to 2.0% of the gross sales price per share of our Class C common stock sold through it as our agent under the equity distribution agreement. Pursuant to the equity distribution agreement, we have agreed to reimburse the sales agents for certain of their expenses.</w:t>
      </w:r>
    </w:p>
    <w:p>
      <w:pPr>
        <w:spacing w:after="0" w:line="84"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Settlement for sales of shares of our Class C common stock will occur on the second business day following the date on which any sales are made in return for payment of the net proceeds to us. There is no arrangement for funds to be received in an escrow, trust or similar arrangement.</w:t>
      </w:r>
    </w:p>
    <w:p>
      <w:pPr>
        <w:spacing w:after="0" w:line="116"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The equity offering program will terminate upon the earlier of (1) the sale of all shares of Class C common stock subject to the equity distribution agreement or (2) the termination of the equity distribution agreement by us or by each of the sales agents.</w:t>
      </w:r>
    </w:p>
    <w:p>
      <w:pPr>
        <w:spacing w:after="0" w:line="116"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In connection with the sale of the shares of our Class C common stock on our behalf, each of the sales agents may be deemed to be an “underwriter” within the meaning of the Securities Act and the compensation paid to the sales agents may be deemed to be underwriting commissions or discounts. We have agreed to provide indemnification and contribution to the sales agents against certain liabilities, including civil liabilities under the Securities Act.</w:t>
      </w:r>
    </w:p>
    <w:p>
      <w:pPr>
        <w:spacing w:after="0" w:line="107"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The sales agents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sales agents and their affiliates have provided in the past, to us and our affiliates, and may provide from time to time in the future certain commercial banking, financial advisory, investment banking and other services in the ordinary course of their businesses, for</w:t>
      </w: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57" w:lineRule="auto"/>
        <w:rPr>
          <w:sz w:val="20"/>
          <w:szCs w:val="20"/>
          <w:color w:val="auto"/>
        </w:rPr>
      </w:pPr>
      <w:r>
        <w:rPr>
          <w:rFonts w:ascii="Arial" w:cs="Arial" w:eastAsia="Arial" w:hAnsi="Arial"/>
          <w:sz w:val="18"/>
          <w:szCs w:val="18"/>
          <w:color w:val="auto"/>
        </w:rPr>
        <w:t>which they have received and may continue to receive customary fees and commissions. Affiliates of Credit Suisse Securities (USA) LLC, Goldman Sachs &amp; Co. LLC, Morgan Stanley &amp; Co. LLC and UBS Securities LLC are lenders under the Revolving Credit Facility. To the extent we use proceeds from the offering to repay any indebtedness under the Revolving Credit Facility, such sales agents will receive a portion of the proceeds from this offering.</w:t>
      </w:r>
    </w:p>
    <w:p>
      <w:pPr>
        <w:spacing w:after="0" w:line="107"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In addition, from time to time, certain of the sales agents and their affiliates may effect transactions for their own account or the account of customers, and hold on behalf of themselves or their customers, long or short positions in our debt or equity securities or loans, and for persons or entities who have relationships with us, and may do so in the future. The sales agents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24"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In the ordinary course of their various business activities, the sales agents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The validity of the shares of Class C common stock being sold in any sales made under the equity distribution agreement will be passed upon for us by Baker Botts L.L.P., Dallas, Texas. Certain U.S. legal matters relating to any such sales will be passed upon for the sales agents by Latham &amp; Watkins, LLP, New York, New York.</w:t>
      </w:r>
    </w:p>
    <w:p>
      <w:pPr>
        <w:spacing w:after="0" w:line="18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 xml:space="preserve">The consolidated financial statements of Clearway Energy, Inc. as of December 31, 2019 and 2018, and for each of the years in the three-year period ended December 31, 2019, and management’s assessment of the effectiveness of internal control over financial reporting as of December 31, 2019 have been incorporated by reference herein and in the accompanying prospectus, in reliance upon the reports of KPMG LLP, independent registered public accounting firm, incorporated by reference herein, and upon the authority of said firm as experts in accounting and auditing. The audit report covering the December 31, 2019 consolidated financial statements refers to changes in accounting principle, the Company’s adoption of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of January 1, 2019 and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 of January 1, 2018.</w:t>
      </w:r>
    </w:p>
    <w:p>
      <w:pPr>
        <w:spacing w:after="0" w:line="19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This prospectus supplement and the accompanying prospectus is a part of a Registration Statement on Form S-3 under the Securities Act (File No. 333-241652), which we have filed with the SEC to register shares of Class C common stock offered hereby. This prospectus supplement and the accompanying prospectus do not contain all of the information in the registration statement and its exhibits.</w:t>
      </w:r>
    </w:p>
    <w:p>
      <w:pPr>
        <w:spacing w:after="0" w:line="90" w:lineRule="exact"/>
        <w:rPr>
          <w:sz w:val="20"/>
          <w:szCs w:val="20"/>
          <w:color w:val="auto"/>
        </w:rPr>
      </w:pPr>
    </w:p>
    <w:p>
      <w:pPr>
        <w:ind w:left="1260" w:right="1079" w:firstLine="360"/>
        <w:spacing w:after="0" w:line="279" w:lineRule="auto"/>
        <w:rPr>
          <w:sz w:val="20"/>
          <w:szCs w:val="20"/>
          <w:color w:val="auto"/>
        </w:rPr>
      </w:pPr>
      <w:r>
        <w:rPr>
          <w:rFonts w:ascii="Arial" w:cs="Arial" w:eastAsia="Arial" w:hAnsi="Arial"/>
          <w:sz w:val="17"/>
          <w:szCs w:val="17"/>
          <w:color w:val="auto"/>
        </w:rPr>
        <w:t xml:space="preserve">We are subject to the reporting, proxy and information requirements of the Exchange Act, and as a result are required to file periodic reports, proxy statements and other information with the SEC. Such reports and other information (including the documents incorporated by reference into this prospectus supplement) are 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04" w:lineRule="exact"/>
        <w:rPr>
          <w:sz w:val="20"/>
          <w:szCs w:val="20"/>
          <w:color w:val="auto"/>
        </w:rPr>
      </w:pPr>
    </w:p>
    <w:p>
      <w:pPr>
        <w:ind w:left="1260" w:right="739" w:firstLine="360"/>
        <w:spacing w:after="0" w:line="253" w:lineRule="auto"/>
        <w:rPr>
          <w:rFonts w:ascii="Arial" w:cs="Arial" w:eastAsia="Arial" w:hAnsi="Arial"/>
          <w:sz w:val="18"/>
          <w:szCs w:val="18"/>
          <w:color w:val="0000EE"/>
        </w:rPr>
      </w:pPr>
      <w:r>
        <w:rPr>
          <w:rFonts w:ascii="Arial" w:cs="Arial" w:eastAsia="Arial" w:hAnsi="Arial"/>
          <w:sz w:val="18"/>
          <w:szCs w:val="18"/>
          <w:color w:val="auto"/>
        </w:rPr>
        <w:t xml:space="preserve">Additionally, our filings with the SEC, including our </w:t>
      </w:r>
      <w:hyperlink r:id="rId18">
        <w:r>
          <w:rPr>
            <w:rFonts w:ascii="Arial" w:cs="Arial" w:eastAsia="Arial" w:hAnsi="Arial"/>
            <w:sz w:val="18"/>
            <w:szCs w:val="18"/>
            <w:u w:val="single" w:color="auto"/>
            <w:color w:val="0000EE"/>
          </w:rPr>
          <w:t>2019 Annual Report</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First Quarter Form 10-Q</w:t>
        </w:r>
      </w:hyperlink>
      <w:r>
        <w:rPr>
          <w:rFonts w:ascii="Arial" w:cs="Arial" w:eastAsia="Arial" w:hAnsi="Arial"/>
          <w:sz w:val="18"/>
          <w:szCs w:val="18"/>
          <w:color w:val="auto"/>
        </w:rPr>
        <w:t xml:space="preserve">, </w:t>
      </w:r>
      <w:hyperlink r:id="rId43">
        <w:r>
          <w:rPr>
            <w:rFonts w:ascii="Arial" w:cs="Arial" w:eastAsia="Arial" w:hAnsi="Arial"/>
            <w:sz w:val="18"/>
            <w:szCs w:val="18"/>
            <w:color w:val="auto"/>
          </w:rPr>
          <w:t xml:space="preserve">Second Quarter Form 10-Q, Current Reports on Form 8-K, </w:t>
        </w:r>
        <w:r>
          <w:rPr>
            <w:rFonts w:ascii="Arial" w:cs="Arial" w:eastAsia="Arial" w:hAnsi="Arial"/>
            <w:sz w:val="18"/>
            <w:szCs w:val="18"/>
            <w:u w:val="single" w:color="auto"/>
            <w:color w:val="0000EE"/>
          </w:rPr>
          <w:t>definitive proxy statement on Schedule 14A,</w:t>
        </w:r>
      </w:hyperlink>
      <w:r>
        <w:rPr>
          <w:rFonts w:ascii="Arial" w:cs="Arial" w:eastAsia="Arial" w:hAnsi="Arial"/>
          <w:sz w:val="18"/>
          <w:szCs w:val="18"/>
          <w:color w:val="auto"/>
        </w:rPr>
        <w:t xml:space="preserve"> </w:t>
      </w:r>
      <w:hyperlink r:id="rId43">
        <w:r>
          <w:rPr>
            <w:rFonts w:ascii="Arial" w:cs="Arial" w:eastAsia="Arial" w:hAnsi="Arial"/>
            <w:sz w:val="18"/>
            <w:szCs w:val="18"/>
            <w:u w:val="single" w:color="auto"/>
            <w:color w:val="0000EE"/>
          </w:rPr>
          <w:t>filed on March 17, 2020</w:t>
        </w:r>
        <w:r>
          <w:rPr>
            <w:rFonts w:ascii="Arial" w:cs="Arial" w:eastAsia="Arial" w:hAnsi="Arial"/>
            <w:sz w:val="18"/>
            <w:szCs w:val="18"/>
            <w:color w:val="0000EE"/>
          </w:rPr>
          <w:t xml:space="preserve"> </w:t>
        </w:r>
        <w:r>
          <w:rPr>
            <w:rFonts w:ascii="Arial" w:cs="Arial" w:eastAsia="Arial" w:hAnsi="Arial"/>
            <w:sz w:val="18"/>
            <w:szCs w:val="18"/>
            <w:color w:val="000000"/>
          </w:rPr>
          <w:t xml:space="preserve">and amendments to those reports and schedules, are available free of charge on </w:t>
        </w:r>
      </w:hyperlink>
      <w:r>
        <w:rPr>
          <w:rFonts w:ascii="Arial" w:cs="Arial" w:eastAsia="Arial" w:hAnsi="Arial"/>
          <w:sz w:val="18"/>
          <w:szCs w:val="18"/>
          <w:color w:val="0000EE"/>
        </w:rPr>
        <w:t xml:space="preserve">our </w:t>
      </w:r>
      <w:r>
        <w:rPr>
          <w:rFonts w:ascii="Arial" w:cs="Arial" w:eastAsia="Arial" w:hAnsi="Arial"/>
          <w:sz w:val="18"/>
          <w:szCs w:val="18"/>
          <w:color w:val="000000"/>
        </w:rPr>
        <w:t>website (http://www.clearwayenergy.com) as soon as reasonably practicable after they are filed with, or furnished to, the SEC. Our website and the information contained on that site, or connected to that site, are not incorporated into and are not a part of this prospectus supplement except for the documents specifically incorporated by reference as noted above. This reference to our website is an inactive textual reference only and is not a hyperlink. The contents of our website are not part of this prospectus supplement, and you should not consider the contents of our website in making an investment decision with respect to our Class C common stock. You may also obtain a copy of these filings at no cost by writing or telephoning us at the following address:</w:t>
      </w:r>
    </w:p>
    <w:p>
      <w:pPr>
        <w:spacing w:after="0" w:line="124" w:lineRule="exact"/>
        <w:rPr>
          <w:rFonts w:ascii="Arial" w:cs="Arial" w:eastAsia="Arial" w:hAnsi="Arial"/>
          <w:sz w:val="18"/>
          <w:szCs w:val="18"/>
          <w:color w:val="auto"/>
        </w:rPr>
      </w:pPr>
    </w:p>
    <w:p>
      <w:pPr>
        <w:jc w:val="center"/>
        <w:ind w:right="-540"/>
        <w:spacing w:after="0"/>
        <w:rPr>
          <w:sz w:val="20"/>
          <w:szCs w:val="20"/>
          <w:color w:val="auto"/>
        </w:rPr>
      </w:pPr>
      <w:r>
        <w:rPr>
          <w:rFonts w:ascii="Arial" w:cs="Arial" w:eastAsia="Arial" w:hAnsi="Arial"/>
          <w:sz w:val="18"/>
          <w:szCs w:val="18"/>
          <w:color w:val="auto"/>
        </w:rPr>
        <w:t>Clearway Energy, Inc.</w:t>
      </w:r>
    </w:p>
    <w:p>
      <w:pPr>
        <w:spacing w:after="0" w:line="23" w:lineRule="exact"/>
        <w:rPr>
          <w:rFonts w:ascii="Arial" w:cs="Arial" w:eastAsia="Arial" w:hAnsi="Arial"/>
          <w:sz w:val="18"/>
          <w:szCs w:val="18"/>
          <w:color w:val="auto"/>
        </w:rPr>
      </w:pPr>
    </w:p>
    <w:p>
      <w:pPr>
        <w:jc w:val="center"/>
        <w:ind w:right="-540"/>
        <w:spacing w:after="0"/>
        <w:rPr>
          <w:sz w:val="20"/>
          <w:szCs w:val="20"/>
          <w:color w:val="auto"/>
        </w:rPr>
      </w:pPr>
      <w:r>
        <w:rPr>
          <w:rFonts w:ascii="Arial" w:cs="Arial" w:eastAsia="Arial" w:hAnsi="Arial"/>
          <w:sz w:val="18"/>
          <w:szCs w:val="18"/>
          <w:color w:val="auto"/>
        </w:rPr>
        <w:t>300 Carnegie Center, Suite 300</w:t>
      </w:r>
    </w:p>
    <w:p>
      <w:pPr>
        <w:spacing w:after="0" w:line="9" w:lineRule="exact"/>
        <w:rPr>
          <w:rFonts w:ascii="Arial" w:cs="Arial" w:eastAsia="Arial" w:hAnsi="Arial"/>
          <w:sz w:val="18"/>
          <w:szCs w:val="18"/>
          <w:color w:val="auto"/>
        </w:rPr>
      </w:pPr>
    </w:p>
    <w:p>
      <w:pPr>
        <w:jc w:val="center"/>
        <w:ind w:right="-540"/>
        <w:spacing w:after="0"/>
        <w:rPr>
          <w:sz w:val="20"/>
          <w:szCs w:val="20"/>
          <w:color w:val="auto"/>
        </w:rPr>
      </w:pPr>
      <w:r>
        <w:rPr>
          <w:rFonts w:ascii="Arial" w:cs="Arial" w:eastAsia="Arial" w:hAnsi="Arial"/>
          <w:sz w:val="18"/>
          <w:szCs w:val="18"/>
          <w:color w:val="auto"/>
        </w:rPr>
        <w:t>Princeton, NJ 08540</w:t>
      </w:r>
    </w:p>
    <w:p>
      <w:pPr>
        <w:spacing w:after="0" w:line="9" w:lineRule="exact"/>
        <w:rPr>
          <w:rFonts w:ascii="Arial" w:cs="Arial" w:eastAsia="Arial" w:hAnsi="Arial"/>
          <w:sz w:val="18"/>
          <w:szCs w:val="18"/>
          <w:color w:val="auto"/>
        </w:rPr>
      </w:pPr>
    </w:p>
    <w:p>
      <w:pPr>
        <w:jc w:val="center"/>
        <w:ind w:right="-540"/>
        <w:spacing w:after="0"/>
        <w:rPr>
          <w:sz w:val="20"/>
          <w:szCs w:val="20"/>
          <w:color w:val="auto"/>
        </w:rPr>
      </w:pPr>
      <w:r>
        <w:rPr>
          <w:rFonts w:ascii="Arial" w:cs="Arial" w:eastAsia="Arial" w:hAnsi="Arial"/>
          <w:sz w:val="18"/>
          <w:szCs w:val="18"/>
          <w:color w:val="auto"/>
        </w:rPr>
        <w:t>(609) 608 1525</w:t>
      </w:r>
    </w:p>
    <w:p>
      <w:pPr>
        <w:spacing w:after="0" w:line="9" w:lineRule="exact"/>
        <w:rPr>
          <w:rFonts w:ascii="Arial" w:cs="Arial" w:eastAsia="Arial" w:hAnsi="Arial"/>
          <w:sz w:val="18"/>
          <w:szCs w:val="18"/>
          <w:color w:val="auto"/>
        </w:rPr>
      </w:pPr>
    </w:p>
    <w:p>
      <w:pPr>
        <w:jc w:val="center"/>
        <w:ind w:right="-580"/>
        <w:spacing w:after="0"/>
        <w:rPr>
          <w:sz w:val="20"/>
          <w:szCs w:val="20"/>
          <w:color w:val="auto"/>
        </w:rPr>
      </w:pPr>
      <w:r>
        <w:rPr>
          <w:rFonts w:ascii="Arial" w:cs="Arial" w:eastAsia="Arial" w:hAnsi="Arial"/>
          <w:sz w:val="18"/>
          <w:szCs w:val="18"/>
          <w:color w:val="auto"/>
        </w:rPr>
        <w:t>Attention: Corporate Secretary</w:t>
      </w:r>
    </w:p>
    <w:p>
      <w:pPr>
        <w:spacing w:after="0" w:line="130" w:lineRule="exact"/>
        <w:rPr>
          <w:rFonts w:ascii="Arial" w:cs="Arial" w:eastAsia="Arial" w:hAnsi="Arial"/>
          <w:sz w:val="18"/>
          <w:szCs w:val="18"/>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Any statements made in this prospectus supplement concerning the provisions of legal documents are not necessarily complete and you should read the documents that are filed with the SEC for a more complete understanding of the document or matter.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5160"/>
        <w:spacing w:after="0"/>
        <w:rPr>
          <w:sz w:val="20"/>
          <w:szCs w:val="20"/>
          <w:color w:val="auto"/>
        </w:rPr>
      </w:pPr>
      <w:r>
        <w:rPr>
          <w:rFonts w:ascii="Arial" w:cs="Arial" w:eastAsia="Arial" w:hAnsi="Arial"/>
          <w:sz w:val="18"/>
          <w:szCs w:val="18"/>
          <w:color w:val="auto"/>
        </w:rPr>
        <w:t>S-16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INCORPORATION BY REFERENCE</w:t>
      </w:r>
    </w:p>
    <w:p>
      <w:pPr>
        <w:spacing w:after="0" w:line="148"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The SEC allows the “incorporation by reference” of the information filed by us with the SEC into this prospectus supplement, which means that important information can be disclosed to you by referring you to those documents and those documents will be considered part of this prospectus supplement. Information that we file later with the SEC will automatically update and supersede the previously filed information. The documents listed below and any future filings we make with the SEC under Sections 13(a), 13(c), 14 or 15(d) of the Exchange Act (other than portions of these documents that are either (1) described in paragraph</w:t>
      </w:r>
    </w:p>
    <w:p>
      <w:pPr>
        <w:spacing w:after="0" w:line="1" w:lineRule="exact"/>
        <w:rPr>
          <w:sz w:val="20"/>
          <w:szCs w:val="20"/>
          <w:color w:val="auto"/>
        </w:rPr>
      </w:pPr>
    </w:p>
    <w:p>
      <w:pPr>
        <w:ind w:left="1260" w:right="679" w:firstLine="2"/>
        <w:spacing w:after="0" w:line="255" w:lineRule="auto"/>
        <w:tabs>
          <w:tab w:leader="none" w:pos="1519" w:val="left"/>
        </w:tabs>
        <w:numPr>
          <w:ilvl w:val="0"/>
          <w:numId w:val="8"/>
        </w:numPr>
        <w:rPr>
          <w:rFonts w:ascii="Arial" w:cs="Arial" w:eastAsia="Arial" w:hAnsi="Arial"/>
          <w:sz w:val="18"/>
          <w:szCs w:val="18"/>
          <w:color w:val="auto"/>
        </w:rPr>
      </w:pPr>
      <w:r>
        <w:rPr>
          <w:rFonts w:ascii="Arial" w:cs="Arial" w:eastAsia="Arial" w:hAnsi="Arial"/>
          <w:sz w:val="18"/>
          <w:szCs w:val="18"/>
          <w:color w:val="auto"/>
        </w:rPr>
        <w:t>of Item 201 of Regulation S-K or paragraphs (d)(1)-(3) and (e)(5) of Item 407 of Regulation S-K promulgated by the SEC or (2) furnished under Item 2.02 or Item 7.01 of a Current Report on Form 8-K) are incorporated by reference herein:</w:t>
      </w:r>
    </w:p>
    <w:p>
      <w:pPr>
        <w:spacing w:after="0" w:line="81" w:lineRule="exact"/>
        <w:rPr>
          <w:rFonts w:ascii="Arial" w:cs="Arial" w:eastAsia="Arial" w:hAnsi="Arial"/>
          <w:sz w:val="18"/>
          <w:szCs w:val="18"/>
          <w:color w:val="auto"/>
        </w:rPr>
      </w:pPr>
    </w:p>
    <w:p>
      <w:pPr>
        <w:ind w:left="1800" w:right="679" w:hanging="178"/>
        <w:spacing w:after="0" w:line="277" w:lineRule="auto"/>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Our </w:t>
      </w:r>
      <w:hyperlink r:id="rId18">
        <w:r>
          <w:rPr>
            <w:rFonts w:ascii="Arial" w:cs="Arial" w:eastAsia="Arial" w:hAnsi="Arial"/>
            <w:sz w:val="18"/>
            <w:szCs w:val="18"/>
            <w:u w:val="single" w:color="auto"/>
            <w:color w:val="0000EE"/>
          </w:rPr>
          <w:t>Annual Report on Form 10-K for the year ended December 31, 2019, filed on March 2,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our </w:t>
      </w:r>
      <w:hyperlink r:id="rId45">
        <w:r>
          <w:rPr>
            <w:rFonts w:ascii="Arial" w:cs="Arial" w:eastAsia="Arial" w:hAnsi="Arial"/>
            <w:sz w:val="18"/>
            <w:szCs w:val="18"/>
            <w:u w:val="single" w:color="auto"/>
            <w:color w:val="0000EE"/>
          </w:rPr>
          <w:t>Amendment No. 1 on Form 10-K/A to such annual report filed on March 30, 2020</w:t>
        </w:r>
      </w:hyperlink>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800" w:right="859" w:hanging="178"/>
        <w:spacing w:after="0" w:line="277" w:lineRule="auto"/>
        <w:tabs>
          <w:tab w:leader="none" w:pos="1800" w:val="left"/>
        </w:tabs>
        <w:numPr>
          <w:ilvl w:val="1"/>
          <w:numId w:val="8"/>
        </w:numPr>
        <w:rPr>
          <w:rFonts w:ascii="Arial" w:cs="Arial" w:eastAsia="Arial" w:hAnsi="Arial"/>
          <w:sz w:val="18"/>
          <w:szCs w:val="18"/>
          <w:color w:val="0000EE"/>
        </w:rPr>
      </w:pPr>
      <w:hyperlink r:id="rId43">
        <w:r>
          <w:rPr>
            <w:rFonts w:ascii="Arial" w:cs="Arial" w:eastAsia="Arial" w:hAnsi="Arial"/>
            <w:sz w:val="18"/>
            <w:szCs w:val="18"/>
            <w:u w:val="single" w:color="auto"/>
            <w:color w:val="0000EE"/>
          </w:rPr>
          <w:t>The information specifically incorporated by reference into our Annual Report on Form 10-K from</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our definitive proxy statement on Schedule 14A, filed on March 17, 2020</w:t>
        </w:r>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left="1800" w:right="799" w:hanging="178"/>
        <w:spacing w:after="0" w:line="277" w:lineRule="auto"/>
        <w:tabs>
          <w:tab w:leader="none" w:pos="1800" w:val="left"/>
        </w:tabs>
        <w:numPr>
          <w:ilvl w:val="1"/>
          <w:numId w:val="8"/>
        </w:numPr>
        <w:rPr>
          <w:rFonts w:ascii="Arial" w:cs="Arial" w:eastAsia="Arial" w:hAnsi="Arial"/>
          <w:sz w:val="18"/>
          <w:szCs w:val="18"/>
          <w:color w:val="0000EE"/>
        </w:rPr>
      </w:pPr>
      <w:hyperlink r:id="rId19">
        <w:r>
          <w:rPr>
            <w:rFonts w:ascii="Arial" w:cs="Arial" w:eastAsia="Arial" w:hAnsi="Arial"/>
            <w:sz w:val="18"/>
            <w:szCs w:val="18"/>
            <w:u w:val="single" w:color="auto"/>
            <w:color w:val="0000EE"/>
          </w:rPr>
          <w:t>Our Quarterly Report on Form 10-Q for the quarterly period ended March 31, 2020, filed on May 7,</w:t>
        </w:r>
      </w:hyperlink>
      <w:r>
        <w:rPr>
          <w:rFonts w:ascii="Arial" w:cs="Arial" w:eastAsia="Arial" w:hAnsi="Arial"/>
          <w:sz w:val="18"/>
          <w:szCs w:val="18"/>
          <w:u w:val="single" w:color="auto"/>
          <w:color w:val="0000EE"/>
        </w:rPr>
        <w:t xml:space="preserve"> </w:t>
      </w:r>
      <w:hyperlink r:id="rId19">
        <w:r>
          <w:rPr>
            <w:rFonts w:ascii="Arial" w:cs="Arial" w:eastAsia="Arial" w:hAnsi="Arial"/>
            <w:sz w:val="18"/>
            <w:szCs w:val="18"/>
            <w:u w:val="single" w:color="auto"/>
            <w:color w:val="0000EE"/>
          </w:rPr>
          <w:t>2020</w:t>
        </w:r>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left="1800" w:right="739" w:hanging="178"/>
        <w:spacing w:after="0" w:line="277" w:lineRule="auto"/>
        <w:tabs>
          <w:tab w:leader="none" w:pos="1800" w:val="left"/>
        </w:tabs>
        <w:numPr>
          <w:ilvl w:val="1"/>
          <w:numId w:val="8"/>
        </w:numPr>
        <w:rPr>
          <w:rFonts w:ascii="Arial" w:cs="Arial" w:eastAsia="Arial" w:hAnsi="Arial"/>
          <w:sz w:val="18"/>
          <w:szCs w:val="18"/>
          <w:color w:val="0000EE"/>
        </w:rPr>
      </w:pPr>
      <w:hyperlink r:id="rId46">
        <w:r>
          <w:rPr>
            <w:rFonts w:ascii="Arial" w:cs="Arial" w:eastAsia="Arial" w:hAnsi="Arial"/>
            <w:sz w:val="18"/>
            <w:szCs w:val="18"/>
            <w:u w:val="single" w:color="auto"/>
            <w:color w:val="0000EE"/>
          </w:rPr>
          <w:t>Our Quarterly Report on Form 10-Q for the quarterly period ended June 30, 2020, filed on August 6,</w:t>
        </w:r>
      </w:hyperlink>
      <w:r>
        <w:rPr>
          <w:rFonts w:ascii="Arial" w:cs="Arial" w:eastAsia="Arial" w:hAnsi="Arial"/>
          <w:sz w:val="18"/>
          <w:szCs w:val="18"/>
          <w:u w:val="single" w:color="auto"/>
          <w:color w:val="0000EE"/>
        </w:rPr>
        <w:t xml:space="preserve"> </w:t>
      </w:r>
      <w:hyperlink r:id="rId46">
        <w:r>
          <w:rPr>
            <w:rFonts w:ascii="Arial" w:cs="Arial" w:eastAsia="Arial" w:hAnsi="Arial"/>
            <w:sz w:val="18"/>
            <w:szCs w:val="18"/>
            <w:u w:val="single" w:color="auto"/>
            <w:color w:val="0000EE"/>
          </w:rPr>
          <w:t>2020</w:t>
        </w:r>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left="1800" w:right="859" w:hanging="178"/>
        <w:spacing w:after="0" w:line="277" w:lineRule="auto"/>
        <w:tabs>
          <w:tab w:leader="none" w:pos="1800" w:val="left"/>
        </w:tabs>
        <w:numPr>
          <w:ilvl w:val="1"/>
          <w:numId w:val="8"/>
        </w:numPr>
        <w:rPr>
          <w:rFonts w:ascii="Arial" w:cs="Arial" w:eastAsia="Arial" w:hAnsi="Arial"/>
          <w:sz w:val="18"/>
          <w:szCs w:val="18"/>
          <w:color w:val="0000EE"/>
        </w:rPr>
      </w:pPr>
      <w:hyperlink r:id="rId47">
        <w:r>
          <w:rPr>
            <w:rFonts w:ascii="Arial" w:cs="Arial" w:eastAsia="Arial" w:hAnsi="Arial"/>
            <w:sz w:val="18"/>
            <w:szCs w:val="18"/>
            <w:color w:val="auto"/>
          </w:rPr>
          <w:t xml:space="preserve">Our Current Reports on Form 8-K filed on </w:t>
        </w:r>
        <w:r>
          <w:rPr>
            <w:rFonts w:ascii="Arial" w:cs="Arial" w:eastAsia="Arial" w:hAnsi="Arial"/>
            <w:sz w:val="18"/>
            <w:szCs w:val="18"/>
            <w:u w:val="single" w:color="auto"/>
            <w:color w:val="0000EE"/>
          </w:rPr>
          <w:t>January 8,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3,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20,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4,</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8">
        <w:r>
          <w:rPr>
            <w:rFonts w:ascii="Arial" w:cs="Arial" w:eastAsia="Arial" w:hAnsi="Arial"/>
            <w:sz w:val="18"/>
            <w:szCs w:val="18"/>
            <w:u w:val="single" w:color="auto"/>
            <w:color w:val="0000EE"/>
          </w:rPr>
          <w:t>May 21, 2020</w:t>
        </w:r>
      </w:hyperlink>
      <w:hyperlink r:id="rId47">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9">
        <w:r>
          <w:rPr>
            <w:rFonts w:ascii="Arial" w:cs="Arial" w:eastAsia="Arial" w:hAnsi="Arial"/>
            <w:sz w:val="18"/>
            <w:szCs w:val="18"/>
            <w:u w:val="single" w:color="auto"/>
            <w:color w:val="0000EE"/>
          </w:rPr>
          <w:t xml:space="preserve">July 21, 2020 </w:t>
        </w:r>
      </w:hyperlink>
      <w:hyperlink r:id="rId47">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50">
        <w:r>
          <w:rPr>
            <w:rFonts w:ascii="Arial" w:cs="Arial" w:eastAsia="Arial" w:hAnsi="Arial"/>
            <w:sz w:val="18"/>
            <w:szCs w:val="18"/>
            <w:u w:val="single" w:color="auto"/>
            <w:color w:val="0000EE"/>
          </w:rPr>
          <w:t>July 23, 2020</w:t>
        </w:r>
      </w:hyperlink>
      <w:hyperlink r:id="rId47">
        <w:r>
          <w:rPr>
            <w:rFonts w:ascii="Arial" w:cs="Arial" w:eastAsia="Arial" w:hAnsi="Arial"/>
            <w:sz w:val="18"/>
            <w:szCs w:val="18"/>
            <w:color w:val="000000"/>
          </w:rPr>
          <w:t>; and</w:t>
        </w:r>
      </w:hyperlink>
    </w:p>
    <w:p>
      <w:pPr>
        <w:spacing w:after="0" w:line="62" w:lineRule="exact"/>
        <w:rPr>
          <w:rFonts w:ascii="Arial" w:cs="Arial" w:eastAsia="Arial" w:hAnsi="Arial"/>
          <w:sz w:val="18"/>
          <w:szCs w:val="18"/>
          <w:color w:val="0000EE"/>
        </w:rPr>
      </w:pPr>
    </w:p>
    <w:p>
      <w:pPr>
        <w:ind w:left="1800" w:right="959" w:hanging="178"/>
        <w:spacing w:after="0" w:line="279" w:lineRule="auto"/>
        <w:tabs>
          <w:tab w:leader="none" w:pos="1800" w:val="left"/>
        </w:tabs>
        <w:numPr>
          <w:ilvl w:val="1"/>
          <w:numId w:val="8"/>
        </w:numPr>
        <w:rPr>
          <w:rFonts w:ascii="Arial" w:cs="Arial" w:eastAsia="Arial" w:hAnsi="Arial"/>
          <w:sz w:val="17"/>
          <w:szCs w:val="17"/>
          <w:color w:val="auto"/>
        </w:rPr>
      </w:pPr>
      <w:r>
        <w:rPr>
          <w:rFonts w:ascii="Arial" w:cs="Arial" w:eastAsia="Arial" w:hAnsi="Arial"/>
          <w:sz w:val="17"/>
          <w:szCs w:val="17"/>
          <w:color w:val="auto"/>
        </w:rPr>
        <w:t xml:space="preserve">The description of our Class C common stock, par value $0.01 per share, contained in our Registration Statement on </w:t>
      </w:r>
      <w:hyperlink r:id="rId51">
        <w:r>
          <w:rPr>
            <w:rFonts w:ascii="Arial" w:cs="Arial" w:eastAsia="Arial" w:hAnsi="Arial"/>
            <w:sz w:val="17"/>
            <w:szCs w:val="17"/>
            <w:u w:val="single" w:color="auto"/>
            <w:color w:val="0000EE"/>
          </w:rPr>
          <w:t>Form 8-A/A filed on May 8, 2015</w:t>
        </w:r>
      </w:hyperlink>
      <w:r>
        <w:rPr>
          <w:rFonts w:ascii="Arial" w:cs="Arial" w:eastAsia="Arial" w:hAnsi="Arial"/>
          <w:sz w:val="17"/>
          <w:szCs w:val="17"/>
          <w:color w:val="auto"/>
        </w:rPr>
        <w:t xml:space="preserve">, which amended our Registration Statement on </w:t>
      </w:r>
      <w:hyperlink r:id="rId52">
        <w:r>
          <w:rPr>
            <w:rFonts w:ascii="Arial" w:cs="Arial" w:eastAsia="Arial" w:hAnsi="Arial"/>
            <w:sz w:val="17"/>
            <w:szCs w:val="17"/>
            <w:u w:val="single" w:color="auto"/>
            <w:color w:val="0000EE"/>
          </w:rPr>
          <w:t>Form 8-A filed on July 12, 2013 (File No. 001-36002)</w:t>
        </w:r>
      </w:hyperlink>
      <w:r>
        <w:rPr>
          <w:rFonts w:ascii="Arial" w:cs="Arial" w:eastAsia="Arial" w:hAnsi="Arial"/>
          <w:sz w:val="17"/>
          <w:szCs w:val="17"/>
          <w:color w:val="auto"/>
        </w:rPr>
        <w:t>, including any amendment or report filed for the purpose of updating, changing or otherwise modifying such description.</w:t>
      </w:r>
    </w:p>
    <w:p>
      <w:pPr>
        <w:spacing w:after="0" w:line="104" w:lineRule="exact"/>
        <w:rPr>
          <w:rFonts w:ascii="Arial" w:cs="Arial" w:eastAsia="Arial" w:hAnsi="Arial"/>
          <w:sz w:val="17"/>
          <w:szCs w:val="17"/>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Any statement contained in a document incorporated or deemed to be incorporated by reference into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75" w:lineRule="exact"/>
        <w:rPr>
          <w:rFonts w:ascii="Arial" w:cs="Arial" w:eastAsia="Arial" w:hAnsi="Arial"/>
          <w:sz w:val="17"/>
          <w:szCs w:val="17"/>
          <w:color w:val="auto"/>
        </w:rPr>
      </w:pPr>
    </w:p>
    <w:p>
      <w:pPr>
        <w:ind w:left="5160"/>
        <w:spacing w:after="0"/>
        <w:rPr>
          <w:sz w:val="20"/>
          <w:szCs w:val="20"/>
          <w:color w:val="auto"/>
        </w:rPr>
      </w:pPr>
      <w:r>
        <w:rPr>
          <w:rFonts w:ascii="Arial" w:cs="Arial" w:eastAsia="Arial" w:hAnsi="Arial"/>
          <w:sz w:val="18"/>
          <w:szCs w:val="18"/>
          <w:color w:val="auto"/>
        </w:rPr>
        <w:t>S-17</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128905</wp:posOffset>
            </wp:positionV>
            <wp:extent cx="3780155" cy="8401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378015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Arial" w:cs="Arial" w:eastAsia="Arial" w:hAnsi="Arial"/>
          <w:sz w:val="32"/>
          <w:szCs w:val="32"/>
          <w:b w:val="1"/>
          <w:bCs w:val="1"/>
          <w:color w:val="auto"/>
        </w:rPr>
        <w:t>Clearway Energy, Inc.</w:t>
      </w:r>
    </w:p>
    <w:p>
      <w:pPr>
        <w:spacing w:after="0" w:line="217" w:lineRule="exact"/>
        <w:rPr>
          <w:sz w:val="20"/>
          <w:szCs w:val="20"/>
          <w:color w:val="auto"/>
        </w:rPr>
      </w:pPr>
    </w:p>
    <w:p>
      <w:pPr>
        <w:jc w:val="center"/>
        <w:ind w:right="-540"/>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p>
    <w:p>
      <w:pPr>
        <w:jc w:val="center"/>
        <w:ind w:right="-540"/>
        <w:spacing w:after="0"/>
        <w:rPr>
          <w:sz w:val="20"/>
          <w:szCs w:val="20"/>
          <w:color w:val="auto"/>
        </w:rPr>
      </w:pPr>
      <w:r>
        <w:rPr>
          <w:rFonts w:ascii="Arial" w:cs="Arial" w:eastAsia="Arial" w:hAnsi="Arial"/>
          <w:sz w:val="25"/>
          <w:szCs w:val="25"/>
          <w:b w:val="1"/>
          <w:bCs w:val="1"/>
          <w:color w:val="auto"/>
        </w:rPr>
        <w:t>Class C Common Stock</w:t>
      </w:r>
    </w:p>
    <w:p>
      <w:pPr>
        <w:jc w:val="center"/>
        <w:ind w:right="-540"/>
        <w:spacing w:after="0" w:line="236" w:lineRule="auto"/>
        <w:rPr>
          <w:sz w:val="20"/>
          <w:szCs w:val="20"/>
          <w:color w:val="auto"/>
        </w:rPr>
      </w:pPr>
      <w:r>
        <w:rPr>
          <w:rFonts w:ascii="Arial" w:cs="Arial" w:eastAsia="Arial" w:hAnsi="Arial"/>
          <w:sz w:val="25"/>
          <w:szCs w:val="25"/>
          <w:b w:val="1"/>
          <w:bCs w:val="1"/>
          <w:color w:val="auto"/>
        </w:rPr>
        <w:t>Debt Securities</w:t>
      </w:r>
    </w:p>
    <w:p>
      <w:pPr>
        <w:spacing w:after="0" w:line="1" w:lineRule="exact"/>
        <w:rPr>
          <w:sz w:val="20"/>
          <w:szCs w:val="20"/>
          <w:color w:val="auto"/>
        </w:rPr>
      </w:pPr>
    </w:p>
    <w:p>
      <w:pPr>
        <w:jc w:val="center"/>
        <w:ind w:right="-600"/>
        <w:spacing w:after="0"/>
        <w:rPr>
          <w:sz w:val="20"/>
          <w:szCs w:val="20"/>
          <w:color w:val="auto"/>
        </w:rPr>
      </w:pPr>
      <w:r>
        <w:rPr>
          <w:rFonts w:ascii="Arial" w:cs="Arial" w:eastAsia="Arial" w:hAnsi="Arial"/>
          <w:sz w:val="25"/>
          <w:szCs w:val="25"/>
          <w:b w:val="1"/>
          <w:bCs w:val="1"/>
          <w:color w:val="auto"/>
        </w:rPr>
        <w:t>Preferred Stock</w:t>
      </w:r>
    </w:p>
    <w:p>
      <w:pPr>
        <w:spacing w:after="0" w:line="125"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Clearway Energy, Inc., from time to time, may offer to sell Class A common stock, Class C common stock, senior or subordinated debt securities, and preferred stock. The debt securities and preferred stock may be convertible into or exercisable or exchangeable for our Class A common stock, our Class C common stock, our preferred stock, our other securities or the debt or equity securities of one or more other entities. This prospectus describes some of the general terms that may apply to these securities. The specific terms of any securities to be offered will be described in a supplement to this prospectus. The prospectus supplements may also add, update, or change information contained in this prospectus.</w:t>
      </w:r>
    </w:p>
    <w:p>
      <w:pPr>
        <w:spacing w:after="0" w:line="96" w:lineRule="exact"/>
        <w:rPr>
          <w:sz w:val="20"/>
          <w:szCs w:val="20"/>
          <w:color w:val="auto"/>
        </w:rPr>
      </w:pPr>
    </w:p>
    <w:p>
      <w:pPr>
        <w:ind w:left="1260" w:right="939" w:firstLine="360"/>
        <w:spacing w:after="0" w:line="308" w:lineRule="auto"/>
        <w:rPr>
          <w:sz w:val="20"/>
          <w:szCs w:val="20"/>
          <w:color w:val="auto"/>
        </w:rPr>
      </w:pPr>
      <w:r>
        <w:rPr>
          <w:rFonts w:ascii="Arial" w:cs="Arial" w:eastAsia="Arial" w:hAnsi="Arial"/>
          <w:sz w:val="17"/>
          <w:szCs w:val="17"/>
          <w:color w:val="auto"/>
        </w:rPr>
        <w:t>We may offer and sell these securities to or through one or more underwriters, dealers and agents, or directly to purchasers, or through a combination of these methods, on a continuous or delayed basis.</w:t>
      </w:r>
    </w:p>
    <w:p>
      <w:pPr>
        <w:spacing w:after="0" w:line="79" w:lineRule="exact"/>
        <w:rPr>
          <w:sz w:val="20"/>
          <w:szCs w:val="20"/>
          <w:color w:val="auto"/>
        </w:rPr>
      </w:pPr>
    </w:p>
    <w:p>
      <w:pPr>
        <w:ind w:left="1260" w:right="819" w:firstLine="360"/>
        <w:spacing w:after="0" w:line="308" w:lineRule="auto"/>
        <w:rPr>
          <w:sz w:val="20"/>
          <w:szCs w:val="20"/>
          <w:color w:val="auto"/>
        </w:rPr>
      </w:pPr>
      <w:r>
        <w:rPr>
          <w:rFonts w:ascii="Arial" w:cs="Arial" w:eastAsia="Arial" w:hAnsi="Arial"/>
          <w:sz w:val="17"/>
          <w:szCs w:val="17"/>
          <w:color w:val="auto"/>
        </w:rPr>
        <w:t>Our Class A common stock is traded on the New York Stock Exchange under the symbol “CWEN.A.” Our Class C common stock is traded on the New York Stock Exchange under the symbol “CWEN.”</w:t>
      </w:r>
    </w:p>
    <w:p>
      <w:pPr>
        <w:spacing w:after="0" w:line="75" w:lineRule="exact"/>
        <w:rPr>
          <w:sz w:val="20"/>
          <w:szCs w:val="20"/>
          <w:color w:val="auto"/>
        </w:rPr>
      </w:pPr>
    </w:p>
    <w:p>
      <w:pPr>
        <w:ind w:left="1260" w:right="699" w:firstLine="360"/>
        <w:spacing w:after="0" w:line="343" w:lineRule="auto"/>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Investing in our securities involves risks. You should carefully consider the risks described under “Risk Factors” on page </w:t>
      </w:r>
      <w:hyperlink w:anchor="page28">
        <w:r>
          <w:rPr>
            <w:rFonts w:ascii="Arial" w:cs="Arial" w:eastAsia="Arial" w:hAnsi="Arial"/>
            <w:sz w:val="15"/>
            <w:szCs w:val="15"/>
            <w:b w:val="1"/>
            <w:bCs w:val="1"/>
            <w:u w:val="single" w:color="auto"/>
            <w:color w:val="0000EE"/>
          </w:rPr>
          <w:t>1</w:t>
        </w:r>
        <w:r>
          <w:rPr>
            <w:rFonts w:ascii="Arial" w:cs="Arial" w:eastAsia="Arial" w:hAnsi="Arial"/>
            <w:sz w:val="15"/>
            <w:szCs w:val="15"/>
            <w:b w:val="1"/>
            <w:bCs w:val="1"/>
            <w:u w:val="single" w:color="auto"/>
            <w:color w:val="auto"/>
          </w:rPr>
          <w:t xml:space="preserve"> </w:t>
        </w:r>
      </w:hyperlink>
      <w:r>
        <w:rPr>
          <w:rFonts w:ascii="Arial" w:cs="Arial" w:eastAsia="Arial" w:hAnsi="Arial"/>
          <w:sz w:val="15"/>
          <w:szCs w:val="15"/>
          <w:b w:val="1"/>
          <w:bCs w:val="1"/>
          <w:color w:val="auto"/>
        </w:rPr>
        <w:t>of this prospectus, as well as the other information contained or incorporated by reference in this prospectus and the related prospectus supplement, before making a decision to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167640</wp:posOffset>
            </wp:positionV>
            <wp:extent cx="12344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202565</wp:posOffset>
            </wp:positionV>
            <wp:extent cx="12344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The date of this prospectus is 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2218055</wp:posOffset>
            </wp:positionV>
            <wp:extent cx="68065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80" w:type="dxa"/>
            <w:vAlign w:val="bottom"/>
          </w:tcPr>
          <w:p>
            <w:pPr>
              <w:ind w:left="3160"/>
              <w:spacing w:after="0"/>
              <w:rPr>
                <w:sz w:val="20"/>
                <w:szCs w:val="20"/>
                <w:color w:val="auto"/>
              </w:rPr>
            </w:pPr>
            <w:r>
              <w:rPr>
                <w:rFonts w:ascii="Arial" w:cs="Arial" w:eastAsia="Arial" w:hAnsi="Arial"/>
                <w:sz w:val="18"/>
                <w:szCs w:val="18"/>
                <w:b w:val="1"/>
                <w:bCs w:val="1"/>
                <w:color w:val="auto"/>
              </w:rPr>
              <w:t>TABLE OF CONTENTS</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66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680" w:type="dxa"/>
            <w:vAlign w:val="bottom"/>
            <w:shd w:val="clear" w:color="auto" w:fill="CCEEFF"/>
          </w:tcPr>
          <w:p>
            <w:pPr>
              <w:spacing w:after="0" w:line="189" w:lineRule="exact"/>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ABOUT THIS PROSPECTUS</w:t>
              </w:r>
            </w:hyperlink>
          </w:p>
        </w:tc>
        <w:tc>
          <w:tcPr>
            <w:tcW w:w="1520" w:type="dxa"/>
            <w:vAlign w:val="bottom"/>
            <w:shd w:val="clear" w:color="auto" w:fill="CCEEFF"/>
          </w:tcPr>
          <w:p>
            <w:pPr>
              <w:jc w:val="right"/>
              <w:spacing w:after="0" w:line="189" w:lineRule="exact"/>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ii</w:t>
              </w:r>
            </w:hyperlink>
          </w:p>
        </w:tc>
        <w:tc>
          <w:tcPr>
            <w:tcW w:w="0" w:type="dxa"/>
            <w:vAlign w:val="bottom"/>
          </w:tcPr>
          <w:p>
            <w:pPr>
              <w:spacing w:after="0"/>
              <w:rPr>
                <w:sz w:val="1"/>
                <w:szCs w:val="1"/>
                <w:color w:val="auto"/>
              </w:rPr>
            </w:pPr>
          </w:p>
        </w:tc>
      </w:tr>
      <w:tr>
        <w:trPr>
          <w:trHeight w:val="257"/>
        </w:trPr>
        <w:tc>
          <w:tcPr>
            <w:tcW w:w="6700" w:type="dxa"/>
            <w:vAlign w:val="bottom"/>
            <w:gridSpan w:val="2"/>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FORWARD-LOOKING STATEMENTS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80" w:type="dxa"/>
            <w:vAlign w:val="bottom"/>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SUMMARY</w:t>
              </w:r>
            </w:hyperlink>
          </w:p>
        </w:tc>
        <w:tc>
          <w:tcPr>
            <w:tcW w:w="1520" w:type="dxa"/>
            <w:vAlign w:val="bottom"/>
            <w:shd w:val="clear" w:color="auto" w:fill="CCEEFF"/>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70"/>
        </w:trPr>
        <w:tc>
          <w:tcPr>
            <w:tcW w:w="6700" w:type="dxa"/>
            <w:vAlign w:val="bottom"/>
            <w:gridSpan w:val="2"/>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RISK FACTORS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80" w:type="dxa"/>
            <w:vAlign w:val="bottom"/>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USE OF PROCEEDS</w:t>
              </w:r>
            </w:hyperlink>
          </w:p>
        </w:tc>
        <w:tc>
          <w:tcPr>
            <w:tcW w:w="1520" w:type="dxa"/>
            <w:vAlign w:val="bottom"/>
            <w:shd w:val="clear" w:color="auto" w:fill="CCEEFF"/>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70"/>
        </w:trPr>
        <w:tc>
          <w:tcPr>
            <w:tcW w:w="6700" w:type="dxa"/>
            <w:vAlign w:val="bottom"/>
            <w:gridSpan w:val="2"/>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DESCRIPTION OF CAPITAL STOCK</w:t>
              </w:r>
            </w:hyperlink>
          </w:p>
        </w:tc>
        <w:tc>
          <w:tcPr>
            <w:tcW w:w="152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80" w:type="dxa"/>
            <w:vAlign w:val="bottom"/>
            <w:shd w:val="clear" w:color="auto" w:fill="CCEEFF"/>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DESCRIPTION OF DEBT SECURITIES</w:t>
              </w:r>
            </w:hyperlink>
          </w:p>
        </w:tc>
        <w:tc>
          <w:tcPr>
            <w:tcW w:w="1520" w:type="dxa"/>
            <w:vAlign w:val="bottom"/>
            <w:shd w:val="clear" w:color="auto" w:fill="CCEEFF"/>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12</w:t>
              </w:r>
            </w:hyperlink>
          </w:p>
        </w:tc>
        <w:tc>
          <w:tcPr>
            <w:tcW w:w="0" w:type="dxa"/>
            <w:vAlign w:val="bottom"/>
          </w:tcPr>
          <w:p>
            <w:pPr>
              <w:spacing w:after="0"/>
              <w:rPr>
                <w:sz w:val="1"/>
                <w:szCs w:val="1"/>
                <w:color w:val="auto"/>
              </w:rPr>
            </w:pPr>
          </w:p>
        </w:tc>
      </w:tr>
      <w:tr>
        <w:trPr>
          <w:trHeight w:val="270"/>
        </w:trPr>
        <w:tc>
          <w:tcPr>
            <w:tcW w:w="6700" w:type="dxa"/>
            <w:vAlign w:val="bottom"/>
            <w:gridSpan w:val="2"/>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PLAN OF DISTRIBUTION</w:t>
              </w:r>
            </w:hyperlink>
          </w:p>
        </w:tc>
        <w:tc>
          <w:tcPr>
            <w:tcW w:w="1520" w:type="dxa"/>
            <w:vAlign w:val="bottom"/>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14</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80" w:type="dxa"/>
            <w:vAlign w:val="bottom"/>
            <w:shd w:val="clear" w:color="auto" w:fill="CCEEFF"/>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LEGAL MATTERS</w:t>
              </w:r>
            </w:hyperlink>
          </w:p>
        </w:tc>
        <w:tc>
          <w:tcPr>
            <w:tcW w:w="1520" w:type="dxa"/>
            <w:vAlign w:val="bottom"/>
            <w:shd w:val="clear" w:color="auto" w:fill="CCEEFF"/>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16</w:t>
              </w:r>
            </w:hyperlink>
          </w:p>
        </w:tc>
        <w:tc>
          <w:tcPr>
            <w:tcW w:w="0" w:type="dxa"/>
            <w:vAlign w:val="bottom"/>
          </w:tcPr>
          <w:p>
            <w:pPr>
              <w:spacing w:after="0"/>
              <w:rPr>
                <w:sz w:val="1"/>
                <w:szCs w:val="1"/>
                <w:color w:val="auto"/>
              </w:rPr>
            </w:pPr>
          </w:p>
        </w:tc>
      </w:tr>
      <w:tr>
        <w:trPr>
          <w:trHeight w:val="270"/>
        </w:trPr>
        <w:tc>
          <w:tcPr>
            <w:tcW w:w="6700" w:type="dxa"/>
            <w:vAlign w:val="bottom"/>
            <w:gridSpan w:val="2"/>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EXPERTS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16</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80" w:type="dxa"/>
            <w:vAlign w:val="bottom"/>
            <w:shd w:val="clear" w:color="auto" w:fill="CCEEFF"/>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INCORPORATION BY REFERENCE OF CERTAIN INFORMATION</w:t>
              </w:r>
            </w:hyperlink>
          </w:p>
        </w:tc>
        <w:tc>
          <w:tcPr>
            <w:tcW w:w="1520" w:type="dxa"/>
            <w:vAlign w:val="bottom"/>
            <w:shd w:val="clear" w:color="auto" w:fill="CCEEFF"/>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16</w:t>
              </w:r>
            </w:hyperlink>
          </w:p>
        </w:tc>
        <w:tc>
          <w:tcPr>
            <w:tcW w:w="0" w:type="dxa"/>
            <w:vAlign w:val="bottom"/>
          </w:tcPr>
          <w:p>
            <w:pPr>
              <w:spacing w:after="0"/>
              <w:rPr>
                <w:sz w:val="1"/>
                <w:szCs w:val="1"/>
                <w:color w:val="auto"/>
              </w:rPr>
            </w:pPr>
          </w:p>
        </w:tc>
      </w:tr>
      <w:tr>
        <w:trPr>
          <w:trHeight w:val="270"/>
        </w:trPr>
        <w:tc>
          <w:tcPr>
            <w:tcW w:w="6700" w:type="dxa"/>
            <w:vAlign w:val="bottom"/>
            <w:gridSpan w:val="2"/>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WHERE YOU CAN FIND MORE INFORMATION</w:t>
              </w:r>
            </w:hyperlink>
          </w:p>
        </w:tc>
        <w:tc>
          <w:tcPr>
            <w:tcW w:w="152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17</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This prospectus is a part of a registration statement that we filed with the Securities and Exchange Commission (the “SEC”) utilizing a “shelf” registration process. Under this shelf registration process, we may sell any combination of the securities described in this prospectus in one or more offerings from time to time. This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this prospectus. Therefore, if there is any inconsistency between the information in this prospectus and the prospectus supplement, you should rely on the information in the prospectus supplement. You should read both this prospectus and any prospectus supplement, together with additional information described under the heading “Where You Can Find More Information.”</w:t>
      </w:r>
    </w:p>
    <w:p>
      <w:pPr>
        <w:spacing w:after="0" w:line="118"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8"/>
          <w:szCs w:val="18"/>
          <w:color w:val="auto"/>
        </w:rPr>
        <w:t>We have not authorized any dealer, salesman or other person to give any information or to make any representation other than those contained or incorporated by reference in this prospectus and any related prospectus supplement. You must not rely upon any information or representation not contained or incorporated by reference in this prospectus or the related prospectus supplement. This prospectus and any related prospectus supplement do not constitute an offer to sell or the solicitation of an offer to buy any securities other than the registered securities to which they relate, nor do this prospectus and any related prospectus supplement constitute an offer to sell or the solicitation of an offer to buy securities in any jurisdiction to any person to whom it is unlawful to make such offer or solicitation in such jurisdiction. You should not assume that the information in this prospectus, any prospectus supplement, or any document incorporated by reference is accurate as of any date other than the date of the document in which such information is contained, or such other date referred to in such document, regardless of the time of any sale or issuance of a security.</w:t>
      </w:r>
    </w:p>
    <w:p>
      <w:pPr>
        <w:spacing w:after="0" w:line="133" w:lineRule="exact"/>
        <w:rPr>
          <w:sz w:val="20"/>
          <w:szCs w:val="20"/>
          <w:color w:val="auto"/>
        </w:rPr>
      </w:pPr>
    </w:p>
    <w:p>
      <w:pPr>
        <w:jc w:val="both"/>
        <w:ind w:left="1260" w:right="779" w:firstLine="360"/>
        <w:spacing w:after="0" w:line="269" w:lineRule="auto"/>
        <w:rPr>
          <w:sz w:val="20"/>
          <w:szCs w:val="20"/>
          <w:color w:val="auto"/>
        </w:rPr>
      </w:pPr>
      <w:r>
        <w:rPr>
          <w:rFonts w:ascii="Arial" w:cs="Arial" w:eastAsia="Arial" w:hAnsi="Arial"/>
          <w:sz w:val="17"/>
          <w:szCs w:val="17"/>
          <w:color w:val="auto"/>
        </w:rPr>
        <w:t>Unless the context otherwise requires or as otherwise expressly stated, references in this prospectus to “Clearway Energy,” “the Company,” “we,” “us” and “our” and similar terms refer to Clearway Energy, Inc. and its direct and indirect subsidiaries on a consolidated basis. References in this prospectus to “Clearway Inc.” refer to Clearway Energy, Inc. and not any of its subsidiaries, unless the context otherwise requires.</w:t>
      </w:r>
    </w:p>
    <w:p>
      <w:pPr>
        <w:spacing w:after="0" w:line="2" w:lineRule="exact"/>
        <w:rPr>
          <w:sz w:val="20"/>
          <w:szCs w:val="20"/>
          <w:color w:val="auto"/>
        </w:rPr>
      </w:pPr>
    </w:p>
    <w:p>
      <w:pPr>
        <w:ind w:left="1260" w:right="759"/>
        <w:spacing w:after="0" w:line="260" w:lineRule="auto"/>
        <w:rPr>
          <w:sz w:val="20"/>
          <w:szCs w:val="20"/>
          <w:color w:val="auto"/>
        </w:rPr>
      </w:pPr>
      <w:r>
        <w:rPr>
          <w:rFonts w:ascii="Arial" w:cs="Arial" w:eastAsia="Arial" w:hAnsi="Arial"/>
          <w:sz w:val="18"/>
          <w:szCs w:val="18"/>
          <w:color w:val="auto"/>
        </w:rPr>
        <w:t>References to our “common stock” or our “preferred stock” refer to the common stock or preferred stock of Clearway Energy, Inc. and not any of its subsidiaries, unless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7"/>
          <w:szCs w:val="17"/>
          <w:color w:val="auto"/>
        </w:rPr>
        <w:t>This prospectus, any related prospectus supplement, and the documents incorporated by reference herein and therein, include forward-looking statements within the meaning of Section 27A of the Securities Act of 1933, as amended (the “Securities Act”), and Section 21E of the Securities Exchange Act of 1934, as amended (the “Exchange Act”), which involve risks and uncertainties. All statements, other than statements of historical facts, that are included in or incorporated by reference into this prospectus, or made in presentations, in response to questions or otherwise, that address activities, events or developments that we expect or anticipate to occur in the future, including such matters as projections, capital allocation, future capital expenditures, business strategy, competitive strengths, goals, future acquisitions or dispositions, development or operation of power generation assets, market and industry developments and the growth of our business and operations (often, but not always, through the use of words or phrases such as “believes,” “plans,” “intends,” “will likely result,” “are expected to,” “will continue,” “is anticipated,” “estimated,” “projection,” “target,” “goal,” “objective,” “outlook” and similar expressions), are forward-looking statements. These factors, risks and uncertainties include, but are not limited to, the following:</w:t>
      </w:r>
    </w:p>
    <w:p>
      <w:pPr>
        <w:spacing w:after="0" w:line="72" w:lineRule="exact"/>
        <w:rPr>
          <w:sz w:val="20"/>
          <w:szCs w:val="20"/>
          <w:color w:val="auto"/>
        </w:rPr>
      </w:pPr>
    </w:p>
    <w:p>
      <w:pPr>
        <w:ind w:left="1800" w:hanging="178"/>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risks related to the Pacific Gas and Electric Company bankruptcy;</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and grow our quarterly dividend;</w:t>
      </w:r>
    </w:p>
    <w:p>
      <w:pPr>
        <w:spacing w:after="0" w:line="103" w:lineRule="exact"/>
        <w:rPr>
          <w:rFonts w:ascii="Arial" w:cs="Arial" w:eastAsia="Arial" w:hAnsi="Arial"/>
          <w:sz w:val="18"/>
          <w:szCs w:val="18"/>
          <w:color w:val="auto"/>
        </w:rPr>
      </w:pPr>
    </w:p>
    <w:p>
      <w:pPr>
        <w:ind w:left="1800" w:right="779" w:hanging="178"/>
        <w:spacing w:after="0" w:line="308" w:lineRule="auto"/>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Potential risks related to our relationships with Global Infrastructure Investors III, LLC (“GIP”) and Clearway Energy Group LLC (“CEG”), including our ability to acquire assets from GIP or CEG;</w:t>
      </w:r>
    </w:p>
    <w:p>
      <w:pPr>
        <w:spacing w:after="0" w:line="38" w:lineRule="exact"/>
        <w:rPr>
          <w:rFonts w:ascii="Arial" w:cs="Arial" w:eastAsia="Arial" w:hAnsi="Arial"/>
          <w:sz w:val="17"/>
          <w:szCs w:val="17"/>
          <w:color w:val="auto"/>
        </w:rPr>
      </w:pPr>
    </w:p>
    <w:p>
      <w:pPr>
        <w:ind w:left="1800" w:hanging="178"/>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risks related to COVID-19 or any other pandemic;</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identify, evaluate and consummate acquisitions from third parties;</w:t>
      </w:r>
    </w:p>
    <w:p>
      <w:pPr>
        <w:spacing w:after="0" w:line="103"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additional capital due to our indebtedness, corporate structure, market conditions or otherwise;</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103" w:lineRule="exact"/>
        <w:rPr>
          <w:rFonts w:ascii="Arial" w:cs="Arial" w:eastAsia="Arial" w:hAnsi="Arial"/>
          <w:sz w:val="18"/>
          <w:szCs w:val="18"/>
          <w:color w:val="auto"/>
        </w:rPr>
      </w:pPr>
    </w:p>
    <w:p>
      <w:pPr>
        <w:ind w:left="1800" w:right="919" w:hanging="178"/>
        <w:spacing w:after="0" w:line="272" w:lineRule="auto"/>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w:t>
      </w:r>
    </w:p>
    <w:p>
      <w:pPr>
        <w:spacing w:after="0" w:line="69" w:lineRule="exact"/>
        <w:rPr>
          <w:rFonts w:ascii="Arial" w:cs="Arial" w:eastAsia="Arial" w:hAnsi="Arial"/>
          <w:sz w:val="17"/>
          <w:szCs w:val="17"/>
          <w:color w:val="auto"/>
        </w:rPr>
      </w:pPr>
    </w:p>
    <w:p>
      <w:pPr>
        <w:ind w:left="1800" w:right="779" w:hanging="178"/>
        <w:spacing w:after="0" w:line="26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operate our businesses efficiently, manage maintenance capital expenditures and costs effectively, and generate earnings and cash flows from our asset-based businesses in relation to our debt and other obligations;</w:t>
      </w:r>
    </w:p>
    <w:p>
      <w:pPr>
        <w:spacing w:after="0" w:line="62" w:lineRule="exact"/>
        <w:rPr>
          <w:rFonts w:ascii="Arial" w:cs="Arial" w:eastAsia="Arial" w:hAnsi="Arial"/>
          <w:sz w:val="18"/>
          <w:szCs w:val="18"/>
          <w:color w:val="auto"/>
        </w:rPr>
      </w:pPr>
    </w:p>
    <w:p>
      <w:pPr>
        <w:ind w:left="1800" w:right="101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willingness and ability of counterparties to our offtake agreements to fulfill their obligations under such agreements;</w:t>
      </w:r>
    </w:p>
    <w:p>
      <w:pPr>
        <w:spacing w:after="0" w:line="48" w:lineRule="exact"/>
        <w:rPr>
          <w:rFonts w:ascii="Arial" w:cs="Arial" w:eastAsia="Arial" w:hAnsi="Arial"/>
          <w:sz w:val="18"/>
          <w:szCs w:val="18"/>
          <w:color w:val="auto"/>
        </w:rPr>
      </w:pPr>
    </w:p>
    <w:p>
      <w:pPr>
        <w:ind w:left="1800" w:right="93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enter into contracts to sell power and procure fuel on acceptable terms and prices as current offtake agreements expire;</w:t>
      </w:r>
    </w:p>
    <w:p>
      <w:pPr>
        <w:spacing w:after="0" w:line="48" w:lineRule="exact"/>
        <w:rPr>
          <w:rFonts w:ascii="Arial" w:cs="Arial" w:eastAsia="Arial" w:hAnsi="Arial"/>
          <w:sz w:val="18"/>
          <w:szCs w:val="18"/>
          <w:color w:val="auto"/>
        </w:rPr>
      </w:pPr>
    </w:p>
    <w:p>
      <w:pPr>
        <w:ind w:left="1800" w:right="89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regulation, including compliance with regulatory requirements and changes in market rules, rates, tariffs and environmental laws;</w:t>
      </w:r>
    </w:p>
    <w:p>
      <w:pPr>
        <w:spacing w:after="0" w:line="48" w:lineRule="exact"/>
        <w:rPr>
          <w:rFonts w:ascii="Arial" w:cs="Arial" w:eastAsia="Arial" w:hAnsi="Arial"/>
          <w:sz w:val="18"/>
          <w:szCs w:val="18"/>
          <w:color w:val="auto"/>
        </w:rPr>
      </w:pPr>
    </w:p>
    <w:p>
      <w:pPr>
        <w:ind w:left="1800" w:right="719" w:hanging="178"/>
        <w:spacing w:after="0" w:line="272" w:lineRule="auto"/>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Operating and financial restrictions placed on us that are contained in the project-level debt facilities and other agreements of certain subsidiaries and project-level subsidiaries generally, in the Clearway Energy Operating LLC (“Clearway Operating LLC”) amended and restated revolving credit facility, in the indentures governing the $600.0 million aggregate principal amount of Clearway Operating LLC’s 5.750% unsecured senior notes due 2025, the $350.0 million aggregate principal amount of Clearway Operating LLC’s 5.00% unsecured senior notes due 2026, and the $850.0 million aggregate principal amount of Clearway Operating LLC’s 4.750% unsecured senior notes due 2028;</w:t>
      </w:r>
    </w:p>
    <w:p>
      <w:pPr>
        <w:spacing w:after="0" w:line="55" w:lineRule="exact"/>
        <w:rPr>
          <w:rFonts w:ascii="Arial" w:cs="Arial" w:eastAsia="Arial" w:hAnsi="Arial"/>
          <w:sz w:val="17"/>
          <w:szCs w:val="17"/>
          <w:color w:val="auto"/>
        </w:rPr>
      </w:pPr>
    </w:p>
    <w:p>
      <w:pPr>
        <w:ind w:left="1800" w:right="899" w:hanging="178"/>
        <w:spacing w:after="0" w:line="26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we may not have adequate insurance to cover losses resulting from such hazards or the inability of our insurers to provide coverage;</w:t>
      </w:r>
    </w:p>
    <w:p>
      <w:pPr>
        <w:sectPr>
          <w:pgSz w:w="11900" w:h="16838" w:orient="portrait"/>
          <w:cols w:equalWidth="0" w:num="1">
            <w:col w:w="10139"/>
          </w:cols>
          <w:pgMar w:left="320" w:top="131" w:right="1440" w:bottom="1440" w:gutter="0" w:footer="0" w:header="0"/>
        </w:sectPr>
      </w:pPr>
    </w:p>
    <w:p>
      <w:pPr>
        <w:spacing w:after="0" w:line="37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engage in successful mergers and acquisitions activity; and</w:t>
      </w:r>
    </w:p>
    <w:p>
      <w:pPr>
        <w:spacing w:after="0" w:line="117" w:lineRule="exact"/>
        <w:rPr>
          <w:rFonts w:ascii="Arial" w:cs="Arial" w:eastAsia="Arial" w:hAnsi="Arial"/>
          <w:sz w:val="18"/>
          <w:szCs w:val="18"/>
          <w:color w:val="auto"/>
        </w:rPr>
      </w:pPr>
    </w:p>
    <w:p>
      <w:pPr>
        <w:ind w:left="1800" w:right="1419" w:hanging="178"/>
        <w:spacing w:after="0" w:line="308"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borrow additional funds and access capital markets, as well as our substantial indebtedness and the possibility that we may incur additional indebtedness going forward.</w:t>
      </w:r>
    </w:p>
    <w:p>
      <w:pPr>
        <w:spacing w:after="0" w:line="65" w:lineRule="exact"/>
        <w:rPr>
          <w:sz w:val="20"/>
          <w:szCs w:val="20"/>
          <w:color w:val="auto"/>
        </w:rPr>
      </w:pPr>
    </w:p>
    <w:p>
      <w:pPr>
        <w:ind w:left="1260" w:right="919" w:firstLine="360"/>
        <w:spacing w:after="0" w:line="255" w:lineRule="auto"/>
        <w:rPr>
          <w:sz w:val="20"/>
          <w:szCs w:val="20"/>
          <w:color w:val="auto"/>
        </w:rPr>
      </w:pPr>
      <w:r>
        <w:rPr>
          <w:rFonts w:ascii="Arial" w:cs="Arial" w:eastAsia="Arial" w:hAnsi="Arial"/>
          <w:sz w:val="18"/>
          <w:szCs w:val="18"/>
          <w:color w:val="auto"/>
        </w:rPr>
        <w:t>Any forward-looking statement speaks only as of the date on which it is made, and except as may be required by applicable law, we undertake no obligation to publicly update or revise any forward-looking statement, whether as a result of new information, future events or otherwise. The foregoing review of factors that could cause our actual results to differ from those contemplated in any forward-looking statements included in this prospectus or incorporated herein by reference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SUMMARY</w:t>
      </w:r>
    </w:p>
    <w:p>
      <w:pPr>
        <w:spacing w:after="0" w:line="148"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i w:val="1"/>
          <w:iCs w:val="1"/>
          <w:color w:val="auto"/>
        </w:rPr>
        <w:t>The following summary highlights selected information contained elsewhere in this prospectus. Because it is a summary, it does not contain all of the information that you should consider before investing in our securities. You should read the entire prospectus carefully, including the “Risk Factors” section and the other documents we refer to and incorporate by reference, in order to understand this offering fully. In particular, we incorporate important business and financial information into this prospectus by reference.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Company</w:t>
      </w:r>
    </w:p>
    <w:p>
      <w:pPr>
        <w:spacing w:after="0" w:line="162"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We are a publicly-traded energy infrastructure investor in and owner of modern, sustainable and long-term contracted assets across North America. We are sponsored by GIP III Zephyr Acquisition Partners, L.P. through its portfolio company, CEG. GIP is an independent fund manager that invests in infrastructure assets in energy and transport sectors.</w:t>
      </w:r>
    </w:p>
    <w:p>
      <w:pPr>
        <w:spacing w:after="0" w:line="119"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 xml:space="preserve">We were incorporated as a Delaware corporation on December 20, 2012. Our Class A common stock is listed on the New York Stock Exchange under the symbol “CWEN.A,” and our Class C common stock is listed on the New York Stock Exchange under the symbol “CWEN.” Our headquarters and principal executive offices are located at 300 Carnegie Center, Suite 300, Princeton, New Jersey 08540. Our telephone number is (609) 608-1525. Our website is </w:t>
      </w:r>
      <w:r>
        <w:rPr>
          <w:rFonts w:ascii="Arial" w:cs="Arial" w:eastAsia="Arial" w:hAnsi="Arial"/>
          <w:sz w:val="17"/>
          <w:szCs w:val="17"/>
          <w:i w:val="1"/>
          <w:iCs w:val="1"/>
          <w:color w:val="auto"/>
        </w:rPr>
        <w:t>www.clearwayenergy.com</w:t>
      </w:r>
      <w:r>
        <w:rPr>
          <w:rFonts w:ascii="Arial" w:cs="Arial" w:eastAsia="Arial" w:hAnsi="Arial"/>
          <w:sz w:val="17"/>
          <w:szCs w:val="17"/>
          <w:color w:val="auto"/>
        </w:rPr>
        <w:t>. Information on our website is not part of this prospectus and is not incorporated into this prospectus by reference.</w:t>
      </w:r>
    </w:p>
    <w:p>
      <w:pPr>
        <w:spacing w:after="0" w:line="97"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You can get more information regarding our business by reading our Annual Report on Form 10-K for the fiscal year ended December 31, 2019, our Quarterly Reports on Form 10-Q for the quarterly periods ended March 31, 2020 and June 30, 2020, and the other reports we file with the SEC. See “Where You Can Find More Information.”</w:t>
      </w:r>
    </w:p>
    <w:p>
      <w:pPr>
        <w:spacing w:after="0" w:line="18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Our business is subject to uncertainties and risks. You should carefully consider and evaluate all of the information included and incorporated by reference in this prospectus, including the risk factors incorporated by reference from our most recent Annual Report on Form 10-K, as updated by our Quarterly Reports on Form 10-Q and other filings we make with the SEC, and in any prospectus supplement. It is possible that our business, financial condition, liquidity or results of operations could be materially adversely affected by any of these risks.</w:t>
      </w:r>
    </w:p>
    <w:p>
      <w:pPr>
        <w:spacing w:after="0" w:line="188"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60" w:right="799" w:firstLine="360"/>
        <w:spacing w:after="0" w:line="308" w:lineRule="auto"/>
        <w:rPr>
          <w:sz w:val="20"/>
          <w:szCs w:val="20"/>
          <w:color w:val="auto"/>
        </w:rPr>
      </w:pPr>
      <w:r>
        <w:rPr>
          <w:rFonts w:ascii="Arial" w:cs="Arial" w:eastAsia="Arial" w:hAnsi="Arial"/>
          <w:sz w:val="17"/>
          <w:szCs w:val="17"/>
          <w:color w:val="auto"/>
        </w:rPr>
        <w:t>Unless we inform you otherwise in the prospectus supplement, we expect to use the net proceeds from the sale of securities for general corporate purposes, which may include, among other things:</w:t>
      </w:r>
    </w:p>
    <w:p>
      <w:pPr>
        <w:spacing w:after="0" w:line="38" w:lineRule="exact"/>
        <w:rPr>
          <w:sz w:val="20"/>
          <w:szCs w:val="20"/>
          <w:color w:val="auto"/>
        </w:rPr>
      </w:pPr>
    </w:p>
    <w:p>
      <w:pPr>
        <w:ind w:left="1800" w:hanging="178"/>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repayment or refinancing of debt;</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funding working capital, capital expenditures or acquisitions.</w:t>
      </w:r>
    </w:p>
    <w:p>
      <w:pPr>
        <w:spacing w:after="0" w:line="144"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Pending any specific application, we may initially invest funds in short-term marketable securities or apply them to the reduction of short-term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2140585</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DESCRIPTION OF CAPITAL STOCK</w:t>
      </w:r>
    </w:p>
    <w:p>
      <w:pPr>
        <w:spacing w:after="0" w:line="148"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The following description of our capital stock is a summary and does not purport to be complete. It is subject to and qualified in its entirety by reference to our Amended and Restated Certificate of Incorporation (“Certificate of Incorporation”) and our Fourth Amended and Restated Bylaws (“Bylaws”). The following description may not contain all of the information that is important to you. To understand them fully, you should read our Certificate of Incorporation and our Bylaws and the applicable provisions of the Delaware General Corporation Law (the “DGCL”).</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Authorized Capitalization</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authorized capital stock consists, as of June 30, 2020, of:</w:t>
      </w:r>
    </w:p>
    <w:p>
      <w:pPr>
        <w:spacing w:after="0" w:line="158" w:lineRule="exact"/>
        <w:rPr>
          <w:sz w:val="20"/>
          <w:szCs w:val="20"/>
          <w:color w:val="auto"/>
        </w:rPr>
      </w:pPr>
    </w:p>
    <w:p>
      <w:pPr>
        <w:ind w:left="1980" w:right="1059" w:hanging="358"/>
        <w:spacing w:after="0" w:line="277"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500,000,000 shares of Class A common stock, par value $0.01 per share, of which 34,599,645 shares are issued and outstanding;</w:t>
      </w:r>
    </w:p>
    <w:p>
      <w:pPr>
        <w:spacing w:after="0" w:line="89" w:lineRule="exact"/>
        <w:rPr>
          <w:rFonts w:ascii="Arial" w:cs="Arial" w:eastAsia="Arial" w:hAnsi="Arial"/>
          <w:sz w:val="18"/>
          <w:szCs w:val="18"/>
          <w:color w:val="auto"/>
        </w:rPr>
      </w:pPr>
    </w:p>
    <w:p>
      <w:pPr>
        <w:ind w:left="1980" w:right="1059" w:hanging="358"/>
        <w:spacing w:after="0" w:line="277"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500,000,000 shares of Class B common stock, par value $0.01 per share, of which 42,738,750 shares are issued and outstanding;</w:t>
      </w:r>
    </w:p>
    <w:p>
      <w:pPr>
        <w:spacing w:after="0" w:line="102" w:lineRule="exact"/>
        <w:rPr>
          <w:rFonts w:ascii="Arial" w:cs="Arial" w:eastAsia="Arial" w:hAnsi="Arial"/>
          <w:sz w:val="18"/>
          <w:szCs w:val="18"/>
          <w:color w:val="auto"/>
        </w:rPr>
      </w:pPr>
    </w:p>
    <w:p>
      <w:pPr>
        <w:ind w:left="1980" w:right="919" w:hanging="358"/>
        <w:spacing w:after="0" w:line="277"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1,000,000,000 shares of Class C common stock, par value $0.01 per share, of which 80,601,556 shares are issued and outstanding;</w:t>
      </w:r>
    </w:p>
    <w:p>
      <w:pPr>
        <w:spacing w:after="0" w:line="89" w:lineRule="exact"/>
        <w:rPr>
          <w:rFonts w:ascii="Arial" w:cs="Arial" w:eastAsia="Arial" w:hAnsi="Arial"/>
          <w:sz w:val="18"/>
          <w:szCs w:val="18"/>
          <w:color w:val="auto"/>
        </w:rPr>
      </w:pPr>
    </w:p>
    <w:p>
      <w:pPr>
        <w:ind w:left="1980" w:right="919" w:hanging="358"/>
        <w:spacing w:after="0" w:line="277"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1,000,000,000 shares of Class D common stock, par value $0.01 per share, of which 42,738,750 shares are issued and outstanding; and</w:t>
      </w:r>
    </w:p>
    <w:p>
      <w:pPr>
        <w:spacing w:after="0" w:line="102" w:lineRule="exact"/>
        <w:rPr>
          <w:rFonts w:ascii="Arial" w:cs="Arial" w:eastAsia="Arial" w:hAnsi="Arial"/>
          <w:sz w:val="18"/>
          <w:szCs w:val="18"/>
          <w:color w:val="auto"/>
        </w:rPr>
      </w:pPr>
    </w:p>
    <w:p>
      <w:pPr>
        <w:ind w:left="1980" w:right="1119" w:hanging="358"/>
        <w:spacing w:after="0" w:line="277"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10,000,000 shares of preferred stock, par value $0.01 per share, none of which are issued and outstanding.</w:t>
      </w:r>
    </w:p>
    <w:p>
      <w:pPr>
        <w:spacing w:after="0" w:line="89"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In addition, as of June 30, 2020, (i) an aggregate of 1,590,375 shares of our Class A common stock and Class C common stock are reserved for issuance under our equity -based compensation plans, (ii) an aggregate of 42,738,750 shares of our Class A common stock are reserved for issuance upon the exchange of Class B units and (iii) an aggregate of 42,738,750 shares of our Class C common stock are reserved for issuance upon the exchange of Class D units. Unless our Board of Directors determines otherwise, we will issue all shares of our capital stock in uncertificated form.</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A Common Stock</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Voting Rights</w:t>
      </w:r>
    </w:p>
    <w:p>
      <w:pPr>
        <w:spacing w:after="0" w:line="158"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Each share of Class A common stock entitles the holder to one vote with respect to each matter presented to our stockholders on which the holders of Class A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our Class A common stock do not have cumulative voting rights. Except in respect of matters relating to the election and removal of directors on our Board of Directors and as otherwise provided in our Certificate of Incorporation or required by law, all matters to be voted on by holders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5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Subject to preferences that may be applicable to any then outstanding preferred stock, the holders of our outstanding shares of Class A common stock are entitled to receive dividends, if any, as may be declared from time to time by our Board of Directors out of legally available funds. Dividends upon shares of our Class A common stock may be declared by our Board of Directors at any regular or special meeting, and may</w:t>
      </w:r>
    </w:p>
    <w:p>
      <w:pPr>
        <w:sectPr>
          <w:pgSz w:w="11900" w:h="16838" w:orient="portrait"/>
          <w:cols w:equalWidth="0" w:num="1">
            <w:col w:w="10139"/>
          </w:cols>
          <w:pgMar w:left="320" w:top="131"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3" w:lineRule="auto"/>
        <w:rPr>
          <w:sz w:val="20"/>
          <w:szCs w:val="20"/>
          <w:color w:val="auto"/>
        </w:rPr>
      </w:pPr>
      <w:r>
        <w:rPr>
          <w:rFonts w:ascii="Arial" w:cs="Arial" w:eastAsia="Arial" w:hAnsi="Arial"/>
          <w:sz w:val="17"/>
          <w:szCs w:val="17"/>
          <w:color w:val="auto"/>
        </w:rPr>
        <w:t>be paid in cash, in property or in shares of capital stock. The holders of shares of Class A common stock and Class C common stock will share ratably in all dividends as may be declared by our Board of Directors in respect of our outstanding common stock. Before payment of any dividend, there may be set aside out of any of our funds available for dividends, such sums as the Board of Directors deems proper as reserves to meet contingencies, or for equalizing dividends, or for repairing or maintaining any of our property or for any proper purpose, and the Board of Directors may modify or abolish any such reserve. Furthermore, because we are a holding company, our ability to pay dividends on our Class A common stock is limited by restrictions on the ability of our subsidiaries to pay dividends or make other distributions to us, including restrictions under the terms of the agreements governing our indebtedness.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44" w:lineRule="exact"/>
        <w:rPr>
          <w:sz w:val="20"/>
          <w:szCs w:val="20"/>
          <w:color w:val="auto"/>
        </w:rPr>
      </w:pPr>
    </w:p>
    <w:p>
      <w:pPr>
        <w:ind w:left="1260" w:right="899" w:firstLine="360"/>
        <w:spacing w:after="0"/>
        <w:rPr>
          <w:sz w:val="20"/>
          <w:szCs w:val="20"/>
          <w:color w:val="auto"/>
        </w:rPr>
      </w:pPr>
      <w:r>
        <w:rPr>
          <w:rFonts w:ascii="Arial" w:cs="Arial" w:eastAsia="Arial" w:hAnsi="Arial"/>
          <w:sz w:val="18"/>
          <w:szCs w:val="18"/>
          <w:color w:val="auto"/>
        </w:rPr>
        <w:t>In the event of any voluntary or involuntary liquidation, dissolution or winding up of our affairs, holders of shares of our Class A common stock would be entitled to share ratably in our assets that are legally available for distribution to stockholders after payment of our debts and other liabilities and the liquidation preference of any of our outstanding shares of preferred stock, subject only to the right of the holders of shares of our Class B common stock and Class D common stock to receive payment for the par value of their shares in connection with our liquidation.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Rights</w:t>
      </w:r>
    </w:p>
    <w:p>
      <w:pPr>
        <w:spacing w:after="0" w:line="158"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7"/>
          <w:szCs w:val="17"/>
          <w:color w:val="auto"/>
        </w:rPr>
        <w:t>Holders of shares of our Class A common stock have no preemptive, conversion or other rights to subscribe for additional shares. All outstanding shares are, and all shares offered by this prospectus will be, when sold, validly issued, fully paid and nonassessable. The rights, preferences and privileges of the holders of shares of our Class A common stock are subject to, and may be adversely affected by, the rights of the holders of shares of any series of our preferred stock that we may designate and issue in the future.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Listing</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Class A common stock is listed on the NYSE under the symbol “CWEN.A.”</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44"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The transfer agent and registrar for our Class A common stock is Computershare Shareowner Services, LLC.</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B Common Stock</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Voting Rights</w:t>
      </w:r>
    </w:p>
    <w:p>
      <w:pPr>
        <w:spacing w:after="0" w:line="158"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Each share of Class B common stock entitles the holder to one vote with respect to each matter presented to our stockholders on which the holders of Class B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B common stock do not have cumulative voting rights. Except in respect of matters relating to the election and removal of directors on our Board of Directors and as otherwise provided in our Certificate of Incorporation or required by law, all matters to be voted on by holders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 and Liquidation Rights</w:t>
      </w:r>
    </w:p>
    <w:p>
      <w:pPr>
        <w:spacing w:after="0" w:line="158"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7"/>
          <w:szCs w:val="17"/>
          <w:color w:val="auto"/>
        </w:rPr>
        <w:t>Holders of shares of our Class B common stock do not have any right to receive dividends, other than dividends payable solely in shares of Class B common stock in the event of payment of a dividend in shares</w:t>
      </w:r>
    </w:p>
    <w:p>
      <w:pPr>
        <w:spacing w:after="0" w:line="32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19"/>
        <w:spacing w:after="0" w:line="248" w:lineRule="auto"/>
        <w:rPr>
          <w:sz w:val="20"/>
          <w:szCs w:val="20"/>
          <w:color w:val="auto"/>
        </w:rPr>
      </w:pPr>
      <w:r>
        <w:rPr>
          <w:rFonts w:ascii="Arial" w:cs="Arial" w:eastAsia="Arial" w:hAnsi="Arial"/>
          <w:sz w:val="18"/>
          <w:szCs w:val="18"/>
          <w:color w:val="auto"/>
        </w:rPr>
        <w:t>of common stock payable to holders of our Class A common stock and Class C common stock, or to receive a distribution upon our liquidation or winding up except for their right to receive payment for the par value of their shares of Class B common stock in connection with our liquidation.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Mandatory Redemption</w:t>
      </w:r>
    </w:p>
    <w:p>
      <w:pPr>
        <w:spacing w:after="0" w:line="144" w:lineRule="exact"/>
        <w:rPr>
          <w:sz w:val="20"/>
          <w:szCs w:val="20"/>
          <w:color w:val="auto"/>
        </w:rPr>
      </w:pPr>
    </w:p>
    <w:p>
      <w:pPr>
        <w:ind w:left="1260" w:right="779" w:firstLine="360"/>
        <w:spacing w:after="0" w:line="243" w:lineRule="auto"/>
        <w:rPr>
          <w:sz w:val="20"/>
          <w:szCs w:val="20"/>
          <w:color w:val="auto"/>
        </w:rPr>
      </w:pPr>
      <w:r>
        <w:rPr>
          <w:rFonts w:ascii="Arial" w:cs="Arial" w:eastAsia="Arial" w:hAnsi="Arial"/>
          <w:sz w:val="18"/>
          <w:szCs w:val="18"/>
          <w:color w:val="auto"/>
        </w:rPr>
        <w:t>Shares of Class B common stock are subject to redemption at a price per share equal to par value upon the conversion of Class B units of Clearway Energy LLC (“Clearway LLC”) to Class A units of Clearway LLC. Shares of Class B common stock so redeemed are automatically cancelled and are not available to be reissued.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C Common Stock</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Voting Rights</w:t>
      </w:r>
    </w:p>
    <w:p>
      <w:pPr>
        <w:spacing w:after="0" w:line="158"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Each share of Class C common stock entitles the holder to 1/100th of one vote with respect to each matter presented to our stockholders on which the holders of Class C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C common stock do not have cumulative voting rights. Except in respect of matters relating to the election and removal of directors on our Board of Directors and as otherwise provided in our Certificate of Incorporation or required by law, all matters to be voted on by holders of shares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58" w:lineRule="exact"/>
        <w:rPr>
          <w:sz w:val="20"/>
          <w:szCs w:val="20"/>
          <w:color w:val="auto"/>
        </w:rPr>
      </w:pPr>
    </w:p>
    <w:p>
      <w:pPr>
        <w:ind w:left="1260" w:right="759" w:firstLine="360"/>
        <w:spacing w:after="0" w:line="237" w:lineRule="auto"/>
        <w:rPr>
          <w:sz w:val="20"/>
          <w:szCs w:val="20"/>
          <w:color w:val="auto"/>
        </w:rPr>
      </w:pPr>
      <w:r>
        <w:rPr>
          <w:rFonts w:ascii="Arial" w:cs="Arial" w:eastAsia="Arial" w:hAnsi="Arial"/>
          <w:sz w:val="18"/>
          <w:szCs w:val="18"/>
          <w:color w:val="auto"/>
        </w:rPr>
        <w:t>Subject to preferences that may be applicable to any then outstanding preferred stock, the holders of our outstanding shares of Class C common stock will be entitled to receive dividends, if any, as may be declared from time to time by our Board of Directors out of legally available funds. Dividends upon shares of our Class C common stock may be declared by our Board of Directors at any regular or special meeting, and may be paid in cash, in property or in shares of capital stock. The holders of shares of Class C common stock and Class A common stock will share ratably in all dividends as may be declared by our Board of Directors in respect of our outstanding common stock. Before payment of any dividend, there may be set aside out of any of our funds available for dividends, such sums as the Board of Directors deems proper as reserves to meet contingencies, or for equalizing dividends, or for repairing or maintaining any of our property or for any proper purpose, and the Board of Directors may modify or abolish any such reserve. Furthermore, because we are a holding company, our ability to pay dividends on shares of our Class C common stock will be limited by restrictions on the ability of our subsidiaries to pay dividends or make other distributions to us, including restrictions under the terms of the agreements governing our indebtedness.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44" w:lineRule="exact"/>
        <w:rPr>
          <w:sz w:val="20"/>
          <w:szCs w:val="20"/>
          <w:color w:val="auto"/>
        </w:rPr>
      </w:pPr>
    </w:p>
    <w:p>
      <w:pPr>
        <w:ind w:left="1260" w:right="899" w:firstLine="360"/>
        <w:spacing w:after="0"/>
        <w:rPr>
          <w:sz w:val="20"/>
          <w:szCs w:val="20"/>
          <w:color w:val="auto"/>
        </w:rPr>
      </w:pPr>
      <w:r>
        <w:rPr>
          <w:rFonts w:ascii="Arial" w:cs="Arial" w:eastAsia="Arial" w:hAnsi="Arial"/>
          <w:sz w:val="18"/>
          <w:szCs w:val="18"/>
          <w:color w:val="auto"/>
        </w:rPr>
        <w:t>In the event of any voluntary or involuntary liquidation, dissolution or winding up of our affairs, holders of shares of our Class C common stock would be entitled to share ratably in our assets that are legally available for distribution to stockholders after payment of our debts and other liabilities and the liquidation preference of any of our outstanding shares of preferred stock, subject only to the right of the holders of shares of our Class B common stock and Class D common stock to receive payment for the par value of their shares in connection with our liquidation.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Rights</w:t>
      </w:r>
    </w:p>
    <w:p>
      <w:pPr>
        <w:spacing w:after="0" w:line="158" w:lineRule="exact"/>
        <w:rPr>
          <w:sz w:val="20"/>
          <w:szCs w:val="20"/>
          <w:color w:val="auto"/>
        </w:rPr>
      </w:pPr>
    </w:p>
    <w:p>
      <w:pPr>
        <w:jc w:val="center"/>
        <w:ind w:left="1500" w:right="80"/>
        <w:spacing w:after="0" w:line="291" w:lineRule="auto"/>
        <w:rPr>
          <w:sz w:val="20"/>
          <w:szCs w:val="20"/>
          <w:color w:val="auto"/>
        </w:rPr>
      </w:pPr>
      <w:r>
        <w:rPr>
          <w:rFonts w:ascii="Arial" w:cs="Arial" w:eastAsia="Arial" w:hAnsi="Arial"/>
          <w:sz w:val="17"/>
          <w:szCs w:val="17"/>
          <w:color w:val="auto"/>
        </w:rPr>
        <w:t>Holders of shares of our Class C common stock have no preemptive, conversion or other rights to subscribe for additional shares. All outstanding shares are, and all shares offered by this prospectus will be,</w:t>
      </w:r>
    </w:p>
    <w:p>
      <w:pPr>
        <w:sectPr>
          <w:pgSz w:w="11900" w:h="16838" w:orient="portrait"/>
          <w:cols w:equalWidth="0" w:num="1">
            <w:col w:w="10139"/>
          </w:cols>
          <w:pgMar w:left="320" w:top="131" w:right="1440" w:bottom="1440" w:gutter="0" w:footer="0" w:header="0"/>
        </w:sectPr>
      </w:pPr>
    </w:p>
    <w:p>
      <w:pPr>
        <w:spacing w:after="0" w:line="32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94" w:lineRule="auto"/>
        <w:rPr>
          <w:sz w:val="20"/>
          <w:szCs w:val="20"/>
          <w:color w:val="auto"/>
        </w:rPr>
      </w:pPr>
      <w:r>
        <w:rPr>
          <w:rFonts w:ascii="Arial" w:cs="Arial" w:eastAsia="Arial" w:hAnsi="Arial"/>
          <w:sz w:val="16"/>
          <w:szCs w:val="16"/>
          <w:color w:val="auto"/>
        </w:rPr>
        <w:t>when issued, validly issued, fully paid and nonassessable. The rights, preferences and privileges of the holders of shares of our Class C common stock are subject to, and may be adversely affected by, the rights of the holders of shares of any series of our preferred stock that we may designate and issue in the future.</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Equal Status</w:t>
      </w:r>
    </w:p>
    <w:p>
      <w:pPr>
        <w:spacing w:after="0" w:line="144"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Except as expressly provided in our Certificate of Incorporation, including with respect to voting rights, shares of Class C common stock have the same rights and privileges and rank equally, share ratably and are identical in all respects to the shares of Class A common stock as to all matters, including in the event of a liquidation or in connection with a change of control. In the event of any merger, consolidation, or other business combination requiring the approval of our stockholders entitled to vote thereon (whether or not we are the surviving entity), the holders of shares of Class C common stock shall receive the same amount and form of consideration on a per share basis as the consideration, if any, received by holders of shares of Class A common stock in connection with such merger, consolidation or combination (and if holders of shares of Class A common stock are entitled to make an election as to the amount or form of consideration that such holders shall receive in any such merger, consolidation or combination with respect to their shares of Class A common stock, then the holders of shares of Class C common stock shall be entitled to make the same election as to their shares of Class C common stock). In the event of any (i) tender or exchange offer to acquire any shares of Class A common stock or Class B common stock by any third party pursuant to an agreement to which we are a party; or (ii) any tender or exchange offer or any other redemption or repurchase by us to acquire any shares of Class A common stock or Class B common stock, the holders of shares of Class C common stock shall receive the same amount and form of consideration on a per share basis as the consideration received by holders of shares of Class A common stock (and if holders of shares of Class A common stock are entitled to make an election as to the amount or form of consideration that such holders shall receive in any such tender or exchange offer or other repurchase with respect to their shares of Class A common stock, then the holders of shares of Class C common stock shall be entitled to make the same election as to their shares of Class C common stock).</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Listing</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Class C common stock is listed on the NYSE under the symbol “CWEN.”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58"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The transfer agent and registrar for our Class C common stock is Computershare Shareowner Services, LLC.</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D Common Stock</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Voting Rights</w:t>
      </w:r>
    </w:p>
    <w:p>
      <w:pPr>
        <w:spacing w:after="0" w:line="14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Each share of Class D common stock entitles the holder to 1/100th of one vote with respect to each matter presented to our stockholders on which the holders of Class D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D common stock do not have cumulative voting rights. Except in respect of matters relating to the election and removal of directors on our Board of Directors and as otherwise provided in our Certificate of Incorporation or required by law, all matters to be voted on by holders of shares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 and Liquidation Rights</w:t>
      </w:r>
    </w:p>
    <w:p>
      <w:pPr>
        <w:spacing w:after="0" w:line="158"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7"/>
          <w:szCs w:val="17"/>
          <w:color w:val="auto"/>
        </w:rPr>
        <w:t>Holders of shares of our Class D common stock do not have any right to receive dividends, other than dividends payable solely in shares of Class D common stock in the event of payment of a dividend in shares</w:t>
      </w:r>
    </w:p>
    <w:p>
      <w:pPr>
        <w:sectPr>
          <w:pgSz w:w="11900" w:h="16838" w:orient="portrait"/>
          <w:cols w:equalWidth="0" w:num="1">
            <w:col w:w="10139"/>
          </w:cols>
          <w:pgMar w:left="320" w:top="131" w:right="1440" w:bottom="1440" w:gutter="0" w:footer="0" w:header="0"/>
        </w:sectPr>
      </w:pPr>
    </w:p>
    <w:p>
      <w:pPr>
        <w:spacing w:after="0" w:line="32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19"/>
        <w:spacing w:after="0" w:line="248" w:lineRule="auto"/>
        <w:rPr>
          <w:sz w:val="20"/>
          <w:szCs w:val="20"/>
          <w:color w:val="auto"/>
        </w:rPr>
      </w:pPr>
      <w:r>
        <w:rPr>
          <w:rFonts w:ascii="Arial" w:cs="Arial" w:eastAsia="Arial" w:hAnsi="Arial"/>
          <w:sz w:val="18"/>
          <w:szCs w:val="18"/>
          <w:color w:val="auto"/>
        </w:rPr>
        <w:t>of common stock payable to holders of our Class A common stock and Class C common stock, or to receive a distribution upon our liquidation or winding up except for their right to receive payment for the par value of their shares of Class D common stock in connection with our liquidation.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Mandatory Redemption</w:t>
      </w:r>
    </w:p>
    <w:p>
      <w:pPr>
        <w:spacing w:after="0" w:line="144" w:lineRule="exact"/>
        <w:rPr>
          <w:sz w:val="20"/>
          <w:szCs w:val="20"/>
          <w:color w:val="auto"/>
        </w:rPr>
      </w:pPr>
    </w:p>
    <w:p>
      <w:pPr>
        <w:ind w:left="1260" w:right="759" w:firstLine="360"/>
        <w:spacing w:after="0" w:line="248" w:lineRule="auto"/>
        <w:rPr>
          <w:sz w:val="20"/>
          <w:szCs w:val="20"/>
          <w:color w:val="auto"/>
        </w:rPr>
      </w:pPr>
      <w:r>
        <w:rPr>
          <w:rFonts w:ascii="Arial" w:cs="Arial" w:eastAsia="Arial" w:hAnsi="Arial"/>
          <w:sz w:val="18"/>
          <w:szCs w:val="18"/>
          <w:color w:val="auto"/>
        </w:rPr>
        <w:t>Shares of Class D common stock are subject to redemption at a price per share equal to par value upon the conversion of Class D units of Clearway LLC. Shares of Class D common stock so redeemed are automatically cancelled and are not available to be reissued.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62"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the NYSE, which would apply so long as the shares of Class A common stock and Class C common stock remain listed on the NYSE, require stockholder approval of certain issuances equal to or exceeding 20% of the then outstanding voting power or the then outstanding number of shares of Class A common stock and Class C common stock. These additional shares may be used for a variety of corporate purposes, including future public offerings, to raise additional capital or to facilitate acquisitions.</w:t>
      </w:r>
    </w:p>
    <w:p>
      <w:pPr>
        <w:spacing w:after="0" w:line="108"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6"/>
          <w:szCs w:val="16"/>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ind w:left="1260" w:right="1059" w:firstLine="360"/>
        <w:spacing w:after="0" w:line="291" w:lineRule="auto"/>
        <w:rPr>
          <w:sz w:val="20"/>
          <w:szCs w:val="20"/>
          <w:color w:val="auto"/>
        </w:rPr>
      </w:pPr>
      <w:r>
        <w:rPr>
          <w:rFonts w:ascii="Arial" w:cs="Arial" w:eastAsia="Arial" w:hAnsi="Arial"/>
          <w:sz w:val="17"/>
          <w:szCs w:val="17"/>
          <w:color w:val="auto"/>
        </w:rPr>
        <w:t>Under our Certificate of Incorporation, we will continue to be authorized to issue up to 10,000,000 shares of preferred stock, par value $0.01 per share, none of which is issued and outstanding.</w:t>
      </w:r>
    </w:p>
    <w:p>
      <w:pPr>
        <w:spacing w:after="0" w:line="79" w:lineRule="exact"/>
        <w:rPr>
          <w:sz w:val="20"/>
          <w:szCs w:val="20"/>
          <w:color w:val="auto"/>
        </w:rPr>
      </w:pPr>
    </w:p>
    <w:p>
      <w:pPr>
        <w:ind w:left="1260" w:right="799" w:firstLine="360"/>
        <w:spacing w:after="0" w:line="237" w:lineRule="auto"/>
        <w:rPr>
          <w:sz w:val="20"/>
          <w:szCs w:val="20"/>
          <w:color w:val="auto"/>
        </w:rPr>
      </w:pPr>
      <w:r>
        <w:rPr>
          <w:rFonts w:ascii="Arial" w:cs="Arial" w:eastAsia="Arial" w:hAnsi="Arial"/>
          <w:sz w:val="18"/>
          <w:szCs w:val="18"/>
          <w:color w:val="auto"/>
        </w:rPr>
        <w:t>Our Board of Directors is authorized to provide for the issuance of shares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our stockholders. Any preferred stock so issued may rank senior to our common stock with respect to the payment of dividends or amounts upon liquidation, dissolution or winding up, or both. The issuance of preferred stock may have the effect of delaying, deferring or preventing a change in control of our company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we have no plans to issue any preferred stock.</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Opportunity</w:t>
      </w:r>
    </w:p>
    <w:p>
      <w:pPr>
        <w:spacing w:after="0" w:line="162"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As permitted under the Delaware General Corporation Law (“DGCL”), in our Certificate of Incorporation, we renounced any interest or expectancy in, or any offer of an opportunity to participate in, specified business opportunities that are presented to us or one or more of our officers, directors or stockholders. In recognition that directors, officers and/or employees of GIP may serve as our directors and/or officers, and GIP and its controlled affiliates, not including us (individually, a “GIP Entity”, and collectively, the “GIP Entities”), may engage in similar activities or lines of business that we do, our Certificate of Incorporation provides for the allocation of certain corporate opportunities between us and the GIP Entities. Specifically, none of the GIP Entities will have any duty to refrain from engaging directly or indirectly in the same or similar business activities or lines of business that we do. In the event that a director or officer of any GIP Entity who also is one of our directors or officers acquires knowledge of a potential transaction or matter which may be a corporate opportunity for any of the GIP Entities and us, we will not have any expectancy in such corporate opportunity, and the director or officer will not have any duty to present such corporate opportunity to us and may pursue or acquire such corporate opportunity for himself/</w:t>
      </w:r>
    </w:p>
    <w:p>
      <w:pPr>
        <w:spacing w:after="0" w:line="36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38" w:lineRule="auto"/>
        <w:rPr>
          <w:sz w:val="20"/>
          <w:szCs w:val="20"/>
          <w:color w:val="auto"/>
        </w:rPr>
      </w:pPr>
      <w:r>
        <w:rPr>
          <w:rFonts w:ascii="Arial" w:cs="Arial" w:eastAsia="Arial" w:hAnsi="Arial"/>
          <w:sz w:val="18"/>
          <w:szCs w:val="18"/>
          <w:color w:val="auto"/>
        </w:rPr>
        <w:t>herself or direct such opportunity to another person. A corporate opportunity that an officer or director of ours who is also a director or officer of any of the GIP Entities acquires knowledge of will not belong to us unless the corporate opportunity at issue is expressly offered in writing to such person solely in his or her capacity as a director or officer of ours. In addition, even if a business opportunity is presented to an officer or director of any of the GIP Entities, the following corporate opportunities will not belong to us: (1) those we are not financially able, contractually permitted or legally able to undertake; (2) those not in our line of business; (3) those of no practical advantage to us; and (4) those in which we have no interest or reasonable expectancy. Except with respect to our directors and/or officers who are also directors and/or officers of any of the GIP Entities, the corporate opportunity doctrine applies as construed pursuant to applicable Delaware laws, without limitation.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48" w:lineRule="exact"/>
        <w:rPr>
          <w:sz w:val="20"/>
          <w:szCs w:val="20"/>
          <w:color w:val="auto"/>
        </w:rPr>
      </w:pPr>
    </w:p>
    <w:p>
      <w:pPr>
        <w:ind w:left="1260" w:right="739" w:firstLine="360"/>
        <w:spacing w:after="0" w:line="238" w:lineRule="auto"/>
        <w:rPr>
          <w:sz w:val="20"/>
          <w:szCs w:val="20"/>
          <w:color w:val="auto"/>
        </w:rPr>
      </w:pPr>
      <w:r>
        <w:rPr>
          <w:rFonts w:ascii="Arial" w:cs="Arial" w:eastAsia="Arial" w:hAnsi="Arial"/>
          <w:sz w:val="18"/>
          <w:szCs w:val="18"/>
          <w:color w:val="auto"/>
        </w:rPr>
        <w:t>In addition to the disproportionate voting rights that GIP has as a result of its indirect ownership of our Class B common stock and Class D common stock, some provisions of Delaware law contain, and our Certificate of Incorporation and our Bylaws described below contain, a number of provisions which may have the effect of encouraging persons considering unsolicited tender offers or other unilateral takeover proposals to negotiate with our Board of Directors rather than pursue non-negotiated takeover attempts, which we believe may result in an improvement of the terms of any such acquisition in favor of our stockholders. However, these provisions also give our Board of Directors the power to discourage acquisitions that some stockholders may favor.</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58" w:lineRule="exact"/>
        <w:rPr>
          <w:sz w:val="20"/>
          <w:szCs w:val="20"/>
          <w:color w:val="auto"/>
        </w:rPr>
      </w:pPr>
    </w:p>
    <w:p>
      <w:pPr>
        <w:ind w:left="1260" w:right="679" w:firstLine="360"/>
        <w:spacing w:after="0" w:line="241" w:lineRule="auto"/>
        <w:rPr>
          <w:sz w:val="20"/>
          <w:szCs w:val="20"/>
          <w:color w:val="auto"/>
        </w:rPr>
      </w:pPr>
      <w:r>
        <w:rPr>
          <w:rFonts w:ascii="Arial" w:cs="Arial" w:eastAsia="Arial" w:hAnsi="Arial"/>
          <w:sz w:val="18"/>
          <w:szCs w:val="18"/>
          <w:color w:val="auto"/>
        </w:rPr>
        <w:t>The ability to authorize undesignated preferred stock will make it possible for our Board of Directors to issue preferred stock with superior voting, special approval, dividend or other rights or preferences on a discriminatory basis that could impede the success of any attempt to acquire us. These and other provisions may have the effect of deferring, delaying or discouraging hostile takeovers, or changes in control or management of our company.</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Meetings and Elections of Directors</w:t>
      </w:r>
    </w:p>
    <w:p>
      <w:pPr>
        <w:spacing w:after="0" w:line="158" w:lineRule="exact"/>
        <w:rPr>
          <w:sz w:val="20"/>
          <w:szCs w:val="20"/>
          <w:color w:val="auto"/>
        </w:rPr>
      </w:pPr>
    </w:p>
    <w:p>
      <w:pPr>
        <w:jc w:val="both"/>
        <w:ind w:left="1260" w:right="799" w:firstLine="360"/>
        <w:spacing w:after="0" w:line="248" w:lineRule="auto"/>
        <w:rPr>
          <w:sz w:val="20"/>
          <w:szCs w:val="20"/>
          <w:color w:val="auto"/>
        </w:rPr>
      </w:pPr>
      <w:r>
        <w:rPr>
          <w:rFonts w:ascii="Arial" w:cs="Arial" w:eastAsia="Arial" w:hAnsi="Arial"/>
          <w:sz w:val="18"/>
          <w:szCs w:val="18"/>
          <w:i w:val="1"/>
          <w:iCs w:val="1"/>
          <w:color w:val="auto"/>
        </w:rPr>
        <w:t xml:space="preserve">Special Meetings of Stockholders. </w:t>
      </w:r>
      <w:r>
        <w:rPr>
          <w:rFonts w:ascii="Arial" w:cs="Arial" w:eastAsia="Arial" w:hAnsi="Arial"/>
          <w:sz w:val="18"/>
          <w:szCs w:val="18"/>
          <w:color w:val="auto"/>
        </w:rPr>
        <w:t>Our Certificate of Incorporation provides that a special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may be called only by our Board of Directors by a resolution adopted by the affirmative vote of a majority of the total number of directors then in office.</w:t>
      </w:r>
    </w:p>
    <w:p>
      <w:pPr>
        <w:spacing w:after="0" w:line="101" w:lineRule="exact"/>
        <w:rPr>
          <w:sz w:val="20"/>
          <w:szCs w:val="20"/>
          <w:color w:val="auto"/>
        </w:rPr>
      </w:pPr>
    </w:p>
    <w:p>
      <w:pPr>
        <w:jc w:val="both"/>
        <w:ind w:left="1260" w:right="1219" w:firstLine="360"/>
        <w:spacing w:after="0" w:line="291" w:lineRule="auto"/>
        <w:rPr>
          <w:sz w:val="20"/>
          <w:szCs w:val="20"/>
          <w:color w:val="auto"/>
        </w:rPr>
      </w:pPr>
      <w:r>
        <w:rPr>
          <w:rFonts w:ascii="Arial" w:cs="Arial" w:eastAsia="Arial" w:hAnsi="Arial"/>
          <w:sz w:val="17"/>
          <w:szCs w:val="17"/>
          <w:i w:val="1"/>
          <w:iCs w:val="1"/>
          <w:color w:val="auto"/>
        </w:rPr>
        <w:t xml:space="preserve">Elimination of Stockholder Action by Written Consent. </w:t>
      </w:r>
      <w:r>
        <w:rPr>
          <w:rFonts w:ascii="Arial" w:cs="Arial" w:eastAsia="Arial" w:hAnsi="Arial"/>
          <w:sz w:val="17"/>
          <w:szCs w:val="17"/>
          <w:color w:val="auto"/>
        </w:rPr>
        <w:t>Our Certificate of Incorporation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Bylaws provide that holders of our common stock cannot act by written consent in lieu of a meeting.</w:t>
      </w:r>
    </w:p>
    <w:p>
      <w:pPr>
        <w:spacing w:after="0" w:line="79" w:lineRule="exact"/>
        <w:rPr>
          <w:sz w:val="20"/>
          <w:szCs w:val="20"/>
          <w:color w:val="auto"/>
        </w:rPr>
      </w:pPr>
    </w:p>
    <w:p>
      <w:pPr>
        <w:jc w:val="both"/>
        <w:ind w:left="1260" w:right="779" w:firstLine="360"/>
        <w:spacing w:after="0" w:line="248" w:lineRule="auto"/>
        <w:rPr>
          <w:sz w:val="20"/>
          <w:szCs w:val="20"/>
          <w:color w:val="auto"/>
        </w:rPr>
      </w:pPr>
      <w:r>
        <w:rPr>
          <w:rFonts w:ascii="Arial" w:cs="Arial" w:eastAsia="Arial" w:hAnsi="Arial"/>
          <w:sz w:val="18"/>
          <w:szCs w:val="18"/>
          <w:i w:val="1"/>
          <w:iCs w:val="1"/>
          <w:color w:val="auto"/>
        </w:rPr>
        <w:t xml:space="preserve">Vacancies. </w:t>
      </w:r>
      <w:r>
        <w:rPr>
          <w:rFonts w:ascii="Arial" w:cs="Arial" w:eastAsia="Arial" w:hAnsi="Arial"/>
          <w:sz w:val="18"/>
          <w:szCs w:val="18"/>
          <w:color w:val="auto"/>
        </w:rPr>
        <w:t>Any vacancy occurring on our Board of Directors and any newly created directorship may</w:t>
      </w:r>
      <w:r>
        <w:rPr>
          <w:rFonts w:ascii="Arial" w:cs="Arial" w:eastAsia="Arial" w:hAnsi="Arial"/>
          <w:sz w:val="18"/>
          <w:szCs w:val="18"/>
          <w:i w:val="1"/>
          <w:iCs w:val="1"/>
          <w:color w:val="auto"/>
        </w:rPr>
        <w:t xml:space="preserve"> </w:t>
      </w:r>
      <w:r>
        <w:rPr>
          <w:rFonts w:ascii="Arial" w:cs="Arial" w:eastAsia="Arial" w:hAnsi="Arial"/>
          <w:sz w:val="18"/>
          <w:szCs w:val="18"/>
          <w:color w:val="auto"/>
        </w:rPr>
        <w:t>be filled only by a majority of the directors remaining in office (even if less than a quorum), subject to the rights of holders of any series of preferred stock.</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Amendments</w:t>
      </w:r>
    </w:p>
    <w:p>
      <w:pPr>
        <w:spacing w:after="0" w:line="158" w:lineRule="exact"/>
        <w:rPr>
          <w:sz w:val="20"/>
          <w:szCs w:val="20"/>
          <w:color w:val="auto"/>
        </w:rPr>
      </w:pPr>
    </w:p>
    <w:p>
      <w:pPr>
        <w:ind w:left="1260" w:right="719" w:firstLine="360"/>
        <w:spacing w:after="0" w:line="241" w:lineRule="auto"/>
        <w:rPr>
          <w:sz w:val="20"/>
          <w:szCs w:val="20"/>
          <w:color w:val="auto"/>
        </w:rPr>
      </w:pPr>
      <w:r>
        <w:rPr>
          <w:rFonts w:ascii="Arial" w:cs="Arial" w:eastAsia="Arial" w:hAnsi="Arial"/>
          <w:sz w:val="18"/>
          <w:szCs w:val="18"/>
          <w:i w:val="1"/>
          <w:iCs w:val="1"/>
          <w:color w:val="auto"/>
        </w:rPr>
        <w:t xml:space="preserve">Amendments of Certificate of Incorporation. </w:t>
      </w:r>
      <w:r>
        <w:rPr>
          <w:rFonts w:ascii="Arial" w:cs="Arial" w:eastAsia="Arial" w:hAnsi="Arial"/>
          <w:sz w:val="18"/>
          <w:szCs w:val="18"/>
          <w:color w:val="auto"/>
        </w:rPr>
        <w:t>The provisions described above under “—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Meetings of Stockholders,” “— Elimination of Stockholder Action by Written Consent” and “— Vacancies” may be amended only by the affirmative vote of holders of at least two-thirds of the combined voting power of outstanding shares of our capital stock entitled to vote in the election of directors, voting together as a single class.</w:t>
      </w:r>
    </w:p>
    <w:p>
      <w:pPr>
        <w:spacing w:after="0" w:line="108" w:lineRule="exact"/>
        <w:rPr>
          <w:sz w:val="20"/>
          <w:szCs w:val="20"/>
          <w:color w:val="auto"/>
        </w:rPr>
      </w:pPr>
    </w:p>
    <w:p>
      <w:pPr>
        <w:jc w:val="both"/>
        <w:ind w:left="1260" w:right="799" w:firstLine="360"/>
        <w:spacing w:after="0" w:line="248" w:lineRule="auto"/>
        <w:rPr>
          <w:sz w:val="20"/>
          <w:szCs w:val="20"/>
          <w:color w:val="auto"/>
        </w:rPr>
      </w:pPr>
      <w:r>
        <w:rPr>
          <w:rFonts w:ascii="Arial" w:cs="Arial" w:eastAsia="Arial" w:hAnsi="Arial"/>
          <w:sz w:val="18"/>
          <w:szCs w:val="18"/>
          <w:i w:val="1"/>
          <w:iCs w:val="1"/>
          <w:color w:val="auto"/>
        </w:rPr>
        <w:t xml:space="preserve">Amendment of Bylaws. </w:t>
      </w:r>
      <w:r>
        <w:rPr>
          <w:rFonts w:ascii="Arial" w:cs="Arial" w:eastAsia="Arial" w:hAnsi="Arial"/>
          <w:sz w:val="18"/>
          <w:szCs w:val="18"/>
          <w:color w:val="auto"/>
        </w:rPr>
        <w:t>Our Board of Directors has the power to make, alter, amend, change or repeal</w:t>
      </w:r>
      <w:r>
        <w:rPr>
          <w:rFonts w:ascii="Arial" w:cs="Arial" w:eastAsia="Arial" w:hAnsi="Arial"/>
          <w:sz w:val="18"/>
          <w:szCs w:val="18"/>
          <w:i w:val="1"/>
          <w:iCs w:val="1"/>
          <w:color w:val="auto"/>
        </w:rPr>
        <w:t xml:space="preserve"> </w:t>
      </w:r>
      <w:r>
        <w:rPr>
          <w:rFonts w:ascii="Arial" w:cs="Arial" w:eastAsia="Arial" w:hAnsi="Arial"/>
          <w:sz w:val="18"/>
          <w:szCs w:val="18"/>
          <w:color w:val="auto"/>
        </w:rPr>
        <w:t>our Bylaws or adopt new bylaws by the affirmative vote of a majority of the total number of directors then in office.</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Provisions Relating to Stockholder Proposals and Nominees</w:t>
      </w:r>
    </w:p>
    <w:p>
      <w:pPr>
        <w:spacing w:after="0" w:line="158"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Our Bylaws also impose some procedural requirements on stockholders who wish to make nominations in the election of directors or propose any other business to be brought before an annual or special meeting of stockholders.</w:t>
      </w:r>
    </w:p>
    <w:p>
      <w:pPr>
        <w:sectPr>
          <w:pgSz w:w="11900" w:h="16838" w:orient="portrait"/>
          <w:cols w:equalWidth="0" w:num="1">
            <w:col w:w="10139"/>
          </w:cols>
          <w:pgMar w:left="320" w:top="131" w:right="1440" w:bottom="1440" w:gutter="0" w:footer="0" w:header="0"/>
        </w:sectPr>
      </w:pPr>
    </w:p>
    <w:p>
      <w:pPr>
        <w:spacing w:after="0" w:line="35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Specifically, a stockholder may (i) bring a proposal before an annual meeting of stockholders,</w:t>
      </w:r>
    </w:p>
    <w:p>
      <w:pPr>
        <w:spacing w:after="0" w:line="23" w:lineRule="exact"/>
        <w:rPr>
          <w:sz w:val="20"/>
          <w:szCs w:val="20"/>
          <w:color w:val="auto"/>
        </w:rPr>
      </w:pPr>
    </w:p>
    <w:p>
      <w:pPr>
        <w:ind w:left="1540" w:hanging="278"/>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nominate a candidate for election to our Board of Directors at an annual meeting of stockholders, or</w:t>
      </w:r>
    </w:p>
    <w:p>
      <w:pPr>
        <w:spacing w:after="0" w:line="9" w:lineRule="exact"/>
        <w:rPr>
          <w:rFonts w:ascii="Arial" w:cs="Arial" w:eastAsia="Arial" w:hAnsi="Arial"/>
          <w:sz w:val="18"/>
          <w:szCs w:val="18"/>
          <w:color w:val="auto"/>
        </w:rPr>
      </w:pPr>
    </w:p>
    <w:p>
      <w:pPr>
        <w:ind w:left="1260" w:right="679" w:firstLine="2"/>
        <w:spacing w:after="0" w:line="253" w:lineRule="auto"/>
        <w:tabs>
          <w:tab w:leader="none" w:pos="15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nominate a candidate for election to our Board of Directors at a special meeting of stockholders that has been called for the purpose of electing directors, only if such stockholder delivers timely notice to our corporate secretary. The notice must be in writing and must include certain information and comply with the delivery requirements as set forth in the Bylaws.</w:t>
      </w:r>
    </w:p>
    <w:p>
      <w:pPr>
        <w:spacing w:after="0" w:line="1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 be timely, a stockholder’s notice must be received at our principal executive offices:</w:t>
      </w:r>
    </w:p>
    <w:p>
      <w:pPr>
        <w:spacing w:after="0" w:line="131" w:lineRule="exact"/>
        <w:rPr>
          <w:sz w:val="20"/>
          <w:szCs w:val="20"/>
          <w:color w:val="auto"/>
        </w:rPr>
      </w:pPr>
    </w:p>
    <w:p>
      <w:pPr>
        <w:ind w:left="1800" w:right="719" w:hanging="178"/>
        <w:spacing w:after="0" w:line="253"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in the case of a nomination or other business in connection with an annual meeting of stockholders, not later than the close of business on the 90th day nor earlier than the close of business on the 120th day prior to the first anniversary of the previous year’s annual meeting of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date of the annual meeting is advanced more than 30 days before or delayed</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70 days after the first anniversary of the preceding year’s annual meeting, notice by the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us;</w:t>
      </w:r>
    </w:p>
    <w:p>
      <w:pPr>
        <w:spacing w:after="0" w:line="88" w:lineRule="exact"/>
        <w:rPr>
          <w:rFonts w:ascii="Arial" w:cs="Arial" w:eastAsia="Arial" w:hAnsi="Arial"/>
          <w:sz w:val="18"/>
          <w:szCs w:val="18"/>
          <w:color w:val="auto"/>
        </w:rPr>
      </w:pPr>
    </w:p>
    <w:p>
      <w:pPr>
        <w:ind w:left="1800" w:right="759" w:hanging="178"/>
        <w:spacing w:after="0" w:line="279" w:lineRule="auto"/>
        <w:tabs>
          <w:tab w:leader="none" w:pos="1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the case of a nomination in connection with a special meeting of stockholders, not earlier than the close of business on the 120th day prior to such special meeting and not later than the close of business on the later of the 90th day before such special meeting or the 10th day following the day on which public announcement of the date of such meeting is first made by us.</w:t>
      </w:r>
    </w:p>
    <w:p>
      <w:pPr>
        <w:spacing w:after="0" w:line="104"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With respect to special meetings of stockholders, our Bylaws provide that only such business shall be conducted as shall have been stated in the notice of the meeting.</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44"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We have opted out of Section 203 of the DGCL. However, our Certificate of Incorporation provides that in the event GIP and its affiliates cease to beneficially own at least 5% of the total voting power of all the then outstanding shares of our capital stock, we will automatically become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w:t>
      </w:r>
    </w:p>
    <w:p>
      <w:pPr>
        <w:spacing w:after="0" w:line="70" w:lineRule="exact"/>
        <w:rPr>
          <w:sz w:val="20"/>
          <w:szCs w:val="20"/>
          <w:color w:val="auto"/>
        </w:rPr>
      </w:pPr>
    </w:p>
    <w:p>
      <w:pPr>
        <w:ind w:left="1800" w:right="1519" w:hanging="178"/>
        <w:spacing w:after="0" w:line="308" w:lineRule="auto"/>
        <w:tabs>
          <w:tab w:leader="none" w:pos="1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prior to such time, our Board of Directors approved either the business combination or the transaction that resulted in the stockholder becoming an interested stockholder;</w:t>
      </w:r>
    </w:p>
    <w:p>
      <w:pPr>
        <w:spacing w:after="0" w:line="38" w:lineRule="exact"/>
        <w:rPr>
          <w:rFonts w:ascii="Arial" w:cs="Arial" w:eastAsia="Arial" w:hAnsi="Arial"/>
          <w:sz w:val="17"/>
          <w:szCs w:val="17"/>
          <w:color w:val="auto"/>
        </w:rPr>
      </w:pPr>
    </w:p>
    <w:p>
      <w:pPr>
        <w:ind w:left="1800" w:right="679" w:hanging="178"/>
        <w:spacing w:after="0" w:line="263"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outstanding at the time the transaction commenced, excluding certain shares; or</w:t>
      </w:r>
    </w:p>
    <w:p>
      <w:pPr>
        <w:spacing w:after="0" w:line="89" w:lineRule="exact"/>
        <w:rPr>
          <w:rFonts w:ascii="Arial" w:cs="Arial" w:eastAsia="Arial" w:hAnsi="Arial"/>
          <w:sz w:val="18"/>
          <w:szCs w:val="18"/>
          <w:color w:val="auto"/>
        </w:rPr>
      </w:pPr>
    </w:p>
    <w:p>
      <w:pPr>
        <w:ind w:left="1800" w:right="719" w:hanging="178"/>
        <w:spacing w:after="0" w:line="263"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103" w:lineRule="exact"/>
        <w:rPr>
          <w:sz w:val="20"/>
          <w:szCs w:val="20"/>
          <w:color w:val="auto"/>
        </w:rPr>
      </w:pPr>
    </w:p>
    <w:p>
      <w:pPr>
        <w:jc w:val="both"/>
        <w:ind w:left="1260" w:right="699" w:firstLine="360"/>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our voting stock.</w:t>
      </w:r>
    </w:p>
    <w:p>
      <w:pPr>
        <w:spacing w:after="0" w:line="119"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ectPr>
          <w:pgSz w:w="11900" w:h="16838" w:orient="portrait"/>
          <w:cols w:equalWidth="0" w:num="1">
            <w:col w:w="10139"/>
          </w:cols>
          <w:pgMar w:left="320" w:top="131" w:right="1440" w:bottom="1440" w:gutter="0" w:footer="0" w:header="0"/>
        </w:sectPr>
      </w:pPr>
    </w:p>
    <w:p>
      <w:pPr>
        <w:spacing w:after="0" w:line="35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Amendments</w:t>
      </w:r>
    </w:p>
    <w:p>
      <w:pPr>
        <w:spacing w:after="0" w:line="148"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Any amendments to our Certificate of Incorporation, subject to the rights of holders of our preferred stock, regarding the provisions thereof summarized under “— Corporate Opportunity” or “— Antitakeover Effects of Delaware Law and Our Certificate of Incorporation and Bylaws” will require the affirmative vote of at least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voting power of all shares of our common stock then outstanding.</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Fourth Amended and Restated Limited Liability Company Agreement of Clearway LLC</w:t>
      </w:r>
    </w:p>
    <w:p>
      <w:pPr>
        <w:spacing w:after="0" w:line="162"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The following is a description of the material terms of Clearway LLC’s Fourth Amended and Restated Limited Liability Company Agreement.</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Governance</w:t>
      </w:r>
    </w:p>
    <w:p>
      <w:pPr>
        <w:spacing w:after="0" w:line="15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Clearway Inc. serves as the sole managing member of Clearway LLC. As such, Clearway Inc., and effectively our Board of Directors, controls the business and affairs of Clearway LLC and is responsible for the management of its business. No other member of Clearway LLC, in its capacity as such, has any authority or right to control the management of Clearway LLC or to bind it in connection with any matter. Any amendment, supplement or waiver of the Clearway LLC operating agreement must be approved by a majority of our independent directors.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Voting and Economic Rights of Members</w:t>
      </w:r>
    </w:p>
    <w:p>
      <w:pPr>
        <w:spacing w:after="0" w:line="144"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Clearway LLC has issued four classes of units: Class A units and Class C units, which may only be issued to Clearway Inc., as the sole managing member, and Class B units and Class D units, which may only be issued to CEG and its permitted transferees (collectively, the “GIP Member”) and held by the GIP Member.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subject to equitable adjustments for stock splits, dividends and reclassifications in accordance with the terms of the Amended and Restated Exchange Agreement (as described below), and each Class D unit is exchangeable for a share of our Class C common stock, subject to equitable adjustments for stock splits, dividends and reclassifications in accordance with the terms of the Amended and Restated Exchange Agreement. When the GIP Member exchanges a Class B unit of Clearway LLC for a share of our Class A common stock, we will automatically redeem and cancel a corresponding share of our Class B common stock, and the Class B unit will automatically convert into a Class A unit of Clearway LLC issued to us. When the GIP Member exchanges a Class D unit of Clearway LLC for a share of our Class C common stock, we will automatically redeem and cancel a corresponding share of our Class D common stock, and the Class D unit will automatically convert into a Class C unit of Clearway LLC issued to us. None of the units have any voting rights.</w:t>
      </w:r>
    </w:p>
    <w:p>
      <w:pPr>
        <w:spacing w:after="0" w:line="12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Net profits and net losses and distributions by Clearway LLC are allocated and made to holders of units in accordance with the respective number of membership units of Clearway LLC held. Clearway LLC will make distributions to us and CEG for the purpose of funding tax obligations in respect of income of Clearway LLC that is allocated to the members of Clearway LLC. However, Clearway LLC may not make any distributions to its members if doing so would violate any agreement to which it is then a party or any law then applicable to it, have the effect of rendering it insolvent or result in it having net capital lower than that required by applicable law. Additionally, because all of our operations are conducted through Clearway Operating LLC, and Clearway Operating LLC’s Amended and Restated Credit Agreement restricts the ability of Clearway Operating LLC to make distributions to Clearway LLC, Clearway LLC may not have any funds available to make distributions to us and CEG (including with respect to tax obligations).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Coordination of Clearway Inc. and Clearway LLC</w:t>
      </w:r>
    </w:p>
    <w:p>
      <w:pPr>
        <w:spacing w:after="0" w:line="144" w:lineRule="exact"/>
        <w:rPr>
          <w:sz w:val="20"/>
          <w:szCs w:val="20"/>
          <w:color w:val="auto"/>
        </w:rPr>
      </w:pPr>
    </w:p>
    <w:p>
      <w:pPr>
        <w:jc w:val="both"/>
        <w:ind w:left="1260" w:right="999" w:firstLine="360"/>
        <w:spacing w:after="0" w:line="248" w:lineRule="auto"/>
        <w:rPr>
          <w:sz w:val="20"/>
          <w:szCs w:val="20"/>
          <w:color w:val="auto"/>
        </w:rPr>
      </w:pPr>
      <w:r>
        <w:rPr>
          <w:rFonts w:ascii="Arial" w:cs="Arial" w:eastAsia="Arial" w:hAnsi="Arial"/>
          <w:sz w:val="18"/>
          <w:szCs w:val="18"/>
          <w:color w:val="auto"/>
        </w:rPr>
        <w:t>At any time Clearway Inc. issues a share of its Class A common stock or Class C common stock for cash, the net proceeds therefrom will promptly be transferred to Clearway LLC and Clearway LLC will either:</w:t>
      </w:r>
    </w:p>
    <w:p>
      <w:pPr>
        <w:spacing w:after="0" w:line="74" w:lineRule="exact"/>
        <w:rPr>
          <w:sz w:val="20"/>
          <w:szCs w:val="20"/>
          <w:color w:val="auto"/>
        </w:rPr>
      </w:pPr>
    </w:p>
    <w:p>
      <w:pPr>
        <w:ind w:left="1800" w:right="719" w:hanging="178"/>
        <w:spacing w:after="0" w:line="254"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transfer a newly issued Class A unit of Clearway LLC to Clearway Inc. in the case of the issuance of a share of Class A common stock, or transfer a newly issued Class C unit of Clearway LLC to Clearway Inc. in the case of the issuance of a share of Class C common stock or (ii) purchase Class B Units or Class D Units from one or more “Yield LLC Unitholders” (as defined in the Amended and Restated Exchange Agreement (as defined below)), which Class B Units or Class D Units, as applicable, shall automatically be reclassified into Class A Units or Class Units, as applicable; or</w:t>
      </w:r>
    </w:p>
    <w:p>
      <w:pPr>
        <w:spacing w:after="0" w:line="86" w:lineRule="exact"/>
        <w:rPr>
          <w:rFonts w:ascii="Arial" w:cs="Arial" w:eastAsia="Arial" w:hAnsi="Arial"/>
          <w:sz w:val="18"/>
          <w:szCs w:val="18"/>
          <w:color w:val="auto"/>
        </w:rPr>
      </w:pPr>
    </w:p>
    <w:p>
      <w:pPr>
        <w:ind w:left="1800" w:right="739" w:hanging="178"/>
        <w:spacing w:after="0" w:line="255"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a portion of the net proceeds to purchase a Class B unit of Clearway LLC from the GIP Member in the case of the issuance of a share of Class A common stock, which Class B unit will automatically convert into a Class A unit of Clearway LLC when transferred to Clearway Inc. or use the net proceeds to purchase a Class D unit of Clearway LLC from the GIP Member in the case of the issuance of a share of Class C common stock, which Class D unit will automatically convert into a Class C unit of Clearway LLC when transferred to Clearway Inc.</w:t>
      </w:r>
    </w:p>
    <w:p>
      <w:pPr>
        <w:spacing w:after="0" w:line="111"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In the event Clearway LLC purchases a Class B unit or a Class D unit of Clearway LLC from the GIP Member, Clearway Inc. will concurrently redeem and cancel the corresponding share of its Class B common stock or Class D common stock, as applicable.</w:t>
      </w:r>
    </w:p>
    <w:p>
      <w:pPr>
        <w:spacing w:after="0" w:line="114" w:lineRule="exact"/>
        <w:rPr>
          <w:sz w:val="20"/>
          <w:szCs w:val="20"/>
          <w:color w:val="auto"/>
        </w:rPr>
      </w:pPr>
    </w:p>
    <w:p>
      <w:pPr>
        <w:ind w:left="1260" w:right="819" w:firstLine="360"/>
        <w:spacing w:after="0" w:line="251" w:lineRule="auto"/>
        <w:rPr>
          <w:sz w:val="20"/>
          <w:szCs w:val="20"/>
          <w:color w:val="auto"/>
        </w:rPr>
      </w:pPr>
      <w:r>
        <w:rPr>
          <w:rFonts w:ascii="Arial" w:cs="Arial" w:eastAsia="Arial" w:hAnsi="Arial"/>
          <w:sz w:val="17"/>
          <w:szCs w:val="17"/>
          <w:color w:val="auto"/>
        </w:rPr>
        <w:t>If Clearway Inc. issues other classes or series of equity securities, Clearway LLC will issue, and Clearway Inc. will use the net proceeds therefrom to purchase, an equal amount of units with designations, preferences and other rights and terms that are substantially the same as Clearway Inc.’s newly-issued equity securities. Conversely, if Clearway Inc. elects to redeem any shares of its Class A common stock or Class C common stock (or its equity securities of other classes or series) for cash, Clearway LLC will, immediately prior to such redemption, redeem an equal number of Class A units or Class C units (or</w:t>
      </w:r>
    </w:p>
    <w:p>
      <w:pPr>
        <w:spacing w:after="0" w:line="4" w:lineRule="exact"/>
        <w:rPr>
          <w:sz w:val="20"/>
          <w:szCs w:val="20"/>
          <w:color w:val="auto"/>
        </w:rPr>
      </w:pPr>
    </w:p>
    <w:p>
      <w:pPr>
        <w:ind w:left="1260" w:right="739"/>
        <w:spacing w:after="0" w:line="239" w:lineRule="auto"/>
        <w:rPr>
          <w:sz w:val="20"/>
          <w:szCs w:val="20"/>
          <w:color w:val="auto"/>
        </w:rPr>
      </w:pPr>
      <w:r>
        <w:rPr>
          <w:rFonts w:ascii="Arial" w:cs="Arial" w:eastAsia="Arial" w:hAnsi="Arial"/>
          <w:sz w:val="18"/>
          <w:szCs w:val="18"/>
          <w:color w:val="auto"/>
        </w:rPr>
        <w:t>its units of the corresponding classes or series) held by Clearway Inc. upon the same terms and for the same price, as the shares of Class A common stock or Class C common stock (or equity securities of such other classes or series) so redeemed.</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Issuances and Transfer of Units</w:t>
      </w:r>
    </w:p>
    <w:p>
      <w:pPr>
        <w:spacing w:after="0" w:line="144"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7"/>
          <w:szCs w:val="17"/>
          <w:color w:val="auto"/>
        </w:rPr>
        <w:t>Class A units and Class C units may only be issued to Clearway Inc., as the sole managing member of Clearway LLC, and are non-transferable except upon redemption by Clearway LLC. Class B units and Class D units may only be issued to the GIP Member. Class B units and Class D units may not be transferred without our consent, subject to such conditions as we may specify, except the GIP Member may transfer Class B units or Class D units to its direct or indirect limited partners or other equityholders and to a permitted transferee (including an affiliate) without our consent. The GIP Member may not transfer any Class B units or Class D units to any person unless the GIP Member transfers an equal number of shares of our Class B common stock or Class D common stock, as applicable, to the same transferee.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Amended and Restated Exchange Agreement</w:t>
      </w:r>
    </w:p>
    <w:p>
      <w:pPr>
        <w:spacing w:after="0" w:line="158"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We entered into an amended and restated exchange agreement pursuant to which CEG (as successor-in-interest to NRG Energy, Inc.) (and certain permitted assignees and permitted transferees who acquire Class B units or Class D units of Clearway LLC) may from time to time cause Clearway LLC to exchange its Class B units for shares of our Class A common stock on a one-for-one basis, subject to adjustments for stock splits, stock dividends and reclassifications, or to exchange its Class D units for shares of our Class C common stock on a one-for-one basis, subject to adjustments for stock splits, stock dividends, and reclassifications (the “Amended and Restated Exchange Agreement”). The Amended and Restated Exchange Agreement also provides that, subject to certain exceptions, holders do not have the right to cause Clearway LLC to exchange Class B or Class D units if Clearway LLC determines that such exchange would be prohibited by law or regulation or would violate other agreements to which Clearway Inc. may be subject, and Clearway Inc. may impose additional restrictions on exchange that it determines necessary or advisable so that Clearway LLC is not treated as a “publicly traded partnership” for U.S. federal income tax purposes.</w:t>
      </w:r>
    </w:p>
    <w:p>
      <w:pPr>
        <w:sectPr>
          <w:pgSz w:w="11900" w:h="16838" w:orient="portrait"/>
          <w:cols w:equalWidth="0" w:num="1">
            <w:col w:w="10139"/>
          </w:cols>
          <w:pgMar w:left="32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When CEG or its permitted transferee exchanges a Class B unit of Clearway LLC for a share of our Class A common stock, we will automatically redeem and cancel a corresponding share of our Class B common stock and the Class B unit will automatically convert into a Class A unit when issued to Clearway Inc. Similarly, when CEG or its permitted transferee exchanges a Class D unit of Clearway LLC for a share of our Class C common stock, we will automatically redeem and cancel a corresponding share of our Class D common stock and the Class D unit will automatically convert into a Class C unit when issued to Clearway Inc. As a result, when a holder exchanges its Class B units for shares of our Class A common stock, or its Class D units for shares of our Class C common stock, our interest in Clearway LLC will be correspondingly increased. We have reserved for issuance 42,738,750 shares of our Class A common stock, which is the aggregate number of shares of Class A common stock expected to be issued over time upon the exchange of all Class B units of Clearway LLC currently outstanding, and 42,738,750 shares of our Class C common stock, which is the aggregate number of shares of Class C common stock expected to be issued over time upon the exchange of all Class D units of Clearway LLC currently outstanding.</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Indemnification and Exculpation</w:t>
      </w:r>
    </w:p>
    <w:p>
      <w:pPr>
        <w:spacing w:after="0" w:line="144"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color w:val="auto"/>
        </w:rPr>
        <w:t>To the extent permitted by applicable law, Clearway LLC will indemnify its managing member, our authorized officers and our other employees and agents from and against any losses, liabilities, damages, costs, expenses, fees or penalties incurred in connection with serving in such capacities, provided that the acts or omissions of these indemnified persons are not the result of fraud, intentional misconduct or a violation of the implied contractual duty of good faith and fair dealing, or any lesser standard of conduct permitted under applicable law.</w:t>
      </w:r>
    </w:p>
    <w:p>
      <w:pPr>
        <w:spacing w:after="0" w:line="125" w:lineRule="exact"/>
        <w:rPr>
          <w:sz w:val="20"/>
          <w:szCs w:val="20"/>
          <w:color w:val="auto"/>
        </w:rPr>
      </w:pPr>
    </w:p>
    <w:p>
      <w:pPr>
        <w:jc w:val="both"/>
        <w:ind w:left="1260" w:right="1239" w:firstLine="360"/>
        <w:spacing w:after="0" w:line="257" w:lineRule="auto"/>
        <w:rPr>
          <w:sz w:val="20"/>
          <w:szCs w:val="20"/>
          <w:color w:val="auto"/>
        </w:rPr>
      </w:pPr>
      <w:r>
        <w:rPr>
          <w:rFonts w:ascii="Arial" w:cs="Arial" w:eastAsia="Arial" w:hAnsi="Arial"/>
          <w:sz w:val="18"/>
          <w:szCs w:val="18"/>
          <w:color w:val="auto"/>
        </w:rPr>
        <w:t>Such authorized officers and other employees and agents will not be liable to Clearway LLC, its members or their affiliates for damages incurred as a result of any acts or omissions of these persons, provided that the acts or omissions of these exculpated persons are not the result of fraud, intentional misconduct or a violation of the implied contractual duty of good faith and fair dealing, or any lesser standard of conduct permitted under applicable law.</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62"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We entered into an amended and restated registration rights agreement with CEG (as successor-in-interest to NRG Energy, Inc.), pursuant to which CEG and its affiliates will be entitled to demand registration rights, including the right to demand that a shelf registration statement be filed, and “piggyback” registration rights, for shares of our Class A common stock that are issuable upon exchange of Class B units of Clearway LLC that CEG owns, and for shares of our Class C common stock that are issuable upon exchange of Class D units of Clearway LLC that CEG owns.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DESCRIPTION OF DEBT SECURITIES</w:t>
      </w:r>
    </w:p>
    <w:p>
      <w:pPr>
        <w:spacing w:after="0" w:line="148" w:lineRule="exact"/>
        <w:rPr>
          <w:sz w:val="20"/>
          <w:szCs w:val="20"/>
          <w:color w:val="auto"/>
        </w:rPr>
      </w:pPr>
    </w:p>
    <w:p>
      <w:pPr>
        <w:ind w:left="1260" w:right="839" w:firstLine="360"/>
        <w:spacing w:after="0" w:line="248" w:lineRule="auto"/>
        <w:rPr>
          <w:sz w:val="20"/>
          <w:szCs w:val="20"/>
          <w:color w:val="auto"/>
        </w:rPr>
      </w:pPr>
      <w:r>
        <w:rPr>
          <w:rFonts w:ascii="Arial" w:cs="Arial" w:eastAsia="Arial" w:hAnsi="Arial"/>
          <w:sz w:val="18"/>
          <w:szCs w:val="18"/>
          <w:color w:val="auto"/>
        </w:rPr>
        <w:t>We may offer secured or unsecured debt securities, which may be convertible or non-convertible. Our debt securities will be issued under an indenture to be entered into between us and Delaware Trust Company.</w:t>
      </w:r>
    </w:p>
    <w:p>
      <w:pPr>
        <w:spacing w:after="0" w:line="114" w:lineRule="exact"/>
        <w:rPr>
          <w:sz w:val="20"/>
          <w:szCs w:val="20"/>
          <w:color w:val="auto"/>
        </w:rPr>
      </w:pPr>
    </w:p>
    <w:p>
      <w:pPr>
        <w:ind w:left="1260" w:right="759" w:firstLine="360"/>
        <w:spacing w:after="0"/>
        <w:rPr>
          <w:sz w:val="20"/>
          <w:szCs w:val="20"/>
          <w:color w:val="auto"/>
        </w:rPr>
      </w:pPr>
      <w:r>
        <w:rPr>
          <w:rFonts w:ascii="Arial" w:cs="Arial" w:eastAsia="Arial" w:hAnsi="Arial"/>
          <w:sz w:val="18"/>
          <w:szCs w:val="18"/>
          <w:color w:val="auto"/>
        </w:rPr>
        <w:t>We have summarized certain general features of the debt securities from the indenture. A form of indenture is filed as an exhibit to the registration statement of which this prospectus forms a part. The following description of the terms of the debt securities sets forth certain general terms and provisions. The particular terms of the debt securities offered by any prospectus supplement and the extent, if any, to which these general provisions may apply to the debt securities will be described in the related prospectus supplement.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aggregate principal amount of debt securities that may be issued under the indenture is unlimited.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debt securities may be issued in one or more series as may be authorized from time to time.</w:t>
      </w:r>
    </w:p>
    <w:p>
      <w:pPr>
        <w:spacing w:after="0" w:line="115" w:lineRule="exact"/>
        <w:rPr>
          <w:sz w:val="20"/>
          <w:szCs w:val="20"/>
          <w:color w:val="auto"/>
        </w:rPr>
      </w:pPr>
    </w:p>
    <w:p>
      <w:pPr>
        <w:ind w:left="1260" w:right="1419" w:firstLine="360"/>
        <w:spacing w:after="0" w:line="261" w:lineRule="auto"/>
        <w:rPr>
          <w:sz w:val="20"/>
          <w:szCs w:val="20"/>
          <w:color w:val="auto"/>
        </w:rPr>
      </w:pPr>
      <w:r>
        <w:rPr>
          <w:rFonts w:ascii="Arial" w:cs="Arial" w:eastAsia="Arial" w:hAnsi="Arial"/>
          <w:sz w:val="18"/>
          <w:szCs w:val="18"/>
          <w:color w:val="auto"/>
        </w:rPr>
        <w:t>Reference is made to the applicable prospectus supplement for the following terms of the debt securities (if applicable):</w:t>
      </w:r>
    </w:p>
    <w:p>
      <w:pPr>
        <w:spacing w:after="0" w:line="63" w:lineRule="exact"/>
        <w:rPr>
          <w:sz w:val="20"/>
          <w:szCs w:val="20"/>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title and aggregate principal amount;</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securities will be senior or subordinated;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applicable subordination provisions, if any;</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securities issued by us will be entitled to the benefits of any form of guarantee;</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conversion or exchange into other securities;</w:t>
      </w:r>
    </w:p>
    <w:p>
      <w:pPr>
        <w:spacing w:after="0" w:line="117" w:lineRule="exact"/>
        <w:rPr>
          <w:rFonts w:ascii="Arial" w:cs="Arial" w:eastAsia="Arial" w:hAnsi="Arial"/>
          <w:sz w:val="18"/>
          <w:szCs w:val="18"/>
          <w:color w:val="auto"/>
        </w:rPr>
      </w:pPr>
    </w:p>
    <w:p>
      <w:pPr>
        <w:ind w:left="1800" w:right="799" w:hanging="178"/>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securities issued by us will be secured or unsecured, and if secured, what the collateral will consist of;</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percentage or percentages of principal amount at which such securities will be issued;</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maturity date(s);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rate(s) or the method for determining the interest rate(s);</w:t>
      </w:r>
    </w:p>
    <w:p>
      <w:pPr>
        <w:spacing w:after="0" w:line="103" w:lineRule="exact"/>
        <w:rPr>
          <w:rFonts w:ascii="Arial" w:cs="Arial" w:eastAsia="Arial" w:hAnsi="Arial"/>
          <w:sz w:val="18"/>
          <w:szCs w:val="18"/>
          <w:color w:val="auto"/>
        </w:rPr>
      </w:pPr>
    </w:p>
    <w:p>
      <w:pPr>
        <w:ind w:left="1800" w:right="739" w:hanging="178"/>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dates on which interest will accrue or the method for determining dates on which interest will accrue and dates on which interest will be payable;</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redemption (including upon a “change of control”) or early repayment provisions;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authorized denominations;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of discount or premium, if any, with which such securities will be issued;</w:t>
      </w:r>
    </w:p>
    <w:p>
      <w:pPr>
        <w:spacing w:after="0" w:line="117" w:lineRule="exact"/>
        <w:rPr>
          <w:rFonts w:ascii="Arial" w:cs="Arial" w:eastAsia="Arial" w:hAnsi="Arial"/>
          <w:sz w:val="18"/>
          <w:szCs w:val="18"/>
          <w:color w:val="auto"/>
        </w:rPr>
      </w:pPr>
    </w:p>
    <w:p>
      <w:pPr>
        <w:ind w:left="1800" w:right="1479" w:hanging="178"/>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such securities will be issued in whole or in part in the form of one or more global securities;</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identity of the depositary for global securities;</w:t>
      </w:r>
    </w:p>
    <w:p>
      <w:pPr>
        <w:spacing w:after="0" w:line="103" w:lineRule="exact"/>
        <w:rPr>
          <w:rFonts w:ascii="Arial" w:cs="Arial" w:eastAsia="Arial" w:hAnsi="Arial"/>
          <w:sz w:val="18"/>
          <w:szCs w:val="18"/>
          <w:color w:val="auto"/>
        </w:rPr>
      </w:pPr>
    </w:p>
    <w:p>
      <w:pPr>
        <w:ind w:left="1800" w:right="939" w:hanging="178"/>
        <w:spacing w:after="0" w:line="263"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a temporary security is to be issued with respect to such series and whether any interest payable prior to the issuance of definitive securities of the series will be credited to the account of the persons entitled thereto;</w:t>
      </w:r>
    </w:p>
    <w:p>
      <w:pPr>
        <w:spacing w:after="0" w:line="75" w:lineRule="exact"/>
        <w:rPr>
          <w:rFonts w:ascii="Arial" w:cs="Arial" w:eastAsia="Arial" w:hAnsi="Arial"/>
          <w:sz w:val="18"/>
          <w:szCs w:val="18"/>
          <w:color w:val="auto"/>
        </w:rPr>
      </w:pPr>
    </w:p>
    <w:p>
      <w:pPr>
        <w:jc w:val="both"/>
        <w:ind w:left="1800" w:right="759" w:hanging="178"/>
        <w:spacing w:after="0" w:line="308" w:lineRule="auto"/>
        <w:tabs>
          <w:tab w:leader="none" w:pos="1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terms upon which beneficial interests in a temporary global security may be exchanged in whole or in part for beneficial interests in a definitive global security or for individual definitive securities;</w:t>
      </w:r>
    </w:p>
    <w:p>
      <w:pPr>
        <w:spacing w:after="0" w:line="24" w:lineRule="exact"/>
        <w:rPr>
          <w:rFonts w:ascii="Arial" w:cs="Arial" w:eastAsia="Arial" w:hAnsi="Arial"/>
          <w:sz w:val="17"/>
          <w:szCs w:val="17"/>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conversion or exchange features;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covenants applicable to the particular debt securities being issued;</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defaults and events of default applicable to the particular debt securities being issued;</w:t>
      </w:r>
    </w:p>
    <w:p>
      <w:pPr>
        <w:spacing w:after="0" w:line="103" w:lineRule="exact"/>
        <w:rPr>
          <w:rFonts w:ascii="Arial" w:cs="Arial" w:eastAsia="Arial" w:hAnsi="Arial"/>
          <w:sz w:val="18"/>
          <w:szCs w:val="18"/>
          <w:color w:val="auto"/>
        </w:rPr>
      </w:pPr>
    </w:p>
    <w:p>
      <w:pPr>
        <w:ind w:left="1800" w:right="1219" w:hanging="178"/>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currency, currencies or currency units in which the purchase price for, the principal of and any premium and any interest on, such securities will be payable;</w:t>
      </w:r>
    </w:p>
    <w:p>
      <w:pPr>
        <w:sectPr>
          <w:pgSz w:w="11900" w:h="16838" w:orient="portrait"/>
          <w:cols w:equalWidth="0" w:num="1">
            <w:col w:w="10139"/>
          </w:cols>
          <w:pgMar w:left="32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379" w:hanging="178"/>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 period within which, the manner in which and the terms and conditions upon which the purchaser of the securities can select the payment currency;</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exchange(s) on which the securities will be listed, if any;</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any underwriter(s) will act as market maker(s) for the securities;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extent to which a secondary market for the securities is expected to develop;</w:t>
      </w:r>
    </w:p>
    <w:p>
      <w:pPr>
        <w:spacing w:after="0" w:line="117" w:lineRule="exact"/>
        <w:rPr>
          <w:rFonts w:ascii="Arial" w:cs="Arial" w:eastAsia="Arial" w:hAnsi="Arial"/>
          <w:sz w:val="18"/>
          <w:szCs w:val="18"/>
          <w:color w:val="auto"/>
        </w:rPr>
      </w:pPr>
    </w:p>
    <w:p>
      <w:pPr>
        <w:ind w:left="1800" w:right="819" w:hanging="178"/>
        <w:spacing w:after="0" w:line="263"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additions to or changes in the events of default with respect to the securities and any change in the right of the trustee or the holders to declare the principal, premium and interest with respect to such securities to be due and payable;</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provisions relating to covenant defeasance and legal defeasance;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provisions relating to satisfaction and discharge of the indenture;</w:t>
      </w:r>
    </w:p>
    <w:p>
      <w:pPr>
        <w:spacing w:after="0" w:line="117" w:lineRule="exact"/>
        <w:rPr>
          <w:rFonts w:ascii="Arial" w:cs="Arial" w:eastAsia="Arial" w:hAnsi="Arial"/>
          <w:sz w:val="18"/>
          <w:szCs w:val="18"/>
          <w:color w:val="auto"/>
        </w:rPr>
      </w:pPr>
    </w:p>
    <w:p>
      <w:pPr>
        <w:ind w:left="1800" w:right="779" w:hanging="178"/>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provisions relating to the modification of the indenture both with and without the consent of holders of debt securities issued under the indenture; and</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terms not inconsistent with the provisions of the indenture.</w:t>
      </w:r>
    </w:p>
    <w:p>
      <w:pPr>
        <w:spacing w:after="0" w:line="158" w:lineRule="exact"/>
        <w:rPr>
          <w:sz w:val="20"/>
          <w:szCs w:val="20"/>
          <w:color w:val="auto"/>
        </w:rPr>
      </w:pPr>
    </w:p>
    <w:p>
      <w:pPr>
        <w:jc w:val="both"/>
        <w:ind w:left="1260" w:right="759" w:firstLine="360"/>
        <w:spacing w:after="0" w:line="243" w:lineRule="auto"/>
        <w:rPr>
          <w:sz w:val="20"/>
          <w:szCs w:val="20"/>
          <w:color w:val="auto"/>
        </w:rPr>
      </w:pPr>
      <w:r>
        <w:rPr>
          <w:rFonts w:ascii="Arial" w:cs="Arial" w:eastAsia="Arial" w:hAnsi="Arial"/>
          <w:sz w:val="18"/>
          <w:szCs w:val="18"/>
          <w:color w:val="auto"/>
        </w:rPr>
        <w:t>One or more series of debt securities may be sold at a substantial discount below their stated principal amount, bearing no interest or interest at a rate which at the time of issuance is below market rates. One or more series of debt securities may be variable rate debt securities that may be exchanged for fixed rate debt securities.</w:t>
      </w:r>
    </w:p>
    <w:p>
      <w:pPr>
        <w:spacing w:after="0" w:line="120" w:lineRule="exact"/>
        <w:rPr>
          <w:sz w:val="20"/>
          <w:szCs w:val="20"/>
          <w:color w:val="auto"/>
        </w:rPr>
      </w:pPr>
    </w:p>
    <w:p>
      <w:pPr>
        <w:ind w:left="1260" w:right="1039" w:firstLine="360"/>
        <w:spacing w:after="0" w:line="261" w:lineRule="auto"/>
        <w:rPr>
          <w:sz w:val="20"/>
          <w:szCs w:val="20"/>
          <w:color w:val="auto"/>
        </w:rPr>
      </w:pPr>
      <w:r>
        <w:rPr>
          <w:rFonts w:ascii="Arial" w:cs="Arial" w:eastAsia="Arial" w:hAnsi="Arial"/>
          <w:sz w:val="18"/>
          <w:szCs w:val="18"/>
          <w:color w:val="auto"/>
        </w:rPr>
        <w:t>United States federal income tax consequences and special considerations, if any, applicable to any such series will be described in the applicable prospectus supplement.</w:t>
      </w:r>
    </w:p>
    <w:p>
      <w:pPr>
        <w:spacing w:after="0" w:line="90" w:lineRule="exact"/>
        <w:rPr>
          <w:sz w:val="20"/>
          <w:szCs w:val="20"/>
          <w:color w:val="auto"/>
        </w:rPr>
      </w:pPr>
    </w:p>
    <w:p>
      <w:pPr>
        <w:ind w:left="1260" w:right="879" w:firstLine="360"/>
        <w:spacing w:after="0" w:line="272" w:lineRule="auto"/>
        <w:rPr>
          <w:sz w:val="20"/>
          <w:szCs w:val="20"/>
          <w:color w:val="auto"/>
        </w:rPr>
      </w:pPr>
      <w:r>
        <w:rPr>
          <w:rFonts w:ascii="Arial" w:cs="Arial" w:eastAsia="Arial" w:hAnsi="Arial"/>
          <w:sz w:val="16"/>
          <w:szCs w:val="16"/>
          <w:color w:val="auto"/>
        </w:rPr>
        <w:t>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the currencies, commodities, equity indices or other factors to which the amount payable on such date is linked and certain additional United States federal income tax considerations will be set forth in the applicable prospectus supplement.</w:t>
      </w:r>
    </w:p>
    <w:p>
      <w:pPr>
        <w:spacing w:after="0" w:line="100" w:lineRule="exact"/>
        <w:rPr>
          <w:sz w:val="20"/>
          <w:szCs w:val="20"/>
          <w:color w:val="auto"/>
        </w:rPr>
      </w:pPr>
    </w:p>
    <w:p>
      <w:pPr>
        <w:ind w:left="1260" w:right="839" w:firstLine="360"/>
        <w:spacing w:after="0" w:line="248" w:lineRule="auto"/>
        <w:rPr>
          <w:sz w:val="20"/>
          <w:szCs w:val="20"/>
          <w:color w:val="auto"/>
        </w:rPr>
      </w:pPr>
      <w:r>
        <w:rPr>
          <w:rFonts w:ascii="Arial" w:cs="Arial" w:eastAsia="Arial" w:hAnsi="Arial"/>
          <w:sz w:val="18"/>
          <w:szCs w:val="18"/>
          <w:color w:val="auto"/>
        </w:rPr>
        <w:t>The term “debt securities” includes debt securities denominated in U.S. dollars or, if specified in the applicable prospectus supplement, in any other freely transferable currency or units based on or relating to foreign currencies.</w:t>
      </w:r>
    </w:p>
    <w:p>
      <w:pPr>
        <w:spacing w:after="0" w:line="114" w:lineRule="exact"/>
        <w:rPr>
          <w:sz w:val="20"/>
          <w:szCs w:val="20"/>
          <w:color w:val="auto"/>
        </w:rPr>
      </w:pPr>
    </w:p>
    <w:p>
      <w:pPr>
        <w:ind w:left="1260" w:right="819" w:firstLine="360"/>
        <w:spacing w:after="0"/>
        <w:rPr>
          <w:sz w:val="20"/>
          <w:szCs w:val="20"/>
          <w:color w:val="auto"/>
        </w:rPr>
      </w:pPr>
      <w:r>
        <w:rPr>
          <w:rFonts w:ascii="Arial" w:cs="Arial" w:eastAsia="Arial" w:hAnsi="Arial"/>
          <w:sz w:val="18"/>
          <w:szCs w:val="18"/>
          <w:color w:val="auto"/>
        </w:rPr>
        <w:t>We expect most debt securities to be issued in fully registered form without coupons and in denominations of $2,000 and any integral multiple of $1,000 in excess thereof. Subject to the limitations provided in the indenture and as otherwise described in the applicable prospectus supplement, debt securities that are issued in registered form may be transferred or exchanged at the corporate trust office of the trustee, without the payment of any service charge, other than any tax or other governmental charge payable in connection therewith.</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Global Securities</w:t>
      </w:r>
    </w:p>
    <w:p>
      <w:pPr>
        <w:spacing w:after="0" w:line="148"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depositary (the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Governing Law</w:t>
      </w:r>
    </w:p>
    <w:p>
      <w:pPr>
        <w:spacing w:after="0" w:line="148" w:lineRule="exact"/>
        <w:rPr>
          <w:sz w:val="20"/>
          <w:szCs w:val="20"/>
          <w:color w:val="auto"/>
        </w:rPr>
      </w:pPr>
    </w:p>
    <w:p>
      <w:pPr>
        <w:ind w:left="1260" w:right="879" w:firstLine="360"/>
        <w:spacing w:after="0" w:line="308" w:lineRule="auto"/>
        <w:rPr>
          <w:sz w:val="20"/>
          <w:szCs w:val="20"/>
          <w:color w:val="auto"/>
        </w:rPr>
      </w:pPr>
      <w:r>
        <w:rPr>
          <w:rFonts w:ascii="Arial" w:cs="Arial" w:eastAsia="Arial" w:hAnsi="Arial"/>
          <w:sz w:val="17"/>
          <w:szCs w:val="17"/>
          <w:color w:val="auto"/>
        </w:rPr>
        <w:t>The indenture and the debt securities shall be construed in accordance with and governed by the laws of the State of New York, without giving effect to the principles thereof relating to conflicts of law.</w:t>
      </w:r>
    </w:p>
    <w:p>
      <w:pPr>
        <w:spacing w:after="0" w:line="142"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Initial Offering and Sale of Securities</w:t>
      </w:r>
    </w:p>
    <w:p>
      <w:pPr>
        <w:spacing w:after="0" w:line="162"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may sell securities from time to time in one or more transactions separately or in combination. We may sell the securities of or within any series to or through agents, underwriters, dealers, remarketing firms or other third parties or directly to one or more purchasers or through a combination of any of these methods. We may issue securities as a dividend or distribution. In some cases, we or dealers acting with us or on behalf of us may also purchase securities and reoffer them to the public. We may also offer and sell, or agree to deliver, securities pursuant to, or in connection with, any option agreement or other contractual arrangement.</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Agents whom we designate may solicit offers to purchase the securities.</w:t>
      </w:r>
    </w:p>
    <w:p>
      <w:pPr>
        <w:spacing w:after="0" w:line="117" w:lineRule="exact"/>
        <w:rPr>
          <w:sz w:val="20"/>
          <w:szCs w:val="20"/>
          <w:color w:val="auto"/>
        </w:rPr>
      </w:pPr>
    </w:p>
    <w:p>
      <w:pPr>
        <w:ind w:left="1800" w:right="1219" w:hanging="178"/>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required, we will name any agent involved in offering or selling securities, and disclose any commissions that we will pay to the agent, in the applicable prospectus supplement.</w:t>
      </w:r>
    </w:p>
    <w:p>
      <w:pPr>
        <w:spacing w:after="0" w:line="62" w:lineRule="exact"/>
        <w:rPr>
          <w:rFonts w:ascii="Arial" w:cs="Arial" w:eastAsia="Arial" w:hAnsi="Arial"/>
          <w:sz w:val="18"/>
          <w:szCs w:val="18"/>
          <w:color w:val="auto"/>
        </w:rPr>
      </w:pPr>
    </w:p>
    <w:p>
      <w:pPr>
        <w:ind w:left="1800" w:right="1159" w:hanging="178"/>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Unless we indicate otherwise in the applicable prospectus supplement, agents will act on a best efforts basis for the period of their appointment.</w:t>
      </w:r>
    </w:p>
    <w:p>
      <w:pPr>
        <w:spacing w:after="0" w:line="62"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Agents may be deemed to be underwriters under the Securities Act, of any of the securities that they offer or sell.</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may use an underwriter or underwriters in the offer or sale of the securities.</w:t>
      </w:r>
    </w:p>
    <w:p>
      <w:pPr>
        <w:spacing w:after="0" w:line="117" w:lineRule="exact"/>
        <w:rPr>
          <w:sz w:val="20"/>
          <w:szCs w:val="20"/>
          <w:color w:val="auto"/>
        </w:rPr>
      </w:pPr>
    </w:p>
    <w:p>
      <w:pPr>
        <w:ind w:left="1800" w:right="1099" w:hanging="178"/>
        <w:spacing w:after="0" w:line="308" w:lineRule="auto"/>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we use an underwriter or underwriters, we will execute an underwriting agreement with the underwriter or underwriters at the time that we reach an agreement for the sale of the securities.</w:t>
      </w:r>
    </w:p>
    <w:p>
      <w:pPr>
        <w:spacing w:after="0" w:line="51" w:lineRule="exact"/>
        <w:rPr>
          <w:rFonts w:ascii="Arial" w:cs="Arial" w:eastAsia="Arial" w:hAnsi="Arial"/>
          <w:sz w:val="17"/>
          <w:szCs w:val="17"/>
          <w:color w:val="auto"/>
        </w:rPr>
      </w:pPr>
    </w:p>
    <w:p>
      <w:pPr>
        <w:ind w:left="1800" w:right="759" w:hanging="178"/>
        <w:spacing w:after="0" w:line="259"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include the names of the specific managing underwriter or underwriters, as well as the names of any other underwriters, material relationships between the Company and underwriters, and the terms of the transactions, including the compensation the underwriters and dealers will receive, in the applicable prospectus supplement.</w:t>
      </w:r>
    </w:p>
    <w:p>
      <w:pPr>
        <w:spacing w:after="0" w:line="78" w:lineRule="exact"/>
        <w:rPr>
          <w:rFonts w:ascii="Arial" w:cs="Arial" w:eastAsia="Arial" w:hAnsi="Arial"/>
          <w:sz w:val="18"/>
          <w:szCs w:val="18"/>
          <w:color w:val="auto"/>
        </w:rPr>
      </w:pPr>
    </w:p>
    <w:p>
      <w:pPr>
        <w:ind w:left="1800" w:right="699" w:hanging="178"/>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underwriters will use the applicable prospectus supplement, together with this prospectus, to sell the securities.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may use a dealer to sell the securities.</w:t>
      </w:r>
    </w:p>
    <w:p>
      <w:pPr>
        <w:spacing w:after="0" w:line="117" w:lineRule="exact"/>
        <w:rPr>
          <w:sz w:val="20"/>
          <w:szCs w:val="20"/>
          <w:color w:val="auto"/>
        </w:rPr>
      </w:pPr>
    </w:p>
    <w:p>
      <w:pPr>
        <w:ind w:left="1800" w:hanging="178"/>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use a dealer, we will sell the securities to the dealer, as principal.</w:t>
      </w:r>
    </w:p>
    <w:p>
      <w:pPr>
        <w:spacing w:after="0" w:line="117" w:lineRule="exact"/>
        <w:rPr>
          <w:rFonts w:ascii="Arial" w:cs="Arial" w:eastAsia="Arial" w:hAnsi="Arial"/>
          <w:sz w:val="18"/>
          <w:szCs w:val="18"/>
          <w:color w:val="auto"/>
        </w:rPr>
      </w:pPr>
    </w:p>
    <w:p>
      <w:pPr>
        <w:ind w:left="1800" w:right="719" w:hanging="178"/>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dealer will then sell the securities to the public at varying prices that the dealer will determine at the time it sells the securities.</w:t>
      </w:r>
    </w:p>
    <w:p>
      <w:pPr>
        <w:spacing w:after="0" w:line="62" w:lineRule="exact"/>
        <w:rPr>
          <w:rFonts w:ascii="Arial" w:cs="Arial" w:eastAsia="Arial" w:hAnsi="Arial"/>
          <w:sz w:val="18"/>
          <w:szCs w:val="18"/>
          <w:color w:val="auto"/>
        </w:rPr>
      </w:pPr>
    </w:p>
    <w:p>
      <w:pPr>
        <w:ind w:left="1800" w:right="1279" w:hanging="178"/>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include the name of the dealer and the terms of the transactions with the dealer in the applicable prospectus supplement.</w:t>
      </w:r>
    </w:p>
    <w:p>
      <w:pPr>
        <w:spacing w:after="0" w:line="103" w:lineRule="exact"/>
        <w:rPr>
          <w:sz w:val="20"/>
          <w:szCs w:val="20"/>
          <w:color w:val="auto"/>
        </w:rPr>
      </w:pPr>
    </w:p>
    <w:p>
      <w:pPr>
        <w:ind w:left="1260" w:right="1139" w:firstLine="360"/>
        <w:spacing w:after="0" w:line="263" w:lineRule="auto"/>
        <w:rPr>
          <w:sz w:val="20"/>
          <w:szCs w:val="20"/>
          <w:color w:val="auto"/>
        </w:rPr>
      </w:pPr>
      <w:r>
        <w:rPr>
          <w:rFonts w:ascii="Arial" w:cs="Arial" w:eastAsia="Arial" w:hAnsi="Arial"/>
          <w:sz w:val="18"/>
          <w:szCs w:val="18"/>
          <w:color w:val="auto"/>
        </w:rPr>
        <w:t>We may solicit directly offers to purchase the securities, and we may directly sell the securities to institutional or other investors. We will describe the terms of direct sales in the applicable prospectus supplement.</w:t>
      </w:r>
    </w:p>
    <w:p>
      <w:pPr>
        <w:spacing w:after="0" w:line="103"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We may engage in “at the market offerings” within the meaning of Rule 415(a)(4) of the Securities Act, to or through a market maker or into an existing trading market on an exchange or otherwise.</w:t>
      </w:r>
    </w:p>
    <w:p>
      <w:pPr>
        <w:spacing w:after="0" w:line="103"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We may also offer and sell securities, if so indicated in the applicable prospectus supplement, in connection with a remarketing upon their purchase, in accordance with a redemption or repayment pursuant to their terms, or otherwise, by one or more firms referred to as remarketing firms, acting as principals for their own accounts or as our agents. Any remarketing firm will be identified and the terms of</w:t>
      </w:r>
    </w:p>
    <w:p>
      <w:pPr>
        <w:sectPr>
          <w:pgSz w:w="11900" w:h="16838" w:orient="portrait"/>
          <w:cols w:equalWidth="0" w:num="1">
            <w:col w:w="10139"/>
          </w:cols>
          <w:pgMar w:left="320" w:top="132"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19"/>
        <w:spacing w:after="0" w:line="263" w:lineRule="auto"/>
        <w:rPr>
          <w:sz w:val="20"/>
          <w:szCs w:val="20"/>
          <w:color w:val="auto"/>
        </w:rPr>
      </w:pPr>
      <w:r>
        <w:rPr>
          <w:rFonts w:ascii="Arial" w:cs="Arial" w:eastAsia="Arial" w:hAnsi="Arial"/>
          <w:sz w:val="18"/>
          <w:szCs w:val="18"/>
          <w:color w:val="auto"/>
        </w:rPr>
        <w:t>its agreement, if any, with us, and its compensation will be described in the applicable prospectus supplement. Remarketing firms may be deemed to be underwriters under the Securities Act in connection with the securities they remarket.</w:t>
      </w:r>
    </w:p>
    <w:p>
      <w:pPr>
        <w:spacing w:after="0" w:line="103"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We may indemnify agents, underwriters, dealers and remarketing firms against certain liabilities, including liabilities under the Securities Act. Agents, underwriters, dealers and remarketing firms, or their affiliates, may be customers of, engage in transactions with or perform services for us or our respective affiliates, in the ordinary course of business.</w:t>
      </w:r>
    </w:p>
    <w:p>
      <w:pPr>
        <w:spacing w:after="0" w:line="119"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color w:val="auto"/>
        </w:rPr>
        <w:t>We may authorize agents and underwriters to solicit offers by certain institutions to purchase the securities at the public offering price under delayed delivery contracts.</w:t>
      </w:r>
    </w:p>
    <w:p>
      <w:pPr>
        <w:spacing w:after="0" w:line="76" w:lineRule="exact"/>
        <w:rPr>
          <w:sz w:val="20"/>
          <w:szCs w:val="20"/>
          <w:color w:val="auto"/>
        </w:rPr>
      </w:pPr>
    </w:p>
    <w:p>
      <w:pPr>
        <w:ind w:left="1800" w:right="799" w:hanging="178"/>
        <w:spacing w:after="0" w:line="263"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use delayed delivery contracts, we will disclose that we are using them in the prospectus supplement and will tell you when we will demand payment and delivery of the securities under the delayed delivery contracts.</w:t>
      </w:r>
    </w:p>
    <w:p>
      <w:pPr>
        <w:spacing w:after="0" w:line="102" w:lineRule="exact"/>
        <w:rPr>
          <w:rFonts w:ascii="Arial" w:cs="Arial" w:eastAsia="Arial" w:hAnsi="Arial"/>
          <w:sz w:val="18"/>
          <w:szCs w:val="18"/>
          <w:color w:val="auto"/>
        </w:rPr>
      </w:pPr>
    </w:p>
    <w:p>
      <w:pPr>
        <w:ind w:left="1800" w:right="1259" w:hanging="178"/>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delayed delivery contracts will be subject only to the conditions that we describe in the prospectus supplement.</w:t>
      </w:r>
    </w:p>
    <w:p>
      <w:pPr>
        <w:spacing w:after="0" w:line="75" w:lineRule="exact"/>
        <w:rPr>
          <w:rFonts w:ascii="Arial" w:cs="Arial" w:eastAsia="Arial" w:hAnsi="Arial"/>
          <w:sz w:val="18"/>
          <w:szCs w:val="18"/>
          <w:color w:val="auto"/>
        </w:rPr>
      </w:pPr>
    </w:p>
    <w:p>
      <w:pPr>
        <w:ind w:left="1800" w:right="1119" w:hanging="178"/>
        <w:spacing w:after="0" w:line="308"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will describe in the applicable prospectus supplement the commission that underwriters and agents soliciting purchases of the securities under delayed contracts will be entitled to receive.</w:t>
      </w:r>
    </w:p>
    <w:p>
      <w:pPr>
        <w:spacing w:after="0" w:line="79"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Any underwriter, agent or dealer that is a Financial Industry Regulatory Authority member is not permitted to sell securities in an offering to accounts over which it exercises discretionary authority without the prior specific written approval of its customer.</w:t>
      </w:r>
    </w:p>
    <w:p>
      <w:pPr>
        <w:spacing w:after="0" w:line="103" w:lineRule="exact"/>
        <w:rPr>
          <w:sz w:val="20"/>
          <w:szCs w:val="20"/>
          <w:color w:val="auto"/>
        </w:rPr>
      </w:pPr>
    </w:p>
    <w:p>
      <w:pPr>
        <w:ind w:left="1260" w:right="959" w:firstLine="360"/>
        <w:spacing w:after="0" w:line="286" w:lineRule="auto"/>
        <w:rPr>
          <w:sz w:val="20"/>
          <w:szCs w:val="20"/>
          <w:color w:val="auto"/>
        </w:rPr>
      </w:pPr>
      <w:r>
        <w:rPr>
          <w:rFonts w:ascii="Arial" w:cs="Arial" w:eastAsia="Arial" w:hAnsi="Arial"/>
          <w:sz w:val="17"/>
          <w:szCs w:val="17"/>
          <w:color w:val="auto"/>
        </w:rPr>
        <w:t>Unless otherwise specified in connection with a particular underwritten offering of securities, the underwriters will not be obligated to purchase offered securities unless specified conditions are satisfied, and if the underwriters do purchase any offered securities, they will purchase all offered securities.</w:t>
      </w:r>
    </w:p>
    <w:p>
      <w:pPr>
        <w:spacing w:after="0" w:line="9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may enter into derivative or other hedging transactions involving the securities with third parties, or sell securities not covered by the prospectus to third parties in privately-negotiated transactions. If we so indicate in the applicable prospectus supplement, in connection with those derivative transactions, the third parties may sell securities covered by this prospectus and the related prospectus supplement, including in short sale transactions, or may lend securities in order to facilitate short sale transactions by others. If so, the third party may use securities pledged by us or borrowed from us or others to settle those sales or to close out any related open borrowings of securities, and may use securities received from us in settlement of those derivative or hedging transactions to close out any related open borrowings of securities. The third party in such sale transactions will be an underwriter and will be identified in the applicable prospectus supplement (or a post-effective amendment to the registration statement that includes this prospectus).</w:t>
      </w:r>
    </w:p>
    <w:p>
      <w:pPr>
        <w:spacing w:after="0" w:line="11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privately-negotiated transactions, or through an underwritten public offering, or through a combination of any such methods of sale, at market prices prevailing at the time of sale, at prices relating to such prevailing market prices or at negotiated or fixed prices.</w:t>
      </w:r>
    </w:p>
    <w:p>
      <w:pPr>
        <w:spacing w:after="0" w:line="114"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We may loan or pledge securities to third parties that in turn may sell the securities using this prospectus and the related prospectus supplement or, if we default in the case of a pledge, may offer and sell the securities from time to time using this prospectus and the related prospectus supplement. Such third parties may transfer their short positions to investors in the securities or in connection with a concurrent offering of other securities offered by this prospectus and the related prospectus supplement or otherwise.</w:t>
      </w:r>
    </w:p>
    <w:p>
      <w:pPr>
        <w:spacing w:after="0" w:line="109"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We may sell shares of our common stock under a direct stock purchase and dividend reinvestment plan to be established after the date of this prospectus. The terms of any such plan will be set forth in the applicable prospectus supplement.</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779" w:firstLine="360"/>
        <w:spacing w:after="0" w:line="262" w:lineRule="auto"/>
        <w:rPr>
          <w:sz w:val="20"/>
          <w:szCs w:val="20"/>
          <w:color w:val="auto"/>
        </w:rPr>
      </w:pPr>
      <w:r>
        <w:rPr>
          <w:rFonts w:ascii="Arial" w:cs="Arial" w:eastAsia="Arial" w:hAnsi="Arial"/>
          <w:sz w:val="17"/>
          <w:szCs w:val="17"/>
          <w:color w:val="auto"/>
        </w:rPr>
        <w:t>Unless otherwise indicated in the applicable prospectus supplement, the validity of the securities that may be offered hereby will be passed upon for us by Baker Botts L.L.P., Dallas, Texas. If legal matters in connection with the offering made by this prospectus are passed on by counsel for the underwriters, dealers or agents, if any, that counsel will be named in the applicable prospectus supplement.</w:t>
      </w:r>
    </w:p>
    <w:p>
      <w:pPr>
        <w:spacing w:after="0" w:line="168"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ind w:left="1260" w:right="699" w:firstLine="360"/>
        <w:spacing w:after="0" w:line="224" w:lineRule="auto"/>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Clearway Energy, Inc. as of December 31, 2019 and 2018, and for each of the years in the three-year period ended </w:t>
      </w:r>
      <w:hyperlink r:id="rId18">
        <w:r>
          <w:rPr>
            <w:rFonts w:ascii="Arial" w:cs="Arial" w:eastAsia="Arial" w:hAnsi="Arial"/>
            <w:sz w:val="18"/>
            <w:szCs w:val="18"/>
            <w:u w:val="single" w:color="auto"/>
            <w:color w:val="0000EE"/>
          </w:rPr>
          <w:t>December 31, 2019</w:t>
        </w:r>
      </w:hyperlink>
      <w:r>
        <w:rPr>
          <w:rFonts w:ascii="Arial" w:cs="Arial" w:eastAsia="Arial" w:hAnsi="Arial"/>
          <w:sz w:val="18"/>
          <w:szCs w:val="18"/>
          <w:color w:val="auto"/>
        </w:rPr>
        <w:t xml:space="preserve">, and management’s assessment of the effectiveness of internal control over financial reporting as of December 31, 2019 have been incorporated by reference herein and in the prospectus, in reliance upon the reports of KPMG LLP, independent registered public accounting firm, incorporated by reference herein, and upon the authority of said firm as experts in accounting and auditing. The audit report covering the December 31, 2019 consolidated financial statements refers to changes in accounting principle, the Company’s adoption of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of January 1, 2019 and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 of January 1, 2018.</w:t>
      </w:r>
    </w:p>
    <w:p>
      <w:pPr>
        <w:spacing w:after="0" w:line="18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INCORPORATION BY REFERENCE OF CERTAIN INFORMATION</w:t>
      </w:r>
    </w:p>
    <w:p>
      <w:pPr>
        <w:spacing w:after="0" w:line="148" w:lineRule="exact"/>
        <w:rPr>
          <w:sz w:val="20"/>
          <w:szCs w:val="20"/>
          <w:color w:val="auto"/>
        </w:rPr>
      </w:pPr>
    </w:p>
    <w:p>
      <w:pPr>
        <w:ind w:left="1260" w:right="679" w:firstLine="360"/>
        <w:spacing w:after="0" w:line="224" w:lineRule="auto"/>
        <w:rPr>
          <w:sz w:val="20"/>
          <w:szCs w:val="20"/>
          <w:color w:val="auto"/>
        </w:rPr>
      </w:pPr>
      <w:r>
        <w:rPr>
          <w:rFonts w:ascii="Arial" w:cs="Arial" w:eastAsia="Arial" w:hAnsi="Arial"/>
          <w:sz w:val="18"/>
          <w:szCs w:val="18"/>
          <w:color w:val="auto"/>
        </w:rPr>
        <w:t>The SEC allows the “incorporation by reference” of the information filed by us with the SEC into this prospectus, which means that important information can be disclosed to you by referring you to those documents and those documents will be considered part of this prospectus. Information that we file later with the SEC will automatically update and supersede the previously filed information. The documents listed below and any future filings we make with the SEC under Sections 13(a), 13(c), 14 or 15(d) of the Exchange Act (other than portions of these documents that are either (1) described in paragraph (e) of Item 201 of Regulation S-K or paragraphs (d)(1)-(3) and (e)(5) of Item 407 of Regulation S-K promulgated by the SEC or (2) furnished under Item 2.02 or Item 7.01 of a Current Report on Form 8-K) are incorporated by reference herein:</w:t>
      </w:r>
    </w:p>
    <w:p>
      <w:pPr>
        <w:spacing w:after="0" w:line="70" w:lineRule="exact"/>
        <w:rPr>
          <w:sz w:val="20"/>
          <w:szCs w:val="20"/>
          <w:color w:val="auto"/>
        </w:rPr>
      </w:pPr>
    </w:p>
    <w:p>
      <w:pPr>
        <w:ind w:left="1800" w:right="679" w:hanging="178"/>
        <w:spacing w:after="0" w:line="277" w:lineRule="auto"/>
        <w:tabs>
          <w:tab w:leader="none" w:pos="1800" w:val="left"/>
        </w:tabs>
        <w:numPr>
          <w:ilvl w:val="0"/>
          <w:numId w:val="23"/>
        </w:numPr>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Our Annual Report on Form 10-K for the year ended December 31, 2019, filed on March 2, 2020</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45">
        <w:r>
          <w:rPr>
            <w:rFonts w:ascii="Arial" w:cs="Arial" w:eastAsia="Arial" w:hAnsi="Arial"/>
            <w:sz w:val="18"/>
            <w:szCs w:val="18"/>
            <w:u w:val="single" w:color="auto"/>
            <w:color w:val="0000EE"/>
          </w:rPr>
          <w:t>our Amendment No. 1 on Form 10-K/A to such annual report filed on March 30, 2020.</w:t>
        </w:r>
      </w:hyperlink>
    </w:p>
    <w:p>
      <w:pPr>
        <w:spacing w:after="0" w:line="62" w:lineRule="exact"/>
        <w:rPr>
          <w:rFonts w:ascii="Arial" w:cs="Arial" w:eastAsia="Arial" w:hAnsi="Arial"/>
          <w:sz w:val="18"/>
          <w:szCs w:val="18"/>
          <w:u w:val="single" w:color="auto"/>
          <w:color w:val="0000EE"/>
        </w:rPr>
      </w:pPr>
    </w:p>
    <w:p>
      <w:pPr>
        <w:ind w:left="1800" w:right="859" w:hanging="178"/>
        <w:spacing w:after="0" w:line="277" w:lineRule="auto"/>
        <w:tabs>
          <w:tab w:leader="none" w:pos="1800" w:val="left"/>
        </w:tabs>
        <w:numPr>
          <w:ilvl w:val="0"/>
          <w:numId w:val="23"/>
        </w:numPr>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The information specifically incorporated by reference into our Annual Report on Form 10-K from</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our definitive proxy statement on Schedule 14A, filed on March 17, 2020.</w:t>
        </w:r>
      </w:hyperlink>
    </w:p>
    <w:p>
      <w:pPr>
        <w:spacing w:after="0" w:line="62" w:lineRule="exact"/>
        <w:rPr>
          <w:rFonts w:ascii="Arial" w:cs="Arial" w:eastAsia="Arial" w:hAnsi="Arial"/>
          <w:sz w:val="18"/>
          <w:szCs w:val="18"/>
          <w:u w:val="single" w:color="auto"/>
          <w:color w:val="0000EE"/>
        </w:rPr>
      </w:pPr>
    </w:p>
    <w:p>
      <w:pPr>
        <w:ind w:left="1800" w:right="799" w:hanging="178"/>
        <w:spacing w:after="0" w:line="277" w:lineRule="auto"/>
        <w:tabs>
          <w:tab w:leader="none" w:pos="1800" w:val="left"/>
        </w:tabs>
        <w:numPr>
          <w:ilvl w:val="0"/>
          <w:numId w:val="23"/>
        </w:numPr>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Our Quarterly Report on Form 10-Q for the quarterly period ended March 31, 2020, filed on May 7,</w:t>
        </w:r>
      </w:hyperlink>
      <w:r>
        <w:rPr>
          <w:rFonts w:ascii="Arial" w:cs="Arial" w:eastAsia="Arial" w:hAnsi="Arial"/>
          <w:sz w:val="18"/>
          <w:szCs w:val="18"/>
          <w:u w:val="single" w:color="auto"/>
          <w:color w:val="0000EE"/>
        </w:rPr>
        <w:t xml:space="preserve"> </w:t>
      </w:r>
      <w:hyperlink r:id="rId19">
        <w:r>
          <w:rPr>
            <w:rFonts w:ascii="Arial" w:cs="Arial" w:eastAsia="Arial" w:hAnsi="Arial"/>
            <w:sz w:val="18"/>
            <w:szCs w:val="18"/>
            <w:u w:val="single" w:color="auto"/>
            <w:color w:val="0000EE"/>
          </w:rPr>
          <w:t>2020.</w:t>
        </w:r>
      </w:hyperlink>
    </w:p>
    <w:p>
      <w:pPr>
        <w:spacing w:after="0" w:line="62" w:lineRule="exact"/>
        <w:rPr>
          <w:rFonts w:ascii="Arial" w:cs="Arial" w:eastAsia="Arial" w:hAnsi="Arial"/>
          <w:sz w:val="18"/>
          <w:szCs w:val="18"/>
          <w:u w:val="single" w:color="auto"/>
          <w:color w:val="0000EE"/>
        </w:rPr>
      </w:pPr>
    </w:p>
    <w:p>
      <w:pPr>
        <w:ind w:left="1800" w:right="739" w:hanging="178"/>
        <w:spacing w:after="0" w:line="277" w:lineRule="auto"/>
        <w:tabs>
          <w:tab w:leader="none" w:pos="1800" w:val="left"/>
        </w:tabs>
        <w:numPr>
          <w:ilvl w:val="0"/>
          <w:numId w:val="23"/>
        </w:numPr>
        <w:rPr>
          <w:rFonts w:ascii="Arial" w:cs="Arial" w:eastAsia="Arial" w:hAnsi="Arial"/>
          <w:sz w:val="18"/>
          <w:szCs w:val="18"/>
          <w:u w:val="single" w:color="auto"/>
          <w:color w:val="0000EE"/>
        </w:rPr>
      </w:pPr>
      <w:hyperlink r:id="rId46">
        <w:r>
          <w:rPr>
            <w:rFonts w:ascii="Arial" w:cs="Arial" w:eastAsia="Arial" w:hAnsi="Arial"/>
            <w:sz w:val="18"/>
            <w:szCs w:val="18"/>
            <w:u w:val="single" w:color="auto"/>
            <w:color w:val="0000EE"/>
          </w:rPr>
          <w:t>Our Quarterly Report on Form 10-Q for the quarterly period ended June 30, 2020, filed on August 6,</w:t>
        </w:r>
      </w:hyperlink>
      <w:r>
        <w:rPr>
          <w:rFonts w:ascii="Arial" w:cs="Arial" w:eastAsia="Arial" w:hAnsi="Arial"/>
          <w:sz w:val="18"/>
          <w:szCs w:val="18"/>
          <w:u w:val="single" w:color="auto"/>
          <w:color w:val="0000EE"/>
        </w:rPr>
        <w:t xml:space="preserve"> </w:t>
      </w:r>
      <w:hyperlink r:id="rId46">
        <w:r>
          <w:rPr>
            <w:rFonts w:ascii="Arial" w:cs="Arial" w:eastAsia="Arial" w:hAnsi="Arial"/>
            <w:sz w:val="18"/>
            <w:szCs w:val="18"/>
            <w:u w:val="single" w:color="auto"/>
            <w:color w:val="0000EE"/>
          </w:rPr>
          <w:t>2020</w:t>
        </w:r>
      </w:hyperlink>
    </w:p>
    <w:p>
      <w:pPr>
        <w:spacing w:after="0" w:line="62" w:lineRule="exact"/>
        <w:rPr>
          <w:rFonts w:ascii="Arial" w:cs="Arial" w:eastAsia="Arial" w:hAnsi="Arial"/>
          <w:sz w:val="18"/>
          <w:szCs w:val="18"/>
          <w:u w:val="single" w:color="auto"/>
          <w:color w:val="0000EE"/>
        </w:rPr>
      </w:pPr>
    </w:p>
    <w:p>
      <w:pPr>
        <w:ind w:left="1800" w:right="859" w:hanging="178"/>
        <w:spacing w:after="0" w:line="277" w:lineRule="auto"/>
        <w:tabs>
          <w:tab w:leader="none" w:pos="1800" w:val="left"/>
        </w:tabs>
        <w:numPr>
          <w:ilvl w:val="0"/>
          <w:numId w:val="23"/>
        </w:numPr>
        <w:rPr>
          <w:rFonts w:ascii="Arial" w:cs="Arial" w:eastAsia="Arial" w:hAnsi="Arial"/>
          <w:sz w:val="18"/>
          <w:szCs w:val="18"/>
          <w:color w:val="0000EE"/>
        </w:rPr>
      </w:pPr>
      <w:hyperlink r:id="rId47">
        <w:r>
          <w:rPr>
            <w:rFonts w:ascii="Arial" w:cs="Arial" w:eastAsia="Arial" w:hAnsi="Arial"/>
            <w:sz w:val="18"/>
            <w:szCs w:val="18"/>
            <w:color w:val="auto"/>
          </w:rPr>
          <w:t xml:space="preserve">Our Current Reports on Form 8-K filed on </w:t>
        </w:r>
        <w:r>
          <w:rPr>
            <w:rFonts w:ascii="Arial" w:cs="Arial" w:eastAsia="Arial" w:hAnsi="Arial"/>
            <w:sz w:val="18"/>
            <w:szCs w:val="18"/>
            <w:u w:val="single" w:color="auto"/>
            <w:color w:val="0000EE"/>
          </w:rPr>
          <w:t>January 8,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3,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20,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4,</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8">
        <w:r>
          <w:rPr>
            <w:rFonts w:ascii="Arial" w:cs="Arial" w:eastAsia="Arial" w:hAnsi="Arial"/>
            <w:sz w:val="18"/>
            <w:szCs w:val="18"/>
            <w:u w:val="single" w:color="auto"/>
            <w:color w:val="0000EE"/>
          </w:rPr>
          <w:t>May 21, 2020</w:t>
        </w:r>
      </w:hyperlink>
      <w:hyperlink r:id="rId47">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9">
        <w:r>
          <w:rPr>
            <w:rFonts w:ascii="Arial" w:cs="Arial" w:eastAsia="Arial" w:hAnsi="Arial"/>
            <w:sz w:val="18"/>
            <w:szCs w:val="18"/>
            <w:u w:val="single" w:color="auto"/>
            <w:color w:val="0000EE"/>
          </w:rPr>
          <w:t xml:space="preserve">July 21, 2020 </w:t>
        </w:r>
      </w:hyperlink>
      <w:hyperlink r:id="rId47">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50">
        <w:r>
          <w:rPr>
            <w:rFonts w:ascii="Arial" w:cs="Arial" w:eastAsia="Arial" w:hAnsi="Arial"/>
            <w:sz w:val="18"/>
            <w:szCs w:val="18"/>
            <w:u w:val="single" w:color="auto"/>
            <w:color w:val="0000EE"/>
          </w:rPr>
          <w:t>July 23, 2020.</w:t>
        </w:r>
      </w:hyperlink>
    </w:p>
    <w:p>
      <w:pPr>
        <w:spacing w:after="0" w:line="62" w:lineRule="exact"/>
        <w:rPr>
          <w:rFonts w:ascii="Arial" w:cs="Arial" w:eastAsia="Arial" w:hAnsi="Arial"/>
          <w:sz w:val="18"/>
          <w:szCs w:val="18"/>
          <w:color w:val="0000EE"/>
        </w:rPr>
      </w:pPr>
    </w:p>
    <w:p>
      <w:pPr>
        <w:ind w:left="1800" w:right="699" w:hanging="178"/>
        <w:spacing w:after="0" w:line="259" w:lineRule="auto"/>
        <w:tabs>
          <w:tab w:leader="none" w:pos="1800" w:val="left"/>
        </w:tabs>
        <w:numPr>
          <w:ilvl w:val="0"/>
          <w:numId w:val="23"/>
        </w:numPr>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The description of our Class A common stock and our Class C common stock contained in the</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Registration Statement on Form 8-A/A filed with the SEC on May 8, 2015, to register such securities</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under the Exchange Act including any amendment or report filed for the purpose of updating such</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description.</w:t>
        </w:r>
      </w:hyperlink>
    </w:p>
    <w:p>
      <w:pPr>
        <w:spacing w:after="0" w:line="106" w:lineRule="exact"/>
        <w:rPr>
          <w:rFonts w:ascii="Arial" w:cs="Arial" w:eastAsia="Arial" w:hAnsi="Arial"/>
          <w:sz w:val="18"/>
          <w:szCs w:val="18"/>
          <w:u w:val="single" w:color="auto"/>
          <w:color w:val="0000EE"/>
        </w:rPr>
      </w:pPr>
    </w:p>
    <w:p>
      <w:pPr>
        <w:ind w:left="1260" w:right="699" w:firstLine="360"/>
        <w:spacing w:after="0" w:line="241" w:lineRule="auto"/>
        <w:rPr>
          <w:sz w:val="20"/>
          <w:szCs w:val="20"/>
          <w:color w:val="auto"/>
        </w:rPr>
      </w:pPr>
      <w:r>
        <w:rPr>
          <w:rFonts w:ascii="Arial" w:cs="Arial" w:eastAsia="Arial" w:hAnsi="Arial"/>
          <w:sz w:val="18"/>
          <w:szCs w:val="18"/>
          <w:color w:val="auto"/>
        </w:rPr>
        <w:t xml:space="preserve">You may obtain any of the documents incorporated by reference from the SEC through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You may also request a copy of any document incorporated by reference in this prospectus (including exhibits to those documents specifically incorporated by reference in this prospectus), at no cost, by visiting our website at </w:t>
      </w:r>
      <w:r>
        <w:rPr>
          <w:rFonts w:ascii="Arial" w:cs="Arial" w:eastAsia="Arial" w:hAnsi="Arial"/>
          <w:sz w:val="18"/>
          <w:szCs w:val="18"/>
          <w:i w:val="1"/>
          <w:iCs w:val="1"/>
          <w:color w:val="auto"/>
        </w:rPr>
        <w:t>www.clearwayenergy.com</w:t>
      </w:r>
      <w:r>
        <w:rPr>
          <w:rFonts w:ascii="Arial" w:cs="Arial" w:eastAsia="Arial" w:hAnsi="Arial"/>
          <w:sz w:val="18"/>
          <w:szCs w:val="18"/>
          <w:color w:val="auto"/>
        </w:rPr>
        <w:t>, or by writing or calling us at the following address:</w:t>
      </w:r>
    </w:p>
    <w:p>
      <w:pPr>
        <w:spacing w:after="0" w:line="122" w:lineRule="exact"/>
        <w:rPr>
          <w:rFonts w:ascii="Arial" w:cs="Arial" w:eastAsia="Arial" w:hAnsi="Arial"/>
          <w:sz w:val="18"/>
          <w:szCs w:val="18"/>
          <w:u w:val="single" w:color="auto"/>
          <w:color w:val="0000EE"/>
        </w:rPr>
      </w:pPr>
    </w:p>
    <w:p>
      <w:pPr>
        <w:jc w:val="center"/>
        <w:ind w:right="-540"/>
        <w:spacing w:after="0"/>
        <w:rPr>
          <w:sz w:val="20"/>
          <w:szCs w:val="20"/>
          <w:color w:val="auto"/>
        </w:rPr>
      </w:pPr>
      <w:r>
        <w:rPr>
          <w:rFonts w:ascii="Arial" w:cs="Arial" w:eastAsia="Arial" w:hAnsi="Arial"/>
          <w:sz w:val="18"/>
          <w:szCs w:val="18"/>
          <w:color w:val="auto"/>
        </w:rPr>
        <w:t>Clearway Energy, Inc.</w:t>
      </w:r>
    </w:p>
    <w:p>
      <w:pPr>
        <w:spacing w:after="0" w:line="7" w:lineRule="exact"/>
        <w:rPr>
          <w:rFonts w:ascii="Arial" w:cs="Arial" w:eastAsia="Arial" w:hAnsi="Arial"/>
          <w:sz w:val="18"/>
          <w:szCs w:val="18"/>
          <w:u w:val="single" w:color="auto"/>
          <w:color w:val="0000EE"/>
        </w:rPr>
      </w:pPr>
    </w:p>
    <w:p>
      <w:pPr>
        <w:jc w:val="center"/>
        <w:ind w:right="-540"/>
        <w:spacing w:after="0"/>
        <w:rPr>
          <w:sz w:val="20"/>
          <w:szCs w:val="20"/>
          <w:color w:val="auto"/>
        </w:rPr>
      </w:pPr>
      <w:r>
        <w:rPr>
          <w:rFonts w:ascii="Arial" w:cs="Arial" w:eastAsia="Arial" w:hAnsi="Arial"/>
          <w:sz w:val="18"/>
          <w:szCs w:val="18"/>
          <w:color w:val="auto"/>
        </w:rPr>
        <w:t>300 Carnegie Center, Suite 300</w:t>
      </w:r>
    </w:p>
    <w:p>
      <w:pPr>
        <w:jc w:val="center"/>
        <w:ind w:right="-540"/>
        <w:spacing w:after="0" w:line="234" w:lineRule="auto"/>
        <w:rPr>
          <w:sz w:val="20"/>
          <w:szCs w:val="20"/>
          <w:color w:val="auto"/>
        </w:rPr>
      </w:pPr>
      <w:r>
        <w:rPr>
          <w:rFonts w:ascii="Arial" w:cs="Arial" w:eastAsia="Arial" w:hAnsi="Arial"/>
          <w:sz w:val="18"/>
          <w:szCs w:val="18"/>
          <w:color w:val="auto"/>
        </w:rPr>
        <w:t>Princeton, NJ 08540</w:t>
      </w:r>
    </w:p>
    <w:p>
      <w:pPr>
        <w:jc w:val="center"/>
        <w:ind w:right="-540"/>
        <w:spacing w:after="0" w:line="235" w:lineRule="auto"/>
        <w:rPr>
          <w:sz w:val="20"/>
          <w:szCs w:val="20"/>
          <w:color w:val="auto"/>
        </w:rPr>
      </w:pPr>
      <w:r>
        <w:rPr>
          <w:rFonts w:ascii="Arial" w:cs="Arial" w:eastAsia="Arial" w:hAnsi="Arial"/>
          <w:sz w:val="18"/>
          <w:szCs w:val="18"/>
          <w:color w:val="auto"/>
        </w:rPr>
        <w:t>(609) 608-1525</w:t>
      </w:r>
    </w:p>
    <w:p>
      <w:pPr>
        <w:spacing w:after="0" w:line="1" w:lineRule="exact"/>
        <w:rPr>
          <w:rFonts w:ascii="Arial" w:cs="Arial" w:eastAsia="Arial" w:hAnsi="Arial"/>
          <w:sz w:val="18"/>
          <w:szCs w:val="18"/>
          <w:u w:val="single" w:color="auto"/>
          <w:color w:val="0000EE"/>
        </w:rPr>
      </w:pPr>
    </w:p>
    <w:p>
      <w:pPr>
        <w:jc w:val="center"/>
        <w:ind w:right="-580"/>
        <w:spacing w:after="0"/>
        <w:rPr>
          <w:sz w:val="20"/>
          <w:szCs w:val="20"/>
          <w:color w:val="auto"/>
        </w:rPr>
      </w:pPr>
      <w:r>
        <w:rPr>
          <w:rFonts w:ascii="Arial" w:cs="Arial" w:eastAsia="Arial" w:hAnsi="Arial"/>
          <w:sz w:val="18"/>
          <w:szCs w:val="18"/>
          <w:color w:val="auto"/>
        </w:rPr>
        <w:t>Attention: Corporate Secretary</w:t>
      </w:r>
    </w:p>
    <w:p>
      <w:pPr>
        <w:spacing w:after="0" w:line="371" w:lineRule="exact"/>
        <w:rPr>
          <w:rFonts w:ascii="Arial" w:cs="Arial" w:eastAsia="Arial" w:hAnsi="Arial"/>
          <w:sz w:val="18"/>
          <w:szCs w:val="18"/>
          <w:u w:val="single" w:color="auto"/>
          <w:color w:val="0000EE"/>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ind w:left="1260" w:right="1079" w:firstLine="360"/>
        <w:spacing w:after="0" w:line="279" w:lineRule="auto"/>
        <w:rPr>
          <w:sz w:val="20"/>
          <w:szCs w:val="20"/>
          <w:color w:val="auto"/>
        </w:rPr>
      </w:pPr>
      <w:r>
        <w:rPr>
          <w:rFonts w:ascii="Arial" w:cs="Arial" w:eastAsia="Arial" w:hAnsi="Arial"/>
          <w:sz w:val="17"/>
          <w:szCs w:val="17"/>
          <w:color w:val="auto"/>
        </w:rPr>
        <w:t xml:space="preserve">We are subject to the reporting, proxy and information requirements of the Exchange Act, and as a result are required to file periodic reports, proxy statements and other information with the SEC. Such reports and other information (including the documents incorporated by reference into this prospectus supplement) are 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04"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Additionally, our filings with the SEC that are filed or furnished pursuant to section 13(a) or 15(d) of the Exchange Act are available free of charge through the “Investor Relations” section of our website, http://www.clearwayenergy.com, as soon as reasonably practicable after they are electronically filed with, or furnished to, the SEC. Our website and the information contained on that site, or connected to that site, are not incorporated into and are not a part of this prospectus except for the documents specifically incorporated by reference as noted above.</w:t>
      </w:r>
    </w:p>
    <w:p>
      <w:pPr>
        <w:spacing w:after="0" w:line="125" w:lineRule="exact"/>
        <w:rPr>
          <w:sz w:val="20"/>
          <w:szCs w:val="20"/>
          <w:color w:val="auto"/>
        </w:rPr>
      </w:pPr>
    </w:p>
    <w:p>
      <w:pPr>
        <w:ind w:left="1260" w:right="839" w:firstLine="360"/>
        <w:spacing w:after="0" w:line="254" w:lineRule="auto"/>
        <w:rPr>
          <w:sz w:val="20"/>
          <w:szCs w:val="20"/>
          <w:color w:val="auto"/>
        </w:rPr>
      </w:pPr>
      <w:r>
        <w:rPr>
          <w:rFonts w:ascii="Arial" w:cs="Arial" w:eastAsia="Arial" w:hAnsi="Arial"/>
          <w:sz w:val="18"/>
          <w:szCs w:val="18"/>
          <w:color w:val="auto"/>
        </w:rPr>
        <w:t>We have filed with the SEC a registration statement on Form S-3 relating to the securities covered by this prospectus. This prospectus, which forms a part of the registration statement, does not contain all the information that is included in the registration statement. You will find additional information about us in the registration statement. Any statements made in this prospectus concerning the provisions of legal documents are not necessarily complete and you should read the documents that are filed as exhibits to the registration statement or otherwise filed with the SEC for a more complete understanding of the document or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sectPr>
      <w:pgSz w:w="11900" w:h="16838" w:orient="portrait"/>
      <w:cols w:equalWidth="0" w:num="1">
        <w:col w:w="10139"/>
      </w:cols>
      <w:pgMar w:left="32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upperLetter"/>
      <w:start w:val="5"/>
    </w:lvl>
    <w:lvl w:ilvl="1">
      <w:lvlJc w:val="left"/>
      <w:lvlText w:val="•"/>
      <w:numFmt w:val="bullet"/>
      <w:start w:val="1"/>
    </w:lvl>
  </w:abstractNum>
  <w:abstractNum w:abstractNumId="7">
    <w:nsid w:val="41A7C4C9"/>
    <w:multiLevelType w:val="hybridMultilevel"/>
    <w:lvl w:ilvl="0">
      <w:lvlJc w:val="left"/>
      <w:lvlText w:val="(%1)"/>
      <w:numFmt w:val="lowerLetter"/>
      <w:start w:val="5"/>
    </w:lvl>
    <w:lvl w:ilvl="1">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lowerRoman"/>
      <w:start w:val="1"/>
    </w:lvl>
  </w:abstractNum>
  <w:abstractNum w:abstractNumId="12">
    <w:nsid w:val="431BD7B7"/>
    <w:multiLevelType w:val="hybridMultilevel"/>
    <w:lvl w:ilvl="0">
      <w:lvlJc w:val="left"/>
      <w:lvlText w:val="(%1)"/>
      <w:numFmt w:val="lowerRoman"/>
      <w:start w:val="2"/>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4"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jpe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18" Type="http://schemas.openxmlformats.org/officeDocument/2006/relationships/hyperlink" Target="http://www.sec.gov/ix?doc=/Archives/edgar/data/1567683/000156768320000008/clearwayinc201910-k.htm" TargetMode="External"/><Relationship Id="rId19" Type="http://schemas.openxmlformats.org/officeDocument/2006/relationships/hyperlink" Target="http://www.sec.gov/ix?doc=/Archives/edgar/data/1567683/000156768320000022/cwen-20200331.htm" TargetMode="External"/><Relationship Id="rId43" Type="http://schemas.openxmlformats.org/officeDocument/2006/relationships/hyperlink" Target="http://www.sec.gov/Archives/edgar/data/1567683/000104746920001542/a2240970zdef14a.htm" TargetMode="External"/><Relationship Id="rId45" Type="http://schemas.openxmlformats.org/officeDocument/2006/relationships/hyperlink" Target="http://www.sec.gov/ix?doc=/Archives/edgar/data/1567683/000156768320000013/clearwayenergyinc20191.htm" TargetMode="External"/><Relationship Id="rId46" Type="http://schemas.openxmlformats.org/officeDocument/2006/relationships/hyperlink" Target="http://www.sec.gov/ix?doc=/Archives/edgar/data/1567683/000156768320000028/cwen-20200630.htm" TargetMode="External"/><Relationship Id="rId47" Type="http://schemas.openxmlformats.org/officeDocument/2006/relationships/hyperlink" Target="http://www.sec.gov/ix?doc=/Archives/edgar/data/1567683/000110465920056290/tm203404-2_8k.htm" TargetMode="External"/><Relationship Id="rId48" Type="http://schemas.openxmlformats.org/officeDocument/2006/relationships/hyperlink" Target="http://www.sec.gov/ix?doc=/Archives/edgar/data/1567683/000110465920064747/tm2020404-1_8k.htm" TargetMode="External"/><Relationship Id="rId49" Type="http://schemas.openxmlformats.org/officeDocument/2006/relationships/hyperlink" Target="http://www.sec.gov/ix?doc=/Archives/edgar/data/1567683/000110465920085304/tm2025125-1_8k.htm" TargetMode="External"/><Relationship Id="rId50" Type="http://schemas.openxmlformats.org/officeDocument/2006/relationships/hyperlink" Target="http://www.sec.gov/ix?doc=/Archives/edgar/data/1567683/000110465920085978/tm2025125d2_8k.htm" TargetMode="External"/><Relationship Id="rId51" Type="http://schemas.openxmlformats.org/officeDocument/2006/relationships/hyperlink" Target="http://www.sec.gov/Archives/edgar/data/1567683/000110465915036311/a15-11016_18a12ba.htm" TargetMode="External"/><Relationship Id="rId52" Type="http://schemas.openxmlformats.org/officeDocument/2006/relationships/hyperlink" Target="http://www.sec.gov/Archives/edgar/data/1567683/000110465913054207/a13-4678_9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2020-08-06T16:25:21Z</dcterms:created>
  <dcterms:modified xsi:type="dcterms:W3CDTF">2020-08-06T16:25:21Z</dcterms:modified>
</cp:coreProperties>
</file>