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6,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NRG Yield,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804 Carnegie Center, Princeton, New Jersey 08540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400"/>
          </w:cols>
          <w:pgMar w:left="240" w:top="544" w:right="259" w:bottom="0" w:gutter="0" w:footer="0" w:header="0"/>
          <w:type w:val="continuous"/>
        </w:sectPr>
      </w:pPr>
    </w:p>
    <w:p>
      <w:pPr>
        <w:spacing w:after="0" w:line="234"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5840"/>
        <w:spacing w:after="0"/>
        <w:tabs>
          <w:tab w:leader="none" w:pos="8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Second Amendment to NRG Yield LLC and NRG Yield Operating LLC Revolving Credit Facility</w:t>
      </w:r>
    </w:p>
    <w:p>
      <w:pPr>
        <w:spacing w:after="0" w:line="225" w:lineRule="exact"/>
        <w:rPr>
          <w:sz w:val="24"/>
          <w:szCs w:val="24"/>
          <w:color w:val="auto"/>
        </w:rPr>
      </w:pPr>
    </w:p>
    <w:p>
      <w:pPr>
        <w:ind w:right="80" w:firstLine="495"/>
        <w:spacing w:after="0" w:line="273" w:lineRule="auto"/>
        <w:rPr>
          <w:sz w:val="20"/>
          <w:szCs w:val="20"/>
          <w:color w:val="auto"/>
        </w:rPr>
      </w:pPr>
      <w:r>
        <w:rPr>
          <w:rFonts w:ascii="Arial" w:cs="Arial" w:eastAsia="Arial" w:hAnsi="Arial"/>
          <w:sz w:val="17"/>
          <w:szCs w:val="17"/>
          <w:color w:val="auto"/>
        </w:rPr>
        <w:t>On February 6, 2018, NRG Yield Operating LLC (“Yield Operating”), as borrower, and NRG Yield LLC (“NYLD LLC”), as guarantor, entered into the Second Amendment to Amended &amp; Restated Credit Agreement (the “Second Amendment”) with certain subsidiaries of Yield Operating party thereto, as guarantors, Royal Bank of Canada, as administrative agent (the “Administrative Agent”), and the lenders party thereto, which amended that certain Amended &amp; Restated Credit Agreement, dated as of April 25, 2014, as amended as of June 26, 2015 (the “Existing Credit Agreement”), by and among Yield Operating, NYLD LLC, certain subsidiaries of Yield Operating party thereto, the Administrative Agent, and the lenders and other parties thereto. Each of Yield Operating and NYLD LLC are subsidiaries of NRG Yield, Inc. (“NYLD”).</w:t>
      </w:r>
    </w:p>
    <w:p>
      <w:pPr>
        <w:spacing w:after="0" w:line="178" w:lineRule="exact"/>
        <w:rPr>
          <w:sz w:val="24"/>
          <w:szCs w:val="24"/>
          <w:color w:val="auto"/>
        </w:rPr>
      </w:pPr>
    </w:p>
    <w:p>
      <w:pPr>
        <w:ind w:firstLine="495"/>
        <w:spacing w:after="0" w:line="290" w:lineRule="auto"/>
        <w:rPr>
          <w:sz w:val="20"/>
          <w:szCs w:val="20"/>
          <w:color w:val="auto"/>
        </w:rPr>
      </w:pPr>
      <w:r>
        <w:rPr>
          <w:rFonts w:ascii="Arial" w:cs="Arial" w:eastAsia="Arial" w:hAnsi="Arial"/>
          <w:sz w:val="16"/>
          <w:szCs w:val="16"/>
          <w:color w:val="auto"/>
        </w:rPr>
        <w:t>As previously announced by NRG Energy, Inc. (“NRG”), on February 6, 2018, NRG entered into a Purchase and Sale Agreement with NRG Repowering Holdings LLC, a wholly owned subsidiary of NRG (“Repowering,” and together with NRG, the “NRG Parties”), and GIP III Zephyr Acquisition Partners, L.P., a subsidiary of Global Infrastructure Management LLC (“GIP”), pursuant to which the NRG Parties have agreed to sell to GIP one hundred percent (100%) of the outstanding membership interests of Zephyr Renewables LLC (the “Company”), a wholly owned subsidiary of Repowering (such sale, the “Transaction”). Prior to consummation of the Transaction, the Company will own (i) one hundred percent (100%) of the Class B shares and one hundred percent (100%) of the Class D shares of NYLD and (ii) one hundred percent (100%) of the Class B membership units and one hundred percent (100%) of the Class D membership units of NYLD LLC. The Second Amendment modifies the “change of control” provisions of the Existing Credit Agreement to permit the consummation of the Transaction, and also to permit Yield Operating, NYLD LLC and certain subsidiaries of Yield Operating to incur up to $1.5 billion</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780"/>
        <w:spacing w:after="0" w:line="277" w:lineRule="auto"/>
        <w:rPr>
          <w:sz w:val="20"/>
          <w:szCs w:val="20"/>
          <w:color w:val="auto"/>
        </w:rPr>
      </w:pPr>
      <w:r>
        <w:rPr>
          <w:rFonts w:ascii="Arial" w:cs="Arial" w:eastAsia="Arial" w:hAnsi="Arial"/>
          <w:sz w:val="18"/>
          <w:szCs w:val="18"/>
          <w:color w:val="auto"/>
        </w:rPr>
        <w:t>of unsecured indebtedness in order to repurchase or make other required cash payments, in each case if applicable, with respect to Yield Operating’s outstanding senior notes and NYLD’s outstanding convertible notes in connection with the Transaction.</w:t>
      </w:r>
    </w:p>
    <w:p>
      <w:pPr>
        <w:spacing w:after="0" w:line="170" w:lineRule="exact"/>
        <w:rPr>
          <w:sz w:val="20"/>
          <w:szCs w:val="20"/>
          <w:color w:val="auto"/>
        </w:rPr>
      </w:pPr>
    </w:p>
    <w:p>
      <w:pPr>
        <w:ind w:right="680" w:firstLine="495"/>
        <w:spacing w:after="0" w:line="308" w:lineRule="auto"/>
        <w:rPr>
          <w:sz w:val="20"/>
          <w:szCs w:val="20"/>
          <w:color w:val="auto"/>
        </w:rPr>
      </w:pPr>
      <w:r>
        <w:rPr>
          <w:rFonts w:ascii="Arial" w:cs="Arial" w:eastAsia="Arial" w:hAnsi="Arial"/>
          <w:sz w:val="17"/>
          <w:szCs w:val="17"/>
          <w:color w:val="auto"/>
        </w:rPr>
        <w:t>The foregoing description of the Second Amendment does not purport to be complete and is qualified in its entirety by reference to the Second Amendment, which is attached as Exhibit 10.1 to this Current Report on Form 8-K and is incorporated by reference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right="160" w:firstLine="495"/>
        <w:spacing w:after="0" w:line="277" w:lineRule="auto"/>
        <w:rPr>
          <w:sz w:val="20"/>
          <w:szCs w:val="20"/>
          <w:color w:val="auto"/>
        </w:rPr>
      </w:pPr>
      <w:r>
        <w:rPr>
          <w:rFonts w:ascii="Arial" w:cs="Arial" w:eastAsia="Arial" w:hAnsi="Arial"/>
          <w:sz w:val="18"/>
          <w:szCs w:val="18"/>
          <w:color w:val="auto"/>
        </w:rPr>
        <w:t>The disclosures under Item 1.01 of this Current Report on Form 8-K relating to the Second Amendment are also responsive to Item 2.03 of this report and are incorporated by reference into this Item 2.03.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auto"/>
            </w:tcBorders>
            <w:gridSpan w:val="3"/>
          </w:tcPr>
          <w:p>
            <w:pPr>
              <w:ind w:left="4620"/>
              <w:spacing w:after="0"/>
              <w:rPr>
                <w:sz w:val="20"/>
                <w:szCs w:val="20"/>
                <w:color w:val="auto"/>
              </w:rPr>
            </w:pPr>
            <w:r>
              <w:rPr>
                <w:rFonts w:ascii="Arial" w:cs="Arial" w:eastAsia="Arial" w:hAnsi="Arial"/>
                <w:sz w:val="14"/>
                <w:szCs w:val="14"/>
                <w:b w:val="1"/>
                <w:bCs w:val="1"/>
                <w:color w:val="auto"/>
              </w:rPr>
              <w:t>Document</w:t>
            </w:r>
          </w:p>
        </w:tc>
        <w:tc>
          <w:tcPr>
            <w:tcW w:w="40" w:type="dxa"/>
            <w:vAlign w:val="bottom"/>
          </w:tcPr>
          <w:p>
            <w:pPr>
              <w:spacing w:after="0"/>
              <w:rPr>
                <w:sz w:val="14"/>
                <w:szCs w:val="14"/>
                <w:color w:val="auto"/>
              </w:rPr>
            </w:pPr>
          </w:p>
        </w:tc>
      </w:tr>
      <w:tr>
        <w:trPr>
          <w:trHeight w:val="385"/>
        </w:trPr>
        <w:tc>
          <w:tcPr>
            <w:tcW w:w="1160" w:type="dxa"/>
            <w:vAlign w:val="bottom"/>
          </w:tcPr>
          <w:p>
            <w:pPr>
              <w:jc w:val="right"/>
              <w:ind w:right="339"/>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99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Second Amendment to Amended &amp; Restated Credit Agreement, dated as of February 6, 2018, by and among NRG Yield Operating LLC,</w:t>
              </w:r>
            </w:hyperlink>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4"/>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NRG Yield LLC, the guarantors party thereto, Royal Bank of Canada, as Administrative Agent, and the lenders party thereto.</w:t>
              </w:r>
            </w:hyperlink>
          </w:p>
        </w:tc>
        <w:tc>
          <w:tcPr>
            <w:tcW w:w="40" w:type="dxa"/>
            <w:vAlign w:val="bottom"/>
          </w:tcPr>
          <w:p>
            <w:pPr>
              <w:spacing w:after="0"/>
              <w:rPr>
                <w:sz w:val="17"/>
                <w:szCs w:val="17"/>
                <w:color w:val="auto"/>
              </w:rPr>
            </w:pPr>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9000" w:type="dxa"/>
            <w:vAlign w:val="bottom"/>
            <w:tcBorders>
              <w:top w:val="single" w:sz="8" w:color="0000EE"/>
            </w:tcBorders>
          </w:tcPr>
          <w:p>
            <w:pPr>
              <w:jc w:val="right"/>
              <w:ind w:right="4679"/>
              <w:spacing w:after="0"/>
              <w:rPr>
                <w:sz w:val="20"/>
                <w:szCs w:val="20"/>
                <w:color w:val="auto"/>
              </w:rPr>
            </w:pPr>
            <w:r>
              <w:rPr>
                <w:rFonts w:ascii="Arial" w:cs="Arial" w:eastAsia="Arial" w:hAnsi="Arial"/>
                <w:sz w:val="18"/>
                <w:szCs w:val="18"/>
                <w:color w:val="auto"/>
              </w:rPr>
              <w:t>2</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Yield,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Brian E. Curci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E. Curci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AMENDED &amp; RESTATED CREDIT AGREEMENT</w:t>
      </w:r>
    </w:p>
    <w:p>
      <w:pPr>
        <w:spacing w:after="0" w:line="20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color w:val="auto"/>
        </w:rPr>
        <w:t xml:space="preserve">THIS SECOND AMENDMENT TO AMENDED &amp; RESTATED CREDIT AGREEMENT </w:t>
      </w:r>
      <w:r>
        <w:rPr>
          <w:rFonts w:ascii="Arial" w:cs="Arial" w:eastAsia="Arial" w:hAnsi="Arial"/>
          <w:sz w:val="18"/>
          <w:szCs w:val="18"/>
          <w:color w:val="auto"/>
        </w:rPr>
        <w:t>(this</w:t>
      </w:r>
      <w:r>
        <w:rPr>
          <w:rFonts w:ascii="Arial" w:cs="Arial" w:eastAsia="Arial" w:hAnsi="Arial"/>
          <w:sz w:val="18"/>
          <w:szCs w:val="18"/>
          <w:b w:val="1"/>
          <w:bCs w:val="1"/>
          <w:color w:val="auto"/>
        </w:rPr>
        <w:t xml:space="preserve"> “Amendment”</w:t>
      </w:r>
      <w:r>
        <w:rPr>
          <w:rFonts w:ascii="Arial" w:cs="Arial" w:eastAsia="Arial" w:hAnsi="Arial"/>
          <w:sz w:val="18"/>
          <w:szCs w:val="18"/>
          <w:color w:val="auto"/>
        </w:rPr>
        <w:t>) is dated as of February 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2018 and is entered into by and among </w:t>
      </w:r>
      <w:r>
        <w:rPr>
          <w:rFonts w:ascii="Arial" w:cs="Arial" w:eastAsia="Arial" w:hAnsi="Arial"/>
          <w:sz w:val="18"/>
          <w:szCs w:val="18"/>
          <w:b w:val="1"/>
          <w:bCs w:val="1"/>
          <w:color w:val="auto"/>
        </w:rPr>
        <w:t>NRG YIELD OPERATING LLC</w:t>
      </w:r>
      <w:r>
        <w:rPr>
          <w:rFonts w:ascii="Arial" w:cs="Arial" w:eastAsia="Arial" w:hAnsi="Arial"/>
          <w:sz w:val="18"/>
          <w:szCs w:val="18"/>
          <w:color w:val="auto"/>
        </w:rPr>
        <w:t xml:space="preserve">, a Delaware limited liability company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NRG YIELD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“Holdings’’</w:t>
      </w:r>
      <w:r>
        <w:rPr>
          <w:rFonts w:ascii="Arial" w:cs="Arial" w:eastAsia="Arial" w:hAnsi="Arial"/>
          <w:sz w:val="18"/>
          <w:szCs w:val="18"/>
          <w:color w:val="auto"/>
        </w:rPr>
        <w:t xml:space="preserve">), each other Guarantor party hereto, </w:t>
      </w:r>
      <w:r>
        <w:rPr>
          <w:rFonts w:ascii="Arial" w:cs="Arial" w:eastAsia="Arial" w:hAnsi="Arial"/>
          <w:sz w:val="18"/>
          <w:szCs w:val="18"/>
          <w:b w:val="1"/>
          <w:bCs w:val="1"/>
          <w:color w:val="auto"/>
        </w:rPr>
        <w:t>ROYAL BANK OF CANADA</w:t>
      </w:r>
      <w:r>
        <w:rPr>
          <w:rFonts w:ascii="Arial" w:cs="Arial" w:eastAsia="Arial" w:hAnsi="Arial"/>
          <w:sz w:val="18"/>
          <w:szCs w:val="18"/>
          <w:color w:val="auto"/>
        </w:rPr>
        <w:t xml:space="preserve">, as Administrative Agent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and the Lenders party hereto, and is made with reference to that certain</w:t>
      </w:r>
      <w:r>
        <w:rPr>
          <w:rFonts w:ascii="Arial" w:cs="Arial" w:eastAsia="Arial" w:hAnsi="Arial"/>
          <w:sz w:val="18"/>
          <w:szCs w:val="18"/>
          <w:b w:val="1"/>
          <w:bCs w:val="1"/>
          <w:color w:val="auto"/>
        </w:rPr>
        <w:t xml:space="preserve"> AMENDED AND RESTATED CREDIT AGREEMENT </w:t>
      </w:r>
      <w:r>
        <w:rPr>
          <w:rFonts w:ascii="Arial" w:cs="Arial" w:eastAsia="Arial" w:hAnsi="Arial"/>
          <w:sz w:val="18"/>
          <w:szCs w:val="18"/>
          <w:color w:val="auto"/>
        </w:rPr>
        <w:t>dated as of April 25, 2014 (as amended by that certain First Amendment to Amended &amp; Restated Credit Agreement, dated as of June 26,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2015, the </w:t>
      </w:r>
      <w:r>
        <w:rPr>
          <w:rFonts w:ascii="Arial" w:cs="Arial" w:eastAsia="Arial" w:hAnsi="Arial"/>
          <w:sz w:val="18"/>
          <w:szCs w:val="18"/>
          <w:b w:val="1"/>
          <w:bCs w:val="1"/>
          <w:color w:val="auto"/>
        </w:rPr>
        <w:t>“Credit Agreement”</w:t>
      </w:r>
      <w:r>
        <w:rPr>
          <w:rFonts w:ascii="Arial" w:cs="Arial" w:eastAsia="Arial" w:hAnsi="Arial"/>
          <w:sz w:val="18"/>
          <w:szCs w:val="18"/>
          <w:color w:val="auto"/>
        </w:rPr>
        <w:t>), by and among the Borrower, Holdings, the other Guarantors party thereto, the Lenders and L/C Issuers party thereto and the Administrative Agent. Capitalized terms used herein without definition shall have the same meanings herein as set forth in the Credit Agreement after giving effect to this Amendment.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February 6, 2018, NRG Energy, Inc. (“</w:t>
      </w:r>
      <w:r>
        <w:rPr>
          <w:rFonts w:ascii="Arial" w:cs="Arial" w:eastAsia="Arial" w:hAnsi="Arial"/>
          <w:sz w:val="16"/>
          <w:szCs w:val="16"/>
          <w:b w:val="1"/>
          <w:bCs w:val="1"/>
          <w:color w:val="auto"/>
        </w:rPr>
        <w:t>NRG</w:t>
      </w:r>
      <w:r>
        <w:rPr>
          <w:rFonts w:ascii="Arial" w:cs="Arial" w:eastAsia="Arial" w:hAnsi="Arial"/>
          <w:sz w:val="16"/>
          <w:szCs w:val="16"/>
          <w:color w:val="auto"/>
        </w:rPr>
        <w:t>”) and NRG Repowering Holdings LLC, as the sellers, and GIP III Zephyr Acquisition</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 L.P., as the buyer (the “</w:t>
      </w:r>
      <w:r>
        <w:rPr>
          <w:rFonts w:ascii="Arial" w:cs="Arial" w:eastAsia="Arial" w:hAnsi="Arial"/>
          <w:sz w:val="16"/>
          <w:szCs w:val="16"/>
          <w:b w:val="1"/>
          <w:bCs w:val="1"/>
          <w:color w:val="auto"/>
        </w:rPr>
        <w:t>Buyer</w:t>
      </w:r>
      <w:r>
        <w:rPr>
          <w:rFonts w:ascii="Arial" w:cs="Arial" w:eastAsia="Arial" w:hAnsi="Arial"/>
          <w:sz w:val="16"/>
          <w:szCs w:val="16"/>
          <w:color w:val="auto"/>
        </w:rPr>
        <w:t>”) entered into that certain Purchase and Sale Agreement (as amended, restated, supplemented or otherwise modified from time to time, the “</w:t>
      </w:r>
      <w:r>
        <w:rPr>
          <w:rFonts w:ascii="Arial" w:cs="Arial" w:eastAsia="Arial" w:hAnsi="Arial"/>
          <w:sz w:val="16"/>
          <w:szCs w:val="16"/>
          <w:b w:val="1"/>
          <w:bCs w:val="1"/>
          <w:color w:val="auto"/>
        </w:rPr>
        <w:t>Acquisition Agreement</w:t>
      </w:r>
      <w:r>
        <w:rPr>
          <w:rFonts w:ascii="Arial" w:cs="Arial" w:eastAsia="Arial" w:hAnsi="Arial"/>
          <w:sz w:val="16"/>
          <w:szCs w:val="16"/>
          <w:color w:val="auto"/>
        </w:rPr>
        <w:t xml:space="preserve">”), pursuant to which the Buyer will acquire, directly or indirectly, from NRG all of the outstanding equity interests of Parent owned by NRG (such acquisition, together with the other transactions contemplated Acquisition Agreement, the </w:t>
      </w:r>
      <w:r>
        <w:rPr>
          <w:rFonts w:ascii="Arial" w:cs="Arial" w:eastAsia="Arial" w:hAnsi="Arial"/>
          <w:sz w:val="16"/>
          <w:szCs w:val="16"/>
          <w:b w:val="1"/>
          <w:bCs w:val="1"/>
          <w:color w:val="auto"/>
        </w:rPr>
        <w:t>“Parent Acquisition”</w:t>
      </w:r>
      <w:r>
        <w:rPr>
          <w:rFonts w:ascii="Arial" w:cs="Arial" w:eastAsia="Arial" w:hAnsi="Arial"/>
          <w:sz w:val="16"/>
          <w:szCs w:val="16"/>
          <w:color w:val="auto"/>
        </w:rPr>
        <w:t>);</w:t>
      </w:r>
    </w:p>
    <w:p>
      <w:pPr>
        <w:spacing w:after="0" w:line="151" w:lineRule="exact"/>
        <w:rPr>
          <w:sz w:val="20"/>
          <w:szCs w:val="20"/>
          <w:color w:val="auto"/>
        </w:rPr>
      </w:pPr>
    </w:p>
    <w:p>
      <w:pPr>
        <w:ind w:right="36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Loan Parties have requested that the Required Lenders agree to amend certain provisions of the Credit Agreement and waive,</w:t>
      </w:r>
      <w:r>
        <w:rPr>
          <w:rFonts w:ascii="Arial" w:cs="Arial" w:eastAsia="Arial" w:hAnsi="Arial"/>
          <w:sz w:val="16"/>
          <w:szCs w:val="16"/>
          <w:b w:val="1"/>
          <w:bCs w:val="1"/>
          <w:color w:val="auto"/>
        </w:rPr>
        <w:t xml:space="preserve"> </w:t>
      </w:r>
      <w:r>
        <w:rPr>
          <w:rFonts w:ascii="Arial" w:cs="Arial" w:eastAsia="Arial" w:hAnsi="Arial"/>
          <w:sz w:val="16"/>
          <w:szCs w:val="16"/>
          <w:color w:val="auto"/>
        </w:rPr>
        <w:t>solely to the extent set forth herein, any default associated with the breach of certain other provisions of the Credit Agreement as provided for herein; and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subject to certain conditions, the Required Lenders are willing to agree to such amendments and waiver to the Credit Agreement.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the parties hereto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SECTION I.</w:t>
        <w:tab/>
        <w:t>AMENDMENTS TO CREDIT AGREEMENT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Amendments to Article I: Definitions</w:t>
      </w:r>
      <w:r>
        <w:rPr>
          <w:rFonts w:ascii="Arial" w:cs="Arial" w:eastAsia="Arial" w:hAnsi="Arial"/>
          <w:sz w:val="16"/>
          <w:szCs w:val="16"/>
          <w:b w:val="1"/>
          <w:bCs w:val="1"/>
          <w:color w:val="auto"/>
        </w:rPr>
        <w:t>.</w:t>
      </w:r>
    </w:p>
    <w:p>
      <w:pPr>
        <w:spacing w:after="0" w:line="229" w:lineRule="exact"/>
        <w:rPr>
          <w:sz w:val="20"/>
          <w:szCs w:val="20"/>
          <w:color w:val="auto"/>
        </w:rPr>
      </w:pPr>
    </w:p>
    <w:p>
      <w:pPr>
        <w:ind w:left="660" w:right="1160" w:hanging="4"/>
        <w:spacing w:after="0" w:line="528" w:lineRule="auto"/>
        <w:tabs>
          <w:tab w:leader="none" w:pos="10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following new definitions are hereby added to Section 1.01 of the Credit Agreement in their appropriate alphabetical order: “</w:t>
      </w:r>
      <w:r>
        <w:rPr>
          <w:rFonts w:ascii="Arial" w:cs="Arial" w:eastAsia="Arial" w:hAnsi="Arial"/>
          <w:sz w:val="18"/>
          <w:szCs w:val="18"/>
          <w:u w:val="single" w:color="auto"/>
          <w:color w:val="auto"/>
        </w:rPr>
        <w:t>2024 Senior Notes</w:t>
      </w:r>
      <w:r>
        <w:rPr>
          <w:rFonts w:ascii="Arial" w:cs="Arial" w:eastAsia="Arial" w:hAnsi="Arial"/>
          <w:sz w:val="18"/>
          <w:szCs w:val="18"/>
          <w:color w:val="auto"/>
        </w:rPr>
        <w:t>” has the meaning set forth in the definition of “Existing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2026 Senior Notes</w:t>
      </w:r>
      <w:r>
        <w:rPr>
          <w:rFonts w:ascii="Arial" w:cs="Arial" w:eastAsia="Arial" w:hAnsi="Arial"/>
          <w:sz w:val="18"/>
          <w:szCs w:val="18"/>
          <w:color w:val="auto"/>
        </w:rPr>
        <w:t>” has the meaning set forth in the definition of “Existing Senior Notes”.</w:t>
      </w:r>
    </w:p>
    <w:p>
      <w:pPr>
        <w:spacing w:after="0" w:line="22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A&amp;R Credit Agreement Second Amendment</w:t>
      </w:r>
      <w:r>
        <w:rPr>
          <w:rFonts w:ascii="Arial" w:cs="Arial" w:eastAsia="Arial" w:hAnsi="Arial"/>
          <w:sz w:val="18"/>
          <w:szCs w:val="18"/>
          <w:color w:val="auto"/>
        </w:rPr>
        <w:t>” means that certain Second Amendment to Amended &amp; Restated Credit Agreement, dated as of February 6, 2018, among the Borrower, Holdings, the other Guarantors party thereto, the Administrative Agent and the financial institutions listed on the signature pages thereto.</w:t>
      </w:r>
    </w:p>
    <w:p>
      <w:pPr>
        <w:spacing w:after="0" w:line="181"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A&amp;R Credit Agreement Second Amendment Effective Date</w:t>
      </w:r>
      <w:r>
        <w:rPr>
          <w:rFonts w:ascii="Arial" w:cs="Arial" w:eastAsia="Arial" w:hAnsi="Arial"/>
          <w:sz w:val="18"/>
          <w:szCs w:val="18"/>
          <w:color w:val="auto"/>
        </w:rPr>
        <w:t>” means the date of satisfaction of the conditions referred to in Section II of the A&amp;R Credit Agreement Second Amendment.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has the meaning given to the term “Parent Acquisition” in the A&amp;R Credit Agreement Second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Closing Date</w:t>
      </w:r>
      <w:r>
        <w:rPr>
          <w:rFonts w:ascii="Arial" w:cs="Arial" w:eastAsia="Arial" w:hAnsi="Arial"/>
          <w:sz w:val="18"/>
          <w:szCs w:val="18"/>
          <w:color w:val="auto"/>
        </w:rPr>
        <w:t>” means the date on which the Acquisition is consummated.</w:t>
      </w:r>
    </w:p>
    <w:p>
      <w:pPr>
        <w:spacing w:after="0" w:line="225"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1" w:lineRule="exact"/>
        <w:rPr>
          <w:sz w:val="20"/>
          <w:szCs w:val="20"/>
          <w:color w:val="auto"/>
        </w:rPr>
      </w:pPr>
    </w:p>
    <w:p>
      <w:pPr>
        <w:ind w:left="660" w:right="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Bridge Financing</w:t>
      </w:r>
      <w:r>
        <w:rPr>
          <w:rFonts w:ascii="Arial" w:cs="Arial" w:eastAsia="Arial" w:hAnsi="Arial"/>
          <w:sz w:val="16"/>
          <w:szCs w:val="16"/>
          <w:color w:val="auto"/>
        </w:rPr>
        <w:t xml:space="preserve">” means Indebtedness of the Borrower or any other Loan Party not exceeding an aggregate principal amount of $1,500,000,000 evidenced by any of, or a combination of, (a) a senior unsecured bridge loan facility, (b) senior unsecured debt securities issued pursuant to a public offering, Rule 144A or other private placement, (c) senior unsecured term loans or (d) any other unsecured Indebtedness incurred or issued by the Borrower or any other Loan Party, in each case the proceeds of which will be used solely to (i) repay, redeem,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and the Existing Senior Notes, (ii) make payments of principal or interest under the Parent CSN Proceeds Loan in accordance with </w:t>
      </w:r>
      <w:r>
        <w:rPr>
          <w:rFonts w:ascii="Arial" w:cs="Arial" w:eastAsia="Arial" w:hAnsi="Arial"/>
          <w:sz w:val="16"/>
          <w:szCs w:val="16"/>
          <w:u w:val="single" w:color="auto"/>
          <w:color w:val="auto"/>
        </w:rPr>
        <w:t>Section 7.06(j)(i)</w:t>
      </w:r>
      <w:r>
        <w:rPr>
          <w:rFonts w:ascii="Arial" w:cs="Arial" w:eastAsia="Arial" w:hAnsi="Arial"/>
          <w:sz w:val="16"/>
          <w:szCs w:val="16"/>
          <w:color w:val="auto"/>
        </w:rPr>
        <w:t xml:space="preserve"> and (iii) make dividend payments or other distributions (including any repayment of intercompany indebtedness) to Holdings to enable Holdings to make dividend payments or other distributions (including any repayment of intercompany indebtedness) to the Parent in accordance with </w:t>
      </w:r>
      <w:r>
        <w:rPr>
          <w:rFonts w:ascii="Arial" w:cs="Arial" w:eastAsia="Arial" w:hAnsi="Arial"/>
          <w:sz w:val="16"/>
          <w:szCs w:val="16"/>
          <w:u w:val="single" w:color="auto"/>
          <w:color w:val="auto"/>
        </w:rPr>
        <w:t>Section 7.06(j)(ii)</w:t>
      </w:r>
      <w:r>
        <w:rPr>
          <w:rFonts w:ascii="Arial" w:cs="Arial" w:eastAsia="Arial" w:hAnsi="Arial"/>
          <w:sz w:val="16"/>
          <w:szCs w:val="16"/>
          <w:color w:val="auto"/>
        </w:rPr>
        <w:t>.</w:t>
      </w:r>
    </w:p>
    <w:p>
      <w:pPr>
        <w:spacing w:after="0" w:line="167" w:lineRule="exact"/>
        <w:rPr>
          <w:sz w:val="20"/>
          <w:szCs w:val="20"/>
          <w:color w:val="auto"/>
        </w:rPr>
      </w:pPr>
    </w:p>
    <w:p>
      <w:pPr>
        <w:ind w:left="660" w:right="200"/>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w:t>
      </w:r>
    </w:p>
    <w:p>
      <w:pPr>
        <w:sectPr>
          <w:pgSz w:w="11900" w:h="16838" w:orient="portrait"/>
          <w:cols w:equalWidth="0" w:num="1">
            <w:col w:w="11420"/>
          </w:cols>
          <w:pgMar w:left="240" w:top="121"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3" w:name="page4"/>
    <w:bookmarkEnd w:id="3"/>
    <w:p>
      <w:pPr>
        <w:ind w:left="660"/>
        <w:spacing w:after="0"/>
        <w:rPr>
          <w:sz w:val="20"/>
          <w:szCs w:val="20"/>
          <w:color w:val="auto"/>
        </w:rPr>
      </w:pPr>
      <w:r>
        <w:rPr>
          <w:rFonts w:ascii="Arial" w:cs="Arial" w:eastAsia="Arial" w:hAnsi="Arial"/>
          <w:sz w:val="18"/>
          <w:szCs w:val="18"/>
          <w:color w:val="auto"/>
        </w:rPr>
        <w:t>described in clauses (a) or (b) of this definition and is subject to consolidated supervision with its parent.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Senior Notes</w:t>
      </w:r>
      <w:r>
        <w:rPr>
          <w:rFonts w:ascii="Arial" w:cs="Arial" w:eastAsia="Arial" w:hAnsi="Arial"/>
          <w:sz w:val="18"/>
          <w:szCs w:val="18"/>
          <w:color w:val="auto"/>
        </w:rPr>
        <w:t>” means (a) the unsecured Senior Notes due 2024 issued by the Borrower in an aggregate principal amount of</w:t>
      </w:r>
    </w:p>
    <w:p>
      <w:pPr>
        <w:spacing w:after="0" w:line="23" w:lineRule="exact"/>
        <w:rPr>
          <w:sz w:val="20"/>
          <w:szCs w:val="20"/>
          <w:color w:val="auto"/>
        </w:rPr>
      </w:pPr>
    </w:p>
    <w:p>
      <w:pPr>
        <w:ind w:left="660" w:right="160"/>
        <w:spacing w:after="0" w:line="261" w:lineRule="auto"/>
        <w:rPr>
          <w:sz w:val="20"/>
          <w:szCs w:val="20"/>
          <w:color w:val="auto"/>
        </w:rPr>
      </w:pPr>
      <w:r>
        <w:rPr>
          <w:rFonts w:ascii="Arial" w:cs="Arial" w:eastAsia="Arial" w:hAnsi="Arial"/>
          <w:sz w:val="18"/>
          <w:szCs w:val="18"/>
          <w:color w:val="auto"/>
        </w:rPr>
        <w:t>US$500,000,000 (the “</w:t>
      </w:r>
      <w:r>
        <w:rPr>
          <w:rFonts w:ascii="Arial" w:cs="Arial" w:eastAsia="Arial" w:hAnsi="Arial"/>
          <w:sz w:val="18"/>
          <w:szCs w:val="18"/>
          <w:u w:val="single" w:color="auto"/>
          <w:color w:val="auto"/>
        </w:rPr>
        <w:t>2024 Senior Notes</w:t>
      </w:r>
      <w:r>
        <w:rPr>
          <w:rFonts w:ascii="Arial" w:cs="Arial" w:eastAsia="Arial" w:hAnsi="Arial"/>
          <w:sz w:val="18"/>
          <w:szCs w:val="18"/>
          <w:color w:val="auto"/>
        </w:rPr>
        <w:t>”) and (b) the unsecured Senior Notes due 2026 issued by the Borrower in an aggregate principal amount of US$350,000,000 (the “</w:t>
      </w:r>
      <w:r>
        <w:rPr>
          <w:rFonts w:ascii="Arial" w:cs="Arial" w:eastAsia="Arial" w:hAnsi="Arial"/>
          <w:sz w:val="18"/>
          <w:szCs w:val="18"/>
          <w:u w:val="single" w:color="auto"/>
          <w:color w:val="auto"/>
        </w:rPr>
        <w:t>2026 Senior Notes</w:t>
      </w:r>
      <w:r>
        <w:rPr>
          <w:rFonts w:ascii="Arial" w:cs="Arial" w:eastAsia="Arial" w:hAnsi="Arial"/>
          <w:sz w:val="18"/>
          <w:szCs w:val="18"/>
          <w:color w:val="auto"/>
        </w:rPr>
        <w:t>”).</w:t>
      </w:r>
    </w:p>
    <w:p>
      <w:pPr>
        <w:spacing w:after="0" w:line="184"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w:t>
      </w:r>
      <w:r>
        <w:rPr>
          <w:rFonts w:ascii="Arial" w:cs="Arial" w:eastAsia="Arial" w:hAnsi="Arial"/>
          <w:sz w:val="18"/>
          <w:szCs w:val="18"/>
          <w:color w:val="auto"/>
        </w:rPr>
        <w:t>r” means any of (i) Global Infrastructure Management, LLC, (ii) one or more Sponsor Affiliates and (iii) any funds or partnerships or co-investment vehicles managed or advised or controlled by any of the foregoing.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Affiliates</w:t>
      </w:r>
      <w:r>
        <w:rPr>
          <w:rFonts w:ascii="Arial" w:cs="Arial" w:eastAsia="Arial" w:hAnsi="Arial"/>
          <w:sz w:val="18"/>
          <w:szCs w:val="18"/>
          <w:color w:val="auto"/>
        </w:rPr>
        <w:t>” means each Affiliate of the Sponsor that is not a portfolio company.</w:t>
      </w:r>
    </w:p>
    <w:p>
      <w:pPr>
        <w:spacing w:after="0" w:line="225"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1" w:lineRule="exact"/>
        <w:rPr>
          <w:sz w:val="20"/>
          <w:szCs w:val="20"/>
          <w:color w:val="auto"/>
        </w:rPr>
      </w:pPr>
    </w:p>
    <w:p>
      <w:pPr>
        <w:ind w:right="340" w:firstLine="656"/>
        <w:spacing w:after="0" w:line="264" w:lineRule="auto"/>
        <w:tabs>
          <w:tab w:leader="none" w:pos="103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definition of “Change of Control” in Section 1.01 of the Credit Agreement is hereby amended by (i) revising clause (a) to add the following parenthetical after “35%”: “(as measured by voting power rather than number of shares or other equity securities)”, (ii) amending and restating clause (b) thereof in its entirety with the following: “(b) [reserved]” and (iii) adding the following to the end thereof:</w:t>
      </w:r>
    </w:p>
    <w:p>
      <w:pPr>
        <w:spacing w:after="0" w:line="181" w:lineRule="exact"/>
        <w:rPr>
          <w:sz w:val="20"/>
          <w:szCs w:val="20"/>
          <w:color w:val="auto"/>
        </w:rPr>
      </w:pPr>
    </w:p>
    <w:p>
      <w:pPr>
        <w:jc w:val="both"/>
        <w:ind w:left="660" w:right="80"/>
        <w:spacing w:after="0" w:line="259" w:lineRule="auto"/>
        <w:rPr>
          <w:sz w:val="20"/>
          <w:szCs w:val="20"/>
          <w:color w:val="auto"/>
        </w:rPr>
      </w:pPr>
      <w:r>
        <w:rPr>
          <w:rFonts w:ascii="Arial" w:cs="Arial" w:eastAsia="Arial" w:hAnsi="Arial"/>
          <w:sz w:val="18"/>
          <w:szCs w:val="18"/>
          <w:color w:val="auto"/>
        </w:rPr>
        <w:t>“Notwithstanding anything herein to the contrary or any provision of Section 13d-3 of the Exchange Act, a Person or group shall not be deemed to beneficially own Equity Interests subject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87" w:lineRule="exact"/>
        <w:rPr>
          <w:sz w:val="20"/>
          <w:szCs w:val="20"/>
          <w:color w:val="auto"/>
        </w:rPr>
      </w:pPr>
    </w:p>
    <w:p>
      <w:pPr>
        <w:ind w:left="5660" w:right="60" w:hanging="5004"/>
        <w:spacing w:after="0" w:line="528" w:lineRule="auto"/>
        <w:tabs>
          <w:tab w:leader="none" w:pos="1047"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definition of “Continuing Directors” in Section 1.01 of the Credit Agreement is hereby amended by deleting such definition in its entirety. 3</w:t>
      </w:r>
    </w:p>
    <w:p>
      <w:pPr>
        <w:spacing w:after="0" w:line="200" w:lineRule="exact"/>
        <w:rPr>
          <w:rFonts w:ascii="Arial" w:cs="Arial" w:eastAsia="Arial" w:hAnsi="Arial"/>
          <w:sz w:val="18"/>
          <w:szCs w:val="18"/>
          <w:b w:val="1"/>
          <w:bCs w:val="1"/>
          <w:color w:val="auto"/>
        </w:rPr>
      </w:pPr>
    </w:p>
    <w:p>
      <w:pPr>
        <w:spacing w:after="0" w:line="253" w:lineRule="exact"/>
        <w:rPr>
          <w:rFonts w:ascii="Arial" w:cs="Arial" w:eastAsia="Arial" w:hAnsi="Arial"/>
          <w:sz w:val="18"/>
          <w:szCs w:val="18"/>
          <w:b w:val="1"/>
          <w:bCs w:val="1"/>
          <w:color w:val="auto"/>
        </w:rPr>
      </w:pPr>
    </w:p>
    <w:p>
      <w:pPr>
        <w:ind w:left="1060" w:hanging="404"/>
        <w:spacing w:after="0"/>
        <w:tabs>
          <w:tab w:leader="none" w:pos="1060" w:val="left"/>
        </w:tabs>
        <w:numPr>
          <w:ilvl w:val="1"/>
          <w:numId w:val="5"/>
        </w:numPr>
        <w:rPr>
          <w:rFonts w:ascii="Arial" w:cs="Arial" w:eastAsia="Arial" w:hAnsi="Arial"/>
          <w:sz w:val="17"/>
          <w:szCs w:val="17"/>
          <w:b w:val="1"/>
          <w:bCs w:val="1"/>
          <w:color w:val="auto"/>
        </w:rPr>
      </w:pPr>
      <w:r>
        <w:rPr>
          <w:rFonts w:ascii="Arial" w:cs="Arial" w:eastAsia="Arial" w:hAnsi="Arial"/>
          <w:sz w:val="17"/>
          <w:szCs w:val="17"/>
          <w:color w:val="auto"/>
        </w:rPr>
        <w:t>The definition of “Defaulting Lender” in Section 1.01 of the Credit Agreement is hereby amended by inserting the following as clause (e)</w:t>
      </w:r>
    </w:p>
    <w:p>
      <w:pPr>
        <w:spacing w:after="0" w:line="34" w:lineRule="exact"/>
        <w:rPr>
          <w:rFonts w:ascii="Arial" w:cs="Arial" w:eastAsia="Arial" w:hAnsi="Arial"/>
          <w:sz w:val="17"/>
          <w:szCs w:val="17"/>
          <w:b w:val="1"/>
          <w:bCs w:val="1"/>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thereto after “proceeding or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-655955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(iii) the subject of a Bail-In Action”</w:t>
      </w:r>
    </w:p>
    <w:p>
      <w:pPr>
        <w:spacing w:after="0" w:line="225" w:lineRule="exact"/>
        <w:rPr>
          <w:sz w:val="20"/>
          <w:szCs w:val="20"/>
          <w:color w:val="auto"/>
        </w:rPr>
      </w:pPr>
    </w:p>
    <w:p>
      <w:pPr>
        <w:ind w:left="1040" w:hanging="384"/>
        <w:spacing w:after="0"/>
        <w:tabs>
          <w:tab w:leader="none" w:pos="104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definition of “Equity Investor” in Section 1.01 of the Credit Agreement is hereby amended and restated in its entirety as follows:</w:t>
      </w:r>
    </w:p>
    <w:p>
      <w:pPr>
        <w:spacing w:after="0" w:line="23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Investor</w:t>
      </w:r>
      <w:r>
        <w:rPr>
          <w:rFonts w:ascii="Arial" w:cs="Arial" w:eastAsia="Arial" w:hAnsi="Arial"/>
          <w:sz w:val="18"/>
          <w:szCs w:val="18"/>
          <w:color w:val="auto"/>
        </w:rPr>
        <w:t>” means (a) prior to the Acquisition Closing Date, NRG Energy, Inc., a Delaware corporation, and (b) on or after the Acquisition Closing Date, the Sponsors.”</w:t>
      </w:r>
    </w:p>
    <w:p>
      <w:pPr>
        <w:spacing w:after="0" w:line="170" w:lineRule="exact"/>
        <w:rPr>
          <w:sz w:val="20"/>
          <w:szCs w:val="20"/>
          <w:color w:val="auto"/>
        </w:rPr>
      </w:pPr>
    </w:p>
    <w:p>
      <w:pPr>
        <w:ind w:right="140" w:firstLine="656"/>
        <w:spacing w:after="0" w:line="277" w:lineRule="auto"/>
        <w:tabs>
          <w:tab w:leader="none" w:pos="101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definition of “Equity Investor Credit Agreement” in Section 1.01 of the Credit Agreement is hereby amended by deleting the reference to “Equity Investor” therein and replacing such reference with “NRG Energy, Inc., a Delaware corporation”.</w:t>
      </w:r>
    </w:p>
    <w:p>
      <w:pPr>
        <w:spacing w:after="0" w:line="166" w:lineRule="exact"/>
        <w:rPr>
          <w:sz w:val="20"/>
          <w:szCs w:val="20"/>
          <w:color w:val="auto"/>
        </w:rPr>
      </w:pPr>
    </w:p>
    <w:p>
      <w:pPr>
        <w:ind w:left="660" w:right="4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 xml:space="preserve">Amendments to Article II: The Commitments and Credit Extensions. </w:t>
      </w:r>
      <w:r>
        <w:rPr>
          <w:rFonts w:ascii="Arial" w:cs="Arial" w:eastAsia="Arial" w:hAnsi="Arial"/>
          <w:sz w:val="18"/>
          <w:szCs w:val="18"/>
          <w:color w:val="auto"/>
        </w:rPr>
        <w:t>The last sentence of Section 2.14(a)(iv) of the Credit Agreement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in its entirety as follows:</w:t>
      </w:r>
    </w:p>
    <w:p>
      <w:pPr>
        <w:spacing w:after="0" w:line="166"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11.21</w:t>
      </w:r>
      <w:r>
        <w:rPr>
          <w:rFonts w:ascii="Arial" w:cs="Arial" w:eastAsia="Arial" w:hAnsi="Arial"/>
          <w:sz w:val="18"/>
          <w:szCs w:val="18"/>
          <w:color w:val="auto"/>
        </w:rPr>
        <w:t>, no reallocation hereunder shall constitute a waiver or release of any claim of any party hereunder against a Defaulting Lender arising from such Revolving Credit Lender having become a Defaulting Lender, including any claim of a Non-Defaulting Lender as a result of such Non-Defaulting Lender’s increased exposure following such reallocation.”</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Amendments to Article VII: Negative Covenants.</w:t>
      </w:r>
    </w:p>
    <w:p>
      <w:pPr>
        <w:spacing w:after="0" w:line="229" w:lineRule="exact"/>
        <w:rPr>
          <w:sz w:val="20"/>
          <w:szCs w:val="20"/>
          <w:color w:val="auto"/>
        </w:rPr>
      </w:pPr>
    </w:p>
    <w:p>
      <w:pPr>
        <w:ind w:left="1060" w:hanging="404"/>
        <w:spacing w:after="0"/>
        <w:tabs>
          <w:tab w:leader="none" w:pos="10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Section 7.02(d) is hereby amended and restated in its entirety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“Indebtedness (i) outstanding on the date hereof and listed on </w:t>
      </w:r>
      <w:r>
        <w:rPr>
          <w:rFonts w:ascii="Arial" w:cs="Arial" w:eastAsia="Arial" w:hAnsi="Arial"/>
          <w:sz w:val="16"/>
          <w:szCs w:val="16"/>
          <w:u w:val="single" w:color="auto"/>
          <w:color w:val="auto"/>
        </w:rPr>
        <w:t>Schedule 7.02(d)</w:t>
      </w:r>
      <w:r>
        <w:rPr>
          <w:rFonts w:ascii="Arial" w:cs="Arial" w:eastAsia="Arial" w:hAnsi="Arial"/>
          <w:sz w:val="16"/>
          <w:szCs w:val="16"/>
          <w:color w:val="auto"/>
        </w:rPr>
        <w:t xml:space="preserve"> and any Permitted Refinancing Indebtedness in respect thereof and</w:t>
      </w:r>
    </w:p>
    <w:p>
      <w:pPr>
        <w:spacing w:after="0" w:line="46" w:lineRule="exact"/>
        <w:rPr>
          <w:sz w:val="20"/>
          <w:szCs w:val="20"/>
          <w:color w:val="auto"/>
        </w:rPr>
      </w:pPr>
    </w:p>
    <w:p>
      <w:pPr>
        <w:ind w:left="660" w:right="140" w:hanging="4"/>
        <w:spacing w:after="0" w:line="261" w:lineRule="auto"/>
        <w:tabs>
          <w:tab w:leader="none" w:pos="9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constituting the Bridge Financing and any Permitted Refinancing Indebtedness (but without giving effect to clause (b) of the definition thereof) in respect thereof;”</w:t>
      </w:r>
    </w:p>
    <w:p>
      <w:pPr>
        <w:spacing w:after="0" w:line="184" w:lineRule="exact"/>
        <w:rPr>
          <w:sz w:val="20"/>
          <w:szCs w:val="20"/>
          <w:color w:val="auto"/>
        </w:rPr>
      </w:pPr>
    </w:p>
    <w:p>
      <w:pPr>
        <w:ind w:left="1040" w:hanging="384"/>
        <w:spacing w:after="0"/>
        <w:tabs>
          <w:tab w:leader="none" w:pos="10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Section 7.06(j) is hereby amended and restated in its entirety as follows:</w:t>
      </w:r>
    </w:p>
    <w:p>
      <w:pPr>
        <w:spacing w:after="0" w:line="225"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color w:val="auto"/>
        </w:rPr>
        <w:t>“(j)(i) the Borrower shall be permitted to make payments of principal and interest under the Parent CSN Proceeds Loan so long as the proceeds thereof are directly used to make corresponding payments of principal, interest and other amounts due and payable under the Convertible Senior Notes or (ii) the Borrower may declare and pay dividends to Holdings so as to enable Holdings to (a) satisfy demands made against Holdings under the unsecured guarantee of Holdings of the Indebtedness represented by the Convertible Senior Notes or (b) make dividend payments or other distributions (including any repayment of intercompany indebtedness) to the Parent in order to redeem, repurchase or otherwise acquire or exchange</w:t>
      </w:r>
    </w:p>
    <w:p>
      <w:pPr>
        <w:sectPr>
          <w:pgSz w:w="11900" w:h="16838" w:orient="portrait"/>
          <w:cols w:equalWidth="0" w:num="1">
            <w:col w:w="11380"/>
          </w:cols>
          <w:pgMar w:left="240" w:top="584" w:right="279" w:bottom="0" w:gutter="0" w:footer="0" w:header="0"/>
        </w:sectPr>
      </w:pPr>
    </w:p>
    <w:bookmarkStart w:id="4" w:name="page5"/>
    <w:bookmarkEnd w:id="4"/>
    <w:p>
      <w:pPr>
        <w:ind w:left="660" w:right="720"/>
        <w:spacing w:after="0" w:line="277" w:lineRule="auto"/>
        <w:rPr>
          <w:sz w:val="20"/>
          <w:szCs w:val="20"/>
          <w:color w:val="auto"/>
        </w:rPr>
      </w:pPr>
      <w:r>
        <w:rPr>
          <w:rFonts w:ascii="Arial" w:cs="Arial" w:eastAsia="Arial" w:hAnsi="Arial"/>
          <w:sz w:val="18"/>
          <w:szCs w:val="18"/>
          <w:color w:val="auto"/>
        </w:rPr>
        <w:t>for value (including in one or more tender offers, “change of control” offers or “fundamental change” offers or similarly termed offers) the Convertible Senior Notes (including any cash payment to be made upon conversion of</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312" w:lineRule="auto"/>
        <w:rPr>
          <w:sz w:val="20"/>
          <w:szCs w:val="20"/>
          <w:color w:val="auto"/>
        </w:rPr>
      </w:pPr>
      <w:r>
        <w:rPr>
          <w:rFonts w:ascii="Arial" w:cs="Arial" w:eastAsia="Arial" w:hAnsi="Arial"/>
          <w:sz w:val="16"/>
          <w:szCs w:val="16"/>
          <w:color w:val="auto"/>
        </w:rPr>
        <w:t>such Convertible Senior Notes) in connection with the Acquisition or (c) on behalf of the Parent, repurchase or otherwise acquire or exchange for value (including in one or more tender offers, “change of control” offers or “fundamental change” offers or similarly termed offers) the Convertible Senior Notes (including any cash payment to be made upon conversion of such Convertible Senior Notes) in connection with the Acquisition.”</w:t>
      </w:r>
    </w:p>
    <w:p>
      <w:pPr>
        <w:spacing w:after="0" w:line="147" w:lineRule="exact"/>
        <w:rPr>
          <w:sz w:val="20"/>
          <w:szCs w:val="20"/>
          <w:color w:val="auto"/>
        </w:rPr>
      </w:pPr>
    </w:p>
    <w:p>
      <w:pPr>
        <w:ind w:right="200" w:firstLine="656"/>
        <w:spacing w:after="0" w:line="264" w:lineRule="auto"/>
        <w:tabs>
          <w:tab w:leader="none" w:pos="1048"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Section 7.09(b) is hereby amended by adding the following immediately after “</w:t>
      </w:r>
      <w:r>
        <w:rPr>
          <w:rFonts w:ascii="Arial" w:cs="Arial" w:eastAsia="Arial" w:hAnsi="Arial"/>
          <w:sz w:val="18"/>
          <w:szCs w:val="18"/>
          <w:u w:val="single" w:color="auto"/>
          <w:color w:val="auto"/>
        </w:rPr>
        <w:t>Section 7.02(p)</w:t>
      </w:r>
      <w:r>
        <w:rPr>
          <w:rFonts w:ascii="Arial" w:cs="Arial" w:eastAsia="Arial" w:hAnsi="Arial"/>
          <w:sz w:val="18"/>
          <w:szCs w:val="18"/>
          <w:color w:val="auto"/>
        </w:rPr>
        <w:t xml:space="preserve">” therein: “, </w:t>
      </w:r>
      <w:r>
        <w:rPr>
          <w:rFonts w:ascii="Arial" w:cs="Arial" w:eastAsia="Arial" w:hAnsi="Arial"/>
          <w:sz w:val="18"/>
          <w:szCs w:val="18"/>
          <w:u w:val="single" w:color="auto"/>
          <w:color w:val="auto"/>
        </w:rPr>
        <w:t>Section 7.02(q)</w:t>
      </w:r>
      <w:r>
        <w:rPr>
          <w:rFonts w:ascii="Arial" w:cs="Arial" w:eastAsia="Arial" w:hAnsi="Arial"/>
          <w:sz w:val="18"/>
          <w:szCs w:val="18"/>
          <w:color w:val="auto"/>
        </w:rPr>
        <w:t xml:space="preserve"> or the Bridge Financing (provided that, in the case of the Bridge Financing, such Contractual Obligation shall be on customary terms for equal and ratable springing lien provisions in similar debt instruments in light of then prevailing market conditions)”.</w:t>
      </w:r>
    </w:p>
    <w:p>
      <w:pPr>
        <w:spacing w:after="0" w:line="181" w:lineRule="exact"/>
        <w:rPr>
          <w:rFonts w:ascii="Arial" w:cs="Arial" w:eastAsia="Arial" w:hAnsi="Arial"/>
          <w:sz w:val="18"/>
          <w:szCs w:val="18"/>
          <w:b w:val="1"/>
          <w:bCs w:val="1"/>
          <w:color w:val="auto"/>
        </w:rPr>
      </w:pPr>
    </w:p>
    <w:p>
      <w:pPr>
        <w:ind w:left="1060" w:hanging="404"/>
        <w:spacing w:after="0"/>
        <w:tabs>
          <w:tab w:leader="none" w:pos="10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Section 7.15 is hereby amended by replacing the “and” at the end of clause (c) with a comma and adding the following at the end of such</w:t>
      </w:r>
    </w:p>
    <w:p>
      <w:pPr>
        <w:spacing w:after="0" w:line="34" w:lineRule="exact"/>
        <w:rPr>
          <w:rFonts w:ascii="Arial" w:cs="Arial" w:eastAsia="Arial" w:hAnsi="Arial"/>
          <w:sz w:val="17"/>
          <w:szCs w:val="17"/>
          <w:b w:val="1"/>
          <w:bCs w:val="1"/>
          <w:color w:val="auto"/>
        </w:rPr>
      </w:pPr>
    </w:p>
    <w:p>
      <w:pPr>
        <w:ind w:right="20"/>
        <w:spacing w:after="0" w:line="261" w:lineRule="auto"/>
        <w:rPr>
          <w:rFonts w:ascii="Arial" w:cs="Arial" w:eastAsia="Arial" w:hAnsi="Arial"/>
          <w:sz w:val="17"/>
          <w:szCs w:val="17"/>
          <w:b w:val="1"/>
          <w:bCs w:val="1"/>
          <w:color w:val="auto"/>
        </w:rPr>
      </w:pPr>
      <w:r>
        <w:rPr>
          <w:rFonts w:ascii="Arial" w:cs="Arial" w:eastAsia="Arial" w:hAnsi="Arial"/>
          <w:sz w:val="18"/>
          <w:szCs w:val="18"/>
          <w:color w:val="auto"/>
        </w:rPr>
        <w:t>section: “and (e) prepayments and repayments of the Convertible Senior Notes or the Existing Senior Notes with the proceeds of the Bridge Financing or any Permitted Refinancing Indebtedness in respect of the Bridge Financing”.</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Amendments to Article XI: Miscellaneous.</w:t>
      </w:r>
    </w:p>
    <w:p>
      <w:pPr>
        <w:spacing w:after="0" w:line="229" w:lineRule="exact"/>
        <w:rPr>
          <w:sz w:val="20"/>
          <w:szCs w:val="20"/>
          <w:color w:val="auto"/>
        </w:rPr>
      </w:pPr>
    </w:p>
    <w:p>
      <w:pPr>
        <w:ind w:left="1060" w:hanging="404"/>
        <w:spacing w:after="0"/>
        <w:tabs>
          <w:tab w:leader="none" w:pos="10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Article XI is hereby amended by adding a new Section 11.21 thereto as follows:</w:t>
      </w:r>
    </w:p>
    <w:p>
      <w:pPr>
        <w:spacing w:after="0" w:line="225"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 xml:space="preserve">“11.21 </w:t>
      </w:r>
      <w:r>
        <w:rPr>
          <w:rFonts w:ascii="Arial" w:cs="Arial" w:eastAsia="Arial" w:hAnsi="Arial"/>
          <w:sz w:val="16"/>
          <w:szCs w:val="16"/>
          <w:u w:val="single" w:color="auto"/>
          <w:color w:val="auto"/>
        </w:rPr>
        <w:t>Acknowledgement and Consent to Bail-In of EEA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54" w:lineRule="exact"/>
        <w:rPr>
          <w:sz w:val="20"/>
          <w:szCs w:val="20"/>
          <w:color w:val="auto"/>
        </w:rPr>
      </w:pPr>
    </w:p>
    <w:p>
      <w:pPr>
        <w:ind w:left="660" w:right="580" w:firstLine="645"/>
        <w:spacing w:after="0" w:line="277" w:lineRule="auto"/>
        <w:tabs>
          <w:tab w:leader="none" w:pos="20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ind w:left="980" w:right="180" w:firstLine="973"/>
        <w:spacing w:after="0" w:line="259" w:lineRule="auto"/>
        <w:tabs>
          <w:tab w:leader="none" w:pos="26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right="180" w:firstLine="973"/>
        <w:spacing w:after="0" w:line="277" w:lineRule="auto"/>
        <w:tabs>
          <w:tab w:leader="none" w:pos="26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II.</w:t>
        <w:tab/>
        <w:t>CONDITIONS TO PARENT ACQUISITION AMENDMENT</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This Amendment (other than the Waiver) shall become effective as of the first date on which each of the following conditions in this Section II have been satisfied (the date of satisfaction of such conditions being referred to herein as the </w:t>
      </w:r>
      <w:r>
        <w:rPr>
          <w:rFonts w:ascii="Arial" w:cs="Arial" w:eastAsia="Arial" w:hAnsi="Arial"/>
          <w:sz w:val="17"/>
          <w:szCs w:val="17"/>
          <w:b w:val="1"/>
          <w:bCs w:val="1"/>
          <w:color w:val="auto"/>
        </w:rPr>
        <w:t>“Second Amendment Effective Date”</w:t>
      </w:r>
      <w:r>
        <w:rPr>
          <w:rFonts w:ascii="Arial" w:cs="Arial" w:eastAsia="Arial" w:hAnsi="Arial"/>
          <w:sz w:val="17"/>
          <w:szCs w:val="17"/>
          <w:color w:val="auto"/>
        </w:rPr>
        <w:t>); provided that the Waiver shall become effective as of the first date on which the conditions set forth in Section II(A) and II(C) have been satisfied:</w:t>
      </w:r>
    </w:p>
    <w:p>
      <w:pPr>
        <w:spacing w:after="0" w:line="162" w:lineRule="exact"/>
        <w:rPr>
          <w:sz w:val="20"/>
          <w:szCs w:val="20"/>
          <w:color w:val="auto"/>
        </w:rPr>
      </w:pPr>
    </w:p>
    <w:p>
      <w:pPr>
        <w:ind w:right="60" w:firstLine="656"/>
        <w:spacing w:after="0" w:line="266" w:lineRule="auto"/>
        <w:tabs>
          <w:tab w:leader="none" w:pos="104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Execution</w:t>
      </w:r>
      <w:r>
        <w:rPr>
          <w:rFonts w:ascii="Arial" w:cs="Arial" w:eastAsia="Arial" w:hAnsi="Arial"/>
          <w:sz w:val="18"/>
          <w:szCs w:val="18"/>
          <w:color w:val="auto"/>
        </w:rPr>
        <w:t>. The Administrative Agent shall have received (i) a counterpart signature page of this Amendment duly executed by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Parties and (ii) a counterpart signature page of this Amendment duly executed by each of the Required Lenders. Each Lender that submits an executed counterpart hereto acknowledges and agrees that such submission is irrevocable.</w:t>
      </w:r>
    </w:p>
    <w:p>
      <w:pPr>
        <w:spacing w:after="0" w:line="176" w:lineRule="exact"/>
        <w:rPr>
          <w:rFonts w:ascii="Arial" w:cs="Arial" w:eastAsia="Arial" w:hAnsi="Arial"/>
          <w:sz w:val="18"/>
          <w:szCs w:val="18"/>
          <w:b w:val="1"/>
          <w:bCs w:val="1"/>
          <w:color w:val="auto"/>
        </w:rPr>
      </w:pPr>
    </w:p>
    <w:p>
      <w:pPr>
        <w:ind w:left="1040" w:hanging="384"/>
        <w:spacing w:after="0"/>
        <w:tabs>
          <w:tab w:leader="none" w:pos="10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Parent Acquisition</w:t>
      </w:r>
      <w:r>
        <w:rPr>
          <w:rFonts w:ascii="Arial" w:cs="Arial" w:eastAsia="Arial" w:hAnsi="Arial"/>
          <w:sz w:val="18"/>
          <w:szCs w:val="18"/>
          <w:color w:val="auto"/>
        </w:rPr>
        <w:t>. The Parent Acquisition shall have been consummated.</w:t>
      </w:r>
    </w:p>
    <w:p>
      <w:pPr>
        <w:spacing w:after="0" w:line="225" w:lineRule="exact"/>
        <w:rPr>
          <w:rFonts w:ascii="Arial" w:cs="Arial" w:eastAsia="Arial" w:hAnsi="Arial"/>
          <w:sz w:val="18"/>
          <w:szCs w:val="18"/>
          <w:b w:val="1"/>
          <w:bCs w:val="1"/>
          <w:color w:val="auto"/>
        </w:rPr>
      </w:pPr>
    </w:p>
    <w:p>
      <w:pPr>
        <w:ind w:firstLine="656"/>
        <w:spacing w:after="0" w:line="289" w:lineRule="auto"/>
        <w:tabs>
          <w:tab w:leader="none" w:pos="1048"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The Administrative Agent shall have received all reasonable and documented out-of-pocket expenses incurred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Amendment on or prior to the Second Amendment Effective Date, including, to the extent invoiced, reimbursement or other payment of all out-of-pocket expenses in each case required to be reimbursed or paid by the Borrower under the Credit Agreement and that are due and payable.</w:t>
      </w:r>
    </w:p>
    <w:p>
      <w:pPr>
        <w:spacing w:after="0" w:line="15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III.</w:t>
      </w:r>
      <w:r>
        <w:rPr>
          <w:sz w:val="20"/>
          <w:szCs w:val="20"/>
          <w:color w:val="auto"/>
        </w:rPr>
        <w:tab/>
      </w:r>
      <w:r>
        <w:rPr>
          <w:rFonts w:ascii="Arial" w:cs="Arial" w:eastAsia="Arial" w:hAnsi="Arial"/>
          <w:sz w:val="17"/>
          <w:szCs w:val="17"/>
          <w:b w:val="1"/>
          <w:bCs w:val="1"/>
          <w:color w:val="auto"/>
        </w:rPr>
        <w:t>REPRESENTATIONS AND WARRANTIES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Each Loan Party which is a party hereto represents and warrants to each Lender that the following statements are true and correct in all material respects as of the date hereof:</w:t>
      </w:r>
    </w:p>
    <w:p>
      <w:pPr>
        <w:spacing w:after="0" w:line="166" w:lineRule="exact"/>
        <w:rPr>
          <w:sz w:val="20"/>
          <w:szCs w:val="20"/>
          <w:color w:val="auto"/>
        </w:rPr>
      </w:pPr>
    </w:p>
    <w:p>
      <w:pPr>
        <w:ind w:right="120" w:firstLine="656"/>
        <w:spacing w:after="0" w:line="289" w:lineRule="auto"/>
        <w:tabs>
          <w:tab w:leader="none" w:pos="1048"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Power and Authority. </w:t>
      </w:r>
      <w:r>
        <w:rPr>
          <w:rFonts w:ascii="Arial" w:cs="Arial" w:eastAsia="Arial" w:hAnsi="Arial"/>
          <w:sz w:val="17"/>
          <w:szCs w:val="17"/>
          <w:color w:val="auto"/>
        </w:rPr>
        <w:t>Each Loan Party has all requisite power and authority and all requisite governmental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consents and approvals to execute, deliver and perform its obligations under this Amendment and to perform its obligations under the Credit Agreement as amended by this Amendment (the “</w:t>
      </w:r>
      <w:r>
        <w:rPr>
          <w:rFonts w:ascii="Arial" w:cs="Arial" w:eastAsia="Arial" w:hAnsi="Arial"/>
          <w:sz w:val="17"/>
          <w:szCs w:val="17"/>
          <w:u w:val="single" w:color="auto"/>
          <w:color w:val="auto"/>
        </w:rPr>
        <w:t>Amended Agreement</w:t>
      </w:r>
      <w:r>
        <w:rPr>
          <w:rFonts w:ascii="Arial" w:cs="Arial" w:eastAsia="Arial" w:hAnsi="Arial"/>
          <w:sz w:val="17"/>
          <w:szCs w:val="17"/>
          <w:color w:val="auto"/>
        </w:rPr>
        <w:t>”) and consummate the transactions contemplated by this Amendment.</w:t>
      </w:r>
    </w:p>
    <w:p>
      <w:pPr>
        <w:spacing w:after="0" w:line="158" w:lineRule="exact"/>
        <w:rPr>
          <w:rFonts w:ascii="Arial" w:cs="Arial" w:eastAsia="Arial" w:hAnsi="Arial"/>
          <w:sz w:val="17"/>
          <w:szCs w:val="17"/>
          <w:b w:val="1"/>
          <w:bCs w:val="1"/>
          <w:color w:val="auto"/>
        </w:rPr>
      </w:pPr>
    </w:p>
    <w:p>
      <w:pPr>
        <w:ind w:right="140" w:firstLine="656"/>
        <w:spacing w:after="0" w:line="282" w:lineRule="auto"/>
        <w:tabs>
          <w:tab w:leader="none" w:pos="103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Authorization of Amendment. </w:t>
      </w:r>
      <w:r>
        <w:rPr>
          <w:rFonts w:ascii="Arial" w:cs="Arial" w:eastAsia="Arial" w:hAnsi="Arial"/>
          <w:sz w:val="18"/>
          <w:szCs w:val="18"/>
          <w:color w:val="auto"/>
        </w:rPr>
        <w:t>The execution, delivery and performance by each Loan Party of this Amendment have been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by all necessary corporate or other organizational action.</w:t>
      </w:r>
    </w:p>
    <w:p>
      <w:pPr>
        <w:sectPr>
          <w:pgSz w:w="11900" w:h="16838" w:orient="portrait"/>
          <w:cols w:equalWidth="0" w:num="1">
            <w:col w:w="11360"/>
          </w:cols>
          <w:pgMar w:left="240" w:top="125" w:right="299" w:bottom="0" w:gutter="0" w:footer="0" w:header="0"/>
        </w:sectPr>
      </w:pPr>
    </w:p>
    <w:bookmarkStart w:id="5" w:name="page6"/>
    <w:bookmarkEnd w:id="5"/>
    <w:p>
      <w:pPr>
        <w:spacing w:after="0" w:line="95" w:lineRule="exact"/>
        <w:rPr>
          <w:sz w:val="20"/>
          <w:szCs w:val="20"/>
          <w:color w:val="auto"/>
        </w:rPr>
      </w:pPr>
    </w:p>
    <w:p>
      <w:pPr>
        <w:jc w:val="both"/>
        <w:ind w:right="80" w:firstLine="656"/>
        <w:spacing w:after="0" w:line="258" w:lineRule="auto"/>
        <w:tabs>
          <w:tab w:leader="none" w:pos="104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Conflict. </w:t>
      </w:r>
      <w:r>
        <w:rPr>
          <w:rFonts w:ascii="Arial" w:cs="Arial" w:eastAsia="Arial" w:hAnsi="Arial"/>
          <w:sz w:val="18"/>
          <w:szCs w:val="18"/>
          <w:color w:val="auto"/>
        </w:rPr>
        <w:t>The execution, delivery and performance by each Loan Party of this Amendment do not and will not (a) contravene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such Person’s Organization Documents; (b) conflict with or result in any breach or contravention of, or require any payment to be made under, (i) any material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(c) result in the creation or imposition of any Lien upon or with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respect to any property or assets now owned or hereafter acquired by such Person or any of its Subsidiaries (other than Liens created under the Collateral Documents); or (d) violate any material Law.</w:t>
      </w:r>
    </w:p>
    <w:p>
      <w:pPr>
        <w:spacing w:after="0" w:line="166" w:lineRule="exact"/>
        <w:rPr>
          <w:sz w:val="20"/>
          <w:szCs w:val="20"/>
          <w:color w:val="auto"/>
        </w:rPr>
      </w:pPr>
    </w:p>
    <w:p>
      <w:pPr>
        <w:ind w:right="60" w:firstLine="656"/>
        <w:spacing w:after="0" w:line="298" w:lineRule="auto"/>
        <w:tabs>
          <w:tab w:leader="none" w:pos="1048"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Binding Effect. </w:t>
      </w:r>
      <w:r>
        <w:rPr>
          <w:rFonts w:ascii="Arial" w:cs="Arial" w:eastAsia="Arial" w:hAnsi="Arial"/>
          <w:sz w:val="16"/>
          <w:szCs w:val="16"/>
          <w:color w:val="auto"/>
        </w:rPr>
        <w:t>This Amendment has been duly executed and delivered by each Loan Party that is party hereto. Each of this Amendment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Amended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154" w:lineRule="exact"/>
        <w:rPr>
          <w:rFonts w:ascii="Arial" w:cs="Arial" w:eastAsia="Arial" w:hAnsi="Arial"/>
          <w:sz w:val="16"/>
          <w:szCs w:val="16"/>
          <w:b w:val="1"/>
          <w:bCs w:val="1"/>
          <w:color w:val="auto"/>
        </w:rPr>
      </w:pPr>
    </w:p>
    <w:p>
      <w:pPr>
        <w:ind w:right="140" w:firstLine="656"/>
        <w:spacing w:after="0" w:line="258" w:lineRule="auto"/>
        <w:tabs>
          <w:tab w:leader="none" w:pos="103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 Etc</w:t>
      </w:r>
      <w:r>
        <w:rPr>
          <w:rFonts w:ascii="Arial" w:cs="Arial" w:eastAsia="Arial" w:hAnsi="Arial"/>
          <w:sz w:val="18"/>
          <w:szCs w:val="18"/>
          <w:color w:val="auto"/>
        </w:rPr>
        <w:t>. (x) All representations and warranties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Credit Agreement are true and</w:t>
      </w:r>
      <w:r>
        <w:rPr>
          <w:rFonts w:ascii="Arial" w:cs="Arial" w:eastAsia="Arial" w:hAnsi="Arial"/>
          <w:sz w:val="18"/>
          <w:szCs w:val="18"/>
          <w:b w:val="1"/>
          <w:bCs w:val="1"/>
          <w:color w:val="auto"/>
        </w:rPr>
        <w:t xml:space="preserve"> </w:t>
      </w:r>
      <w:r>
        <w:rPr>
          <w:rFonts w:ascii="Arial" w:cs="Arial" w:eastAsia="Arial" w:hAnsi="Arial"/>
          <w:sz w:val="18"/>
          <w:szCs w:val="18"/>
          <w:color w:val="auto"/>
        </w:rPr>
        <w:t>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(y) no Default has occurred and is continuing.</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IV.</w:t>
        <w:tab/>
        <w:t>ACKNOWLEDGMENT AND CONSENT OF THE LOAN PARTIES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 the Loan Parties hereby acknowledges that it has reviewed the terms and provisions of the Credit Agreement and this Amendment and consents to the amendment of the Credit Agreement effected pursuant to this Amendment. Each of the Loan Parties hereby confirms that each Loan Document (both before and immediately after giving effect to and as amended by this Amendment) to which it is a party or otherwise bound and all Collateral encumbered thereby will continue to guarantee or secure, as the case may be, to the fullest extent possible in accordance with the Loan Documents, as amended by this Amendment, the payment and performance of all “Obligations” under each of the Loan Documents to which is a party (in each case as such terms are defined in the applicable Loan Document).</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Each of the Loan Parties acknowledges and agrees that any of the Loan Documents, both before and immediately after giving effect to and as amended by this Amendment, to which it is a party or otherwise bound shall continue in full force and effect and that all of its obligations thereunder shall be valid and enforceable and shall not be impaired or limited by the execution or effectiveness of this Amendment.</w:t>
      </w:r>
    </w:p>
    <w:p>
      <w:pPr>
        <w:spacing w:after="0" w:line="181" w:lineRule="exact"/>
        <w:rPr>
          <w:sz w:val="20"/>
          <w:szCs w:val="20"/>
          <w:color w:val="auto"/>
        </w:rPr>
      </w:pPr>
    </w:p>
    <w:p>
      <w:pPr>
        <w:ind w:right="20" w:firstLine="659"/>
        <w:spacing w:after="0" w:line="302" w:lineRule="auto"/>
        <w:rPr>
          <w:sz w:val="20"/>
          <w:szCs w:val="20"/>
          <w:color w:val="auto"/>
        </w:rPr>
      </w:pPr>
      <w:r>
        <w:rPr>
          <w:rFonts w:ascii="Arial" w:cs="Arial" w:eastAsia="Arial" w:hAnsi="Arial"/>
          <w:sz w:val="16"/>
          <w:szCs w:val="16"/>
          <w:color w:val="auto"/>
        </w:rPr>
        <w:t>Each Guarantor acknowledges and agrees that (i) notwithstanding the conditions to effectiveness set forth in this Amendment, the Guarantor is not required by the terms of the Credit Agreement or any other Loan Document to consent to the amendments to the Credit Agreement effected pursuant to this Amendment, (ii) nothing in the Credit Agreement, this Amendment or any other Loan Document shall be deemed to require the consent of the Guarantor to any future amendments to the Credit Agreement, and (iii) all liens and guaranties created, extended or renewed by the Security Agreement are hereby ratified.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SECTION V.</w:t>
        <w:tab/>
        <w:t>LIMITED CONSENT AND WAIVER</w:t>
      </w:r>
    </w:p>
    <w:p>
      <w:pPr>
        <w:spacing w:after="0" w:line="229" w:lineRule="exact"/>
        <w:rPr>
          <w:sz w:val="20"/>
          <w:szCs w:val="20"/>
          <w:color w:val="auto"/>
        </w:rPr>
      </w:pPr>
    </w:p>
    <w:p>
      <w:pPr>
        <w:ind w:left="1060" w:hanging="404"/>
        <w:spacing w:after="0"/>
        <w:tabs>
          <w:tab w:leader="none" w:pos="10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The Lenders party hereto hereby agree that in no event shall the Parent Acquisition constitute a “Change of Control” under the Credit</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b w:val="1"/>
          <w:bCs w:val="1"/>
          <w:color w:val="auto"/>
        </w:rPr>
      </w:pPr>
    </w:p>
    <w:p>
      <w:pPr>
        <w:jc w:val="both"/>
        <w:ind w:right="40" w:firstLine="656"/>
        <w:spacing w:after="0" w:line="279" w:lineRule="auto"/>
        <w:tabs>
          <w:tab w:leader="none" w:pos="1038"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The Lenders party hereto hereby agree pursuant to Section 11.01 of the Credit Agreement to waive any Default arising out of or resulting from the Loan Parties’ failure to comply with the requirements of (i) Sections 6.03(a), 6.12(a) and (d) and 7.03(g) of the Credit Agreement within the time periods set forth therein in respect of the acquisition of the entities listed on Schedule I hereto prior to the date hereof and (ii) Section 7.09(b) of the Credit Agreement in connection with the Existing Notes (the waiver set forth in this Section V(B), the “</w:t>
      </w:r>
      <w:r>
        <w:rPr>
          <w:rFonts w:ascii="Arial" w:cs="Arial" w:eastAsia="Arial" w:hAnsi="Arial"/>
          <w:sz w:val="17"/>
          <w:szCs w:val="17"/>
          <w:u w:val="single" w:color="auto"/>
          <w:color w:val="auto"/>
        </w:rPr>
        <w:t>Waiver”</w:t>
      </w:r>
      <w:r>
        <w:rPr>
          <w:rFonts w:ascii="Arial" w:cs="Arial" w:eastAsia="Arial" w:hAnsi="Arial"/>
          <w:sz w:val="17"/>
          <w:szCs w:val="17"/>
          <w:color w:val="auto"/>
        </w:rPr>
        <w:t>).</w:t>
      </w:r>
    </w:p>
    <w:p>
      <w:pPr>
        <w:spacing w:after="0" w:line="16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VI.</w:t>
        <w:tab/>
        <w:t>MISCELLANEOUS</w:t>
      </w:r>
    </w:p>
    <w:p>
      <w:pPr>
        <w:spacing w:after="0" w:line="225" w:lineRule="exact"/>
        <w:rPr>
          <w:sz w:val="20"/>
          <w:szCs w:val="20"/>
          <w:color w:val="auto"/>
        </w:rPr>
      </w:pPr>
    </w:p>
    <w:p>
      <w:pPr>
        <w:ind w:left="1060" w:hanging="404"/>
        <w:spacing w:after="0"/>
        <w:tabs>
          <w:tab w:leader="none" w:pos="10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Reference to and Effect on the Credit Agreement and the Other Loan Documents</w:t>
      </w:r>
      <w:r>
        <w:rPr>
          <w:rFonts w:ascii="Arial" w:cs="Arial" w:eastAsia="Arial" w:hAnsi="Arial"/>
          <w:sz w:val="18"/>
          <w:szCs w:val="18"/>
          <w:color w:val="auto"/>
        </w:rPr>
        <w:t>.</w:t>
      </w:r>
    </w:p>
    <w:p>
      <w:pPr>
        <w:spacing w:after="0" w:line="229" w:lineRule="exact"/>
        <w:rPr>
          <w:sz w:val="20"/>
          <w:szCs w:val="20"/>
          <w:color w:val="auto"/>
        </w:rPr>
      </w:pPr>
    </w:p>
    <w:p>
      <w:pPr>
        <w:ind w:right="20" w:firstLine="656"/>
        <w:spacing w:after="0" w:line="312" w:lineRule="auto"/>
        <w:tabs>
          <w:tab w:leader="none" w:pos="1043"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and after the Second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46" w:lineRule="exact"/>
        <w:rPr>
          <w:rFonts w:ascii="Arial" w:cs="Arial" w:eastAsia="Arial" w:hAnsi="Arial"/>
          <w:sz w:val="16"/>
          <w:szCs w:val="16"/>
          <w:color w:val="auto"/>
        </w:rPr>
      </w:pPr>
    </w:p>
    <w:p>
      <w:pPr>
        <w:ind w:right="100" w:firstLine="656"/>
        <w:spacing w:after="0" w:line="277" w:lineRule="auto"/>
        <w:tabs>
          <w:tab w:leader="none" w:pos="10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specifically amended by this Amendment, the Credit Agreement and the other Loan Documents shall remain in full force and effect and are hereby ratified and confirmed.</w:t>
      </w:r>
    </w:p>
    <w:p>
      <w:pPr>
        <w:spacing w:after="0" w:line="170" w:lineRule="exact"/>
        <w:rPr>
          <w:rFonts w:ascii="Arial" w:cs="Arial" w:eastAsia="Arial" w:hAnsi="Arial"/>
          <w:sz w:val="18"/>
          <w:szCs w:val="18"/>
          <w:color w:val="auto"/>
        </w:rPr>
      </w:pPr>
    </w:p>
    <w:p>
      <w:pPr>
        <w:ind w:right="80" w:firstLine="656"/>
        <w:spacing w:after="0" w:line="264" w:lineRule="auto"/>
        <w:tabs>
          <w:tab w:leader="none" w:pos="114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expressly set forth in Section V(B) of this Amendment, the execution, delivery and performance of this Amendment shall not constitute a waiver of any provision of, or operate as a waiver of any right, power or remedy of any Agent, Lender or L/C Issuer under, the Credit Agreement or any of the other Loan Documents.</w:t>
      </w:r>
    </w:p>
    <w:p>
      <w:pPr>
        <w:spacing w:after="0" w:line="177" w:lineRule="exact"/>
        <w:rPr>
          <w:sz w:val="20"/>
          <w:szCs w:val="20"/>
          <w:color w:val="auto"/>
        </w:rPr>
      </w:pPr>
    </w:p>
    <w:p>
      <w:pPr>
        <w:ind w:left="1040" w:hanging="384"/>
        <w:spacing w:after="0"/>
        <w:tabs>
          <w:tab w:leader="none" w:pos="10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avoidance of doubt, this Amendment constitutes a Loan Document.</w:t>
      </w:r>
    </w:p>
    <w:p>
      <w:pPr>
        <w:spacing w:after="0" w:line="225" w:lineRule="exact"/>
        <w:rPr>
          <w:rFonts w:ascii="Arial" w:cs="Arial" w:eastAsia="Arial" w:hAnsi="Arial"/>
          <w:sz w:val="18"/>
          <w:szCs w:val="18"/>
          <w:b w:val="1"/>
          <w:bCs w:val="1"/>
          <w:color w:val="auto"/>
        </w:rPr>
      </w:pPr>
    </w:p>
    <w:p>
      <w:pPr>
        <w:ind w:right="120" w:firstLine="656"/>
        <w:spacing w:after="0" w:line="282" w:lineRule="auto"/>
        <w:tabs>
          <w:tab w:leader="none" w:pos="104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and Subsection headings in this Amendment are included herein for convenience of reference only and shall not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a part of this Amendment for any other purpose or be given any substantive effect.</w:t>
      </w:r>
    </w:p>
    <w:p>
      <w:pPr>
        <w:sectPr>
          <w:pgSz w:w="11900" w:h="16933" w:orient="portrait"/>
          <w:cols w:equalWidth="0" w:num="1">
            <w:col w:w="11420"/>
          </w:cols>
          <w:pgMar w:left="240" w:top="121" w:right="239" w:bottom="0" w:gutter="0" w:footer="0" w:header="0"/>
        </w:sectPr>
      </w:pPr>
    </w:p>
    <w:bookmarkStart w:id="6" w:name="page7"/>
    <w:bookmarkEnd w:id="6"/>
    <w:p>
      <w:pPr>
        <w:ind w:right="280" w:firstLine="656"/>
        <w:spacing w:after="0" w:line="282" w:lineRule="auto"/>
        <w:tabs>
          <w:tab w:leader="none" w:pos="1048" w:val="left"/>
        </w:tabs>
        <w:numPr>
          <w:ilvl w:val="1"/>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THIS AMENDMENT SHALL BE GOVERNED BY, AND CONSTRUED IN ACCORDANCE WITH, THE LAW OF THE STATE OF NEW YORK.</w:t>
      </w:r>
    </w:p>
    <w:p>
      <w:pPr>
        <w:spacing w:after="0" w:line="161" w:lineRule="exact"/>
        <w:rPr>
          <w:rFonts w:ascii="Arial" w:cs="Arial" w:eastAsia="Arial" w:hAnsi="Arial"/>
          <w:sz w:val="18"/>
          <w:szCs w:val="18"/>
          <w:b w:val="1"/>
          <w:bCs w:val="1"/>
          <w:color w:val="auto"/>
        </w:rPr>
      </w:pPr>
    </w:p>
    <w:p>
      <w:pPr>
        <w:ind w:left="1040" w:hanging="384"/>
        <w:spacing w:after="0"/>
        <w:tabs>
          <w:tab w:leader="none" w:pos="1040" w:val="left"/>
        </w:tabs>
        <w:numPr>
          <w:ilvl w:val="1"/>
          <w:numId w:val="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Submission to Jurisdiction; Waiver of Venue; Service of Process; 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Sections 11.14(b), (c) and</w:t>
      </w:r>
    </w:p>
    <w:p>
      <w:pPr>
        <w:spacing w:after="0" w:line="38" w:lineRule="exact"/>
        <w:rPr>
          <w:rFonts w:ascii="Arial" w:cs="Arial" w:eastAsia="Arial" w:hAnsi="Arial"/>
          <w:sz w:val="17"/>
          <w:szCs w:val="17"/>
          <w:b w:val="1"/>
          <w:bCs w:val="1"/>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and Section 11.15 of the Credit Agreement are hereby incorporated by reference, </w:t>
      </w:r>
      <w:r>
        <w:rPr>
          <w:rFonts w:ascii="Arial" w:cs="Arial" w:eastAsia="Arial" w:hAnsi="Arial"/>
          <w:sz w:val="18"/>
          <w:szCs w:val="18"/>
          <w:i w:val="1"/>
          <w:iCs w:val="1"/>
          <w:color w:val="auto"/>
        </w:rPr>
        <w:t>mutatis mutandis</w:t>
      </w:r>
      <w:r>
        <w:rPr>
          <w:rFonts w:ascii="Arial" w:cs="Arial" w:eastAsia="Arial" w:hAnsi="Arial"/>
          <w:sz w:val="18"/>
          <w:szCs w:val="18"/>
          <w:color w:val="auto"/>
        </w:rPr>
        <w:t>, as if set forth in full herein.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56"/>
        <w:spacing w:after="0" w:line="314" w:lineRule="auto"/>
        <w:tabs>
          <w:tab w:leader="none" w:pos="1012"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Amendment may be executed in counterparts (and by different parties hereto in different counterparts), each of which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firstLine="659"/>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Amendment to be duly executed and delivered by their respective officers thereunto</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as of the date first written above.</w:t>
      </w:r>
    </w:p>
    <w:p>
      <w:pPr>
        <w:spacing w:after="0" w:line="16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8"/>
          <w:szCs w:val="18"/>
          <w:b w:val="1"/>
          <w:bCs w:val="1"/>
          <w:color w:val="auto"/>
        </w:rPr>
        <w:t>NRG YIELD OPERATING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00" w:lineRule="exact"/>
        <w:rPr>
          <w:sz w:val="20"/>
          <w:szCs w:val="20"/>
          <w:color w:val="auto"/>
        </w:rPr>
      </w:pPr>
    </w:p>
    <w:p>
      <w:pPr>
        <w:spacing w:after="0" w:line="22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GUARANTORS:</w:t>
      </w:r>
      <w:r>
        <w:rPr>
          <w:sz w:val="20"/>
          <w:szCs w:val="20"/>
          <w:color w:val="auto"/>
        </w:rPr>
        <w:tab/>
      </w:r>
      <w:r>
        <w:rPr>
          <w:rFonts w:ascii="Arial" w:cs="Arial" w:eastAsia="Arial" w:hAnsi="Arial"/>
          <w:sz w:val="18"/>
          <w:szCs w:val="18"/>
          <w:b w:val="1"/>
          <w:bCs w:val="1"/>
          <w:color w:val="auto"/>
        </w:rPr>
        <w:t>NRG YIELD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SOUTH TRENT HOLDINGS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ENERGY CENTER OMAHA HOLDINGS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NRG ENERGY CENTER OMAHA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ALTA WIND COMPANY, LLC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ALTA WIND 1-5 HOLDING COMPANY, LLC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sectPr>
      </w:pPr>
    </w:p>
    <w:bookmarkStart w:id="7" w:name="page8"/>
    <w:bookmarkEnd w:id="7"/>
    <w:p>
      <w:pPr>
        <w:ind w:left="5000"/>
        <w:spacing w:after="0"/>
        <w:rPr>
          <w:sz w:val="20"/>
          <w:szCs w:val="20"/>
          <w:color w:val="auto"/>
        </w:rPr>
      </w:pPr>
      <w:r>
        <w:rPr>
          <w:rFonts w:ascii="Arial" w:cs="Arial" w:eastAsia="Arial" w:hAnsi="Arial"/>
          <w:sz w:val="18"/>
          <w:szCs w:val="18"/>
          <w:color w:val="auto"/>
        </w:rPr>
        <w:t>Name: 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NYLD FUEL CELL HOLDINGS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UB FUEL CELL,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YIELD RPV HOLDING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YIELD DGPV HOLDING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Title: Senior Vice President, Chief Financial Officer &amp; Treasurer</w:t>
      </w:r>
    </w:p>
    <w:p>
      <w:pPr>
        <w:spacing w:after="0" w:line="23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PORTFOLIO SOLAR I,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SOLAR LAS VEGAS MB 1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SOLAR STAR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SOLAR IGUANA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NRG SOLAR TABERNACLE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SOLAR FLAGSTAFF ONE LLC</w:t>
      </w:r>
    </w:p>
    <w:p>
      <w:pPr>
        <w:spacing w:after="0" w:line="229"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/s/Chad Plotkin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SPP ASSET HOLDINGS, LLC</w:t>
      </w:r>
    </w:p>
    <w:p>
      <w:pPr>
        <w:sectPr>
          <w:pgSz w:w="11900" w:h="16838" w:orient="portrait"/>
          <w:cols w:equalWidth="0" w:num="1">
            <w:col w:w="9660"/>
          </w:cols>
          <w:pgMar w:left="1440" w:top="125" w:right="799" w:bottom="0" w:gutter="0" w:footer="0" w:header="0"/>
        </w:sectPr>
      </w:pPr>
    </w:p>
    <w:bookmarkStart w:id="8" w:name="page9"/>
    <w:bookmarkEnd w:id="8"/>
    <w:tbl>
      <w:tblPr>
        <w:tblLayout w:type="fixed"/>
        <w:tblInd w:w="45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/s/Chad Plotkin</w:t>
            </w:r>
          </w:p>
        </w:tc>
      </w:tr>
      <w:tr>
        <w:trPr>
          <w:trHeight w:val="195"/>
        </w:trPr>
        <w:tc>
          <w:tcPr>
            <w:tcW w:w="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 &amp; Treasurer</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SPP FUND II HOLDINGS,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/s/Chad Plotkin</w:t>
            </w:r>
          </w:p>
        </w:tc>
      </w:tr>
      <w:tr>
        <w:trPr>
          <w:trHeight w:val="195"/>
        </w:trPr>
        <w:tc>
          <w:tcPr>
            <w:tcW w:w="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 &amp; Treasurer</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SPP FUND III,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/s/Chad Plotkin</w:t>
            </w:r>
          </w:p>
        </w:tc>
      </w:tr>
      <w:tr>
        <w:trPr>
          <w:trHeight w:val="195"/>
        </w:trPr>
        <w:tc>
          <w:tcPr>
            <w:tcW w:w="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 &amp; Treasurer</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SPP FUND II,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/s/Chad Plotkin</w:t>
            </w:r>
          </w:p>
        </w:tc>
      </w:tr>
      <w:tr>
        <w:trPr>
          <w:trHeight w:val="195"/>
        </w:trPr>
        <w:tc>
          <w:tcPr>
            <w:tcW w:w="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 &amp; Treasurer</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SPP FUND II-B,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/s/Chad Plotkin</w:t>
            </w:r>
          </w:p>
        </w:tc>
      </w:tr>
      <w:tr>
        <w:trPr>
          <w:trHeight w:val="195"/>
        </w:trPr>
        <w:tc>
          <w:tcPr>
            <w:tcW w:w="70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Chad Plotkin</w:t>
            </w:r>
          </w:p>
        </w:tc>
      </w:tr>
      <w:tr>
        <w:trPr>
          <w:trHeight w:val="230"/>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Vice President &amp; Treasurer</w:t>
            </w: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Rodica Dutka</w:t>
            </w:r>
          </w:p>
        </w:tc>
      </w:tr>
      <w:tr>
        <w:trPr>
          <w:trHeight w:val="195"/>
        </w:trPr>
        <w:tc>
          <w:tcPr>
            <w:tcW w:w="7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Rodica Dutka</w:t>
            </w:r>
          </w:p>
        </w:tc>
      </w:tr>
      <w:tr>
        <w:trPr>
          <w:trHeight w:val="230"/>
        </w:trPr>
        <w:tc>
          <w:tcPr>
            <w:tcW w:w="7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Manager, Agency</w:t>
            </w: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BANK OF AMERICA, N.A.,</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tbl>
      <w:tblPr>
        <w:tblLayout w:type="fixed"/>
        <w:tblInd w:w="456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Jerry Wells</w:t>
            </w:r>
          </w:p>
        </w:tc>
      </w:tr>
      <w:tr>
        <w:trPr>
          <w:trHeight w:val="195"/>
        </w:trPr>
        <w:tc>
          <w:tcPr>
            <w:tcW w:w="720" w:type="dxa"/>
            <w:vAlign w:val="bottom"/>
          </w:tcPr>
          <w:p>
            <w:pPr>
              <w:spacing w:after="0"/>
              <w:rPr>
                <w:sz w:val="16"/>
                <w:szCs w:val="16"/>
                <w:color w:val="auto"/>
              </w:rPr>
            </w:pP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Name: Jerry Wells</w:t>
            </w:r>
          </w:p>
        </w:tc>
      </w:tr>
      <w:tr>
        <w:trPr>
          <w:trHeight w:val="230"/>
        </w:trPr>
        <w:tc>
          <w:tcPr>
            <w:tcW w:w="7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BARCLAYS BANK PLC,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Martin Corrigan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Martin Corrigan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Associate</w:t>
      </w:r>
    </w:p>
    <w:p>
      <w:pPr>
        <w:spacing w:after="0" w:line="21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ectPr>
          <w:pgSz w:w="11900" w:h="16838" w:orient="portrait"/>
          <w:cols w:equalWidth="0" w:num="1">
            <w:col w:w="10220"/>
          </w:cols>
          <w:pgMar w:left="1440" w:top="125" w:right="239" w:bottom="207" w:gutter="0" w:footer="0" w:header="0"/>
        </w:sectPr>
      </w:pPr>
    </w:p>
    <w:bookmarkStart w:id="9" w:name="page10"/>
    <w:bookmarkEnd w:id="9"/>
    <w:p>
      <w:pPr>
        <w:ind w:left="4520"/>
        <w:spacing w:after="0"/>
        <w:tabs>
          <w:tab w:leader="none" w:pos="4980" w:val="left"/>
        </w:tabs>
        <w:rPr>
          <w:sz w:val="20"/>
          <w:szCs w:val="20"/>
          <w:color w:val="auto"/>
        </w:rPr>
      </w:pPr>
      <w:r>
        <w:rPr>
          <w:rFonts w:ascii="Arial" w:cs="Arial" w:eastAsia="Arial" w:hAnsi="Arial"/>
          <w:sz w:val="18"/>
          <w:szCs w:val="18"/>
          <w:color w:val="auto"/>
        </w:rPr>
        <w:t>By:</w:t>
        <w:tab/>
        <w:t>/s/ Ashwani Khubani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CREDIT SUISSE AG, CAYMAN ISLANDS BRANCH,</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Mikhail Faybusovich</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Andrew Griffin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Andrew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JPMORGAN CHASE BANK, N.A.,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Juan J. Javellana</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Juan J. Javellana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ROYAL BANK OF CANADA,</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Frank Lambrinos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Frank Lambrinos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Marcus Tarkington</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Marcus Tarkington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Alicia Schug</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Alicia Schug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233045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MUFG UNION BANK, N.A. f/k/a UNION BANK, N.A.,</w:t>
      </w:r>
    </w:p>
    <w:p>
      <w:pPr>
        <w:spacing w:after="0" w:line="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Eric Otieno</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Eric Otieno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019"/>
          </w:cols>
          <w:pgMar w:left="1440" w:top="125" w:right="1440" w:bottom="0" w:gutter="0" w:footer="0" w:header="0"/>
        </w:sectPr>
      </w:pPr>
    </w:p>
    <w:bookmarkStart w:id="10" w:name="page11"/>
    <w:bookmarkEnd w:id="10"/>
    <w:p>
      <w:pPr>
        <w:ind w:left="3272"/>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12"/>
        <w:spacing w:after="0"/>
        <w:rPr>
          <w:sz w:val="20"/>
          <w:szCs w:val="20"/>
          <w:color w:val="auto"/>
        </w:rPr>
      </w:pPr>
      <w:r>
        <w:rPr>
          <w:rFonts w:ascii="Arial" w:cs="Arial" w:eastAsia="Arial" w:hAnsi="Arial"/>
          <w:sz w:val="18"/>
          <w:szCs w:val="18"/>
          <w:b w:val="1"/>
          <w:bCs w:val="1"/>
          <w:color w:val="auto"/>
        </w:rPr>
        <w:t>KEYBANK NATIONAL ASSOCIATION,</w:t>
      </w:r>
    </w:p>
    <w:p>
      <w:pPr>
        <w:spacing w:after="0" w:line="2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712"/>
        <w:spacing w:after="0"/>
        <w:tabs>
          <w:tab w:leader="none" w:pos="6172" w:val="left"/>
        </w:tabs>
        <w:rPr>
          <w:sz w:val="20"/>
          <w:szCs w:val="20"/>
          <w:color w:val="auto"/>
        </w:rPr>
      </w:pPr>
      <w:r>
        <w:rPr>
          <w:rFonts w:ascii="Arial" w:cs="Arial" w:eastAsia="Arial" w:hAnsi="Arial"/>
          <w:sz w:val="18"/>
          <w:szCs w:val="18"/>
          <w:color w:val="auto"/>
        </w:rPr>
        <w:t>By:</w:t>
        <w:tab/>
        <w:t>/s/ Renee M. Bonnell</w:t>
      </w:r>
    </w:p>
    <w:p>
      <w:pPr>
        <w:spacing w:after="0" w:line="2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Name: Renee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-130810</wp:posOffset>
            </wp:positionV>
            <wp:extent cx="3319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272"/>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12"/>
        <w:spacing w:after="0"/>
        <w:rPr>
          <w:sz w:val="20"/>
          <w:szCs w:val="20"/>
          <w:color w:val="auto"/>
        </w:rPr>
      </w:pPr>
      <w:r>
        <w:rPr>
          <w:rFonts w:ascii="Arial" w:cs="Arial" w:eastAsia="Arial" w:hAnsi="Arial"/>
          <w:sz w:val="18"/>
          <w:szCs w:val="18"/>
          <w:b w:val="1"/>
          <w:bCs w:val="1"/>
          <w:color w:val="auto"/>
        </w:rPr>
        <w:t>MORGAN STANLEY SENIOR FUNDING, INC.,</w:t>
      </w:r>
    </w:p>
    <w:p>
      <w:pPr>
        <w:spacing w:after="0" w:line="2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712"/>
        <w:spacing w:after="0"/>
        <w:tabs>
          <w:tab w:leader="none" w:pos="6172" w:val="left"/>
        </w:tabs>
        <w:rPr>
          <w:sz w:val="20"/>
          <w:szCs w:val="20"/>
          <w:color w:val="auto"/>
        </w:rPr>
      </w:pPr>
      <w:r>
        <w:rPr>
          <w:rFonts w:ascii="Arial" w:cs="Arial" w:eastAsia="Arial" w:hAnsi="Arial"/>
          <w:sz w:val="18"/>
          <w:szCs w:val="18"/>
          <w:color w:val="auto"/>
        </w:rPr>
        <w:t>By:</w:t>
        <w:tab/>
        <w:t>/s/ Jake Dowden</w:t>
      </w:r>
    </w:p>
    <w:p>
      <w:pPr>
        <w:spacing w:after="0" w:line="2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Name: Jake Dowden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-130810</wp:posOffset>
            </wp:positionV>
            <wp:extent cx="3319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272"/>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12"/>
        <w:spacing w:after="0"/>
        <w:rPr>
          <w:sz w:val="20"/>
          <w:szCs w:val="20"/>
          <w:color w:val="auto"/>
        </w:rPr>
      </w:pPr>
      <w:r>
        <w:rPr>
          <w:rFonts w:ascii="Arial" w:cs="Arial" w:eastAsia="Arial" w:hAnsi="Arial"/>
          <w:sz w:val="18"/>
          <w:szCs w:val="18"/>
          <w:b w:val="1"/>
          <w:bCs w:val="1"/>
          <w:color w:val="auto"/>
        </w:rPr>
        <w:t>GOLDMAN SACHS BANK USA,</w:t>
      </w:r>
    </w:p>
    <w:p>
      <w:pPr>
        <w:spacing w:after="0" w:line="27"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as a Lender and L/C Issuer</w:t>
      </w:r>
    </w:p>
    <w:p>
      <w:pPr>
        <w:spacing w:after="0" w:line="211" w:lineRule="exact"/>
        <w:rPr>
          <w:sz w:val="20"/>
          <w:szCs w:val="20"/>
          <w:color w:val="auto"/>
        </w:rPr>
      </w:pPr>
    </w:p>
    <w:p>
      <w:pPr>
        <w:ind w:left="5712"/>
        <w:spacing w:after="0"/>
        <w:tabs>
          <w:tab w:leader="none" w:pos="6172" w:val="left"/>
        </w:tabs>
        <w:rPr>
          <w:sz w:val="20"/>
          <w:szCs w:val="20"/>
          <w:color w:val="auto"/>
        </w:rPr>
      </w:pPr>
      <w:r>
        <w:rPr>
          <w:rFonts w:ascii="Arial" w:cs="Arial" w:eastAsia="Arial" w:hAnsi="Arial"/>
          <w:sz w:val="18"/>
          <w:szCs w:val="18"/>
          <w:color w:val="auto"/>
        </w:rPr>
        <w:t>By:</w:t>
        <w:tab/>
        <w:t>/s/ Chris Lam</w:t>
      </w:r>
    </w:p>
    <w:p>
      <w:pPr>
        <w:spacing w:after="0" w:line="2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Name: Chris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-130810</wp:posOffset>
            </wp:positionV>
            <wp:extent cx="3319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192"/>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3272"/>
        <w:spacing w:after="0"/>
        <w:rPr>
          <w:sz w:val="20"/>
          <w:szCs w:val="20"/>
          <w:color w:val="auto"/>
        </w:rPr>
      </w:pPr>
      <w:r>
        <w:rPr>
          <w:rFonts w:ascii="Arial" w:cs="Arial" w:eastAsia="Arial" w:hAnsi="Arial"/>
          <w:sz w:val="18"/>
          <w:szCs w:val="18"/>
          <w:color w:val="auto"/>
        </w:rPr>
        <w:t>[Signature Page to Second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212"/>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ind w:left="4832"/>
        <w:spacing w:after="0"/>
        <w:rPr>
          <w:sz w:val="20"/>
          <w:szCs w:val="20"/>
          <w:color w:val="auto"/>
        </w:rPr>
      </w:pPr>
      <w:r>
        <w:rPr>
          <w:rFonts w:ascii="Arial" w:cs="Arial" w:eastAsia="Arial" w:hAnsi="Arial"/>
          <w:sz w:val="18"/>
          <w:szCs w:val="18"/>
          <w:b w:val="1"/>
          <w:bCs w:val="1"/>
          <w:u w:val="single" w:color="auto"/>
          <w:color w:val="auto"/>
        </w:rPr>
        <w:t>Additional Guarantors</w:t>
      </w:r>
    </w:p>
    <w:p>
      <w:pPr>
        <w:spacing w:after="0" w:line="229" w:lineRule="exact"/>
        <w:rPr>
          <w:sz w:val="20"/>
          <w:szCs w:val="20"/>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NRG SOLAR LAS VEGAS MB 1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NRG SOLAR STAR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NRG SOLAR IGUANA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NRG SOLAR TABERNACLE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SOLAR FLAGSTAFF ONE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SPP ASSET HOLDINGS,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SPP FUND II HOLDINGS,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SPP FUND III, LLC</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SPP FUND II, LLC</w:t>
      </w:r>
    </w:p>
    <w:p>
      <w:pPr>
        <w:spacing w:after="0" w:line="225" w:lineRule="exact"/>
        <w:rPr>
          <w:rFonts w:ascii="Arial" w:cs="Arial" w:eastAsia="Arial" w:hAnsi="Arial"/>
          <w:sz w:val="18"/>
          <w:szCs w:val="18"/>
          <w:color w:val="auto"/>
        </w:rPr>
      </w:pPr>
    </w:p>
    <w:p>
      <w:pPr>
        <w:ind w:left="312" w:hanging="312"/>
        <w:spacing w:after="0"/>
        <w:tabs>
          <w:tab w:leader="none" w:pos="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SPP FUND II-B,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1"/>
      </w:cols>
      <w:pgMar w:left="248"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o"/>
      <w:numFmt w:val="bullet"/>
      <w:start w:val="1"/>
    </w:lvl>
  </w:abstractNum>
  <w:abstractNum w:abstractNumId="1">
    <w:nsid w:val="7FDCC233"/>
    <w:multiLevelType w:val="hybridMultilevel"/>
    <w:lvl w:ilvl="0">
      <w:lvlJc w:val="left"/>
      <w:lvlText w:val="(%1)"/>
      <w:numFmt w:val="lowerLetter"/>
      <w:start w:val="4"/>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1."/>
      <w:numFmt w:val="upperLetter"/>
      <w:start w:val="2"/>
    </w:lvl>
  </w:abstractNum>
  <w:abstractNum w:abstractNumId="4">
    <w:nsid w:val="6B68079A"/>
    <w:multiLevelType w:val="hybridMultilevel"/>
    <w:lvl w:ilvl="0">
      <w:lvlJc w:val="left"/>
      <w:lvlText w:val="%1"/>
      <w:numFmt w:val="lowerRoman"/>
      <w:start w:val="1"/>
    </w:lvl>
    <w:lvl w:ilvl="1">
      <w:lvlJc w:val="left"/>
      <w:lvlText w:val="%2."/>
      <w:numFmt w:val="upperLetter"/>
      <w:start w:val="3"/>
    </w:lvl>
  </w:abstractNum>
  <w:abstractNum w:abstractNumId="5">
    <w:nsid w:val="4E6AFB66"/>
    <w:multiLevelType w:val="hybridMultilevel"/>
    <w:lvl w:ilvl="0">
      <w:lvlJc w:val="left"/>
      <w:lvlText w:val="(%1)"/>
      <w:numFmt w:val="lowerRoman"/>
      <w:start w:val="3"/>
    </w:lvl>
    <w:lvl w:ilvl="1">
      <w:lvlJc w:val="left"/>
      <w:lvlText w:val="%2"/>
      <w:numFmt w:val="upperLetter"/>
      <w:start w:val="1"/>
    </w:lvl>
  </w:abstractNum>
  <w:abstractNum w:abstractNumId="6">
    <w:nsid w:val="25E45D32"/>
    <w:multiLevelType w:val="hybridMultilevel"/>
    <w:lvl w:ilvl="0">
      <w:lvlJc w:val="left"/>
      <w:lvlText w:val="%1."/>
      <w:numFmt w:val="upperLetter"/>
      <w:start w:val="5"/>
    </w:lvl>
  </w:abstractNum>
  <w:abstractNum w:abstractNumId="7">
    <w:nsid w:val="519B500D"/>
    <w:multiLevelType w:val="hybridMultilevel"/>
    <w:lvl w:ilvl="0">
      <w:lvlJc w:val="left"/>
      <w:lvlText w:val="%1."/>
      <w:numFmt w:val="upperLetter"/>
      <w:start w:val="6"/>
    </w:lvl>
  </w:abstractNum>
  <w:abstractNum w:abstractNumId="8">
    <w:nsid w:val="431BD7B7"/>
    <w:multiLevelType w:val="hybridMultilevel"/>
    <w:lvl w:ilvl="0">
      <w:lvlJc w:val="left"/>
      <w:lvlText w:val="%1."/>
      <w:numFmt w:val="upperLetter"/>
      <w:start w:val="1"/>
    </w:lvl>
  </w:abstractNum>
  <w:abstractNum w:abstractNumId="9">
    <w:nsid w:val="3F2DBA31"/>
    <w:multiLevelType w:val="hybridMultilevel"/>
    <w:lvl w:ilvl="0">
      <w:lvlJc w:val="left"/>
      <w:lvlText w:val="(%1)"/>
      <w:numFmt w:val="lowerRoman"/>
      <w:start w:val="2"/>
    </w:lvl>
  </w:abstractNum>
  <w:abstractNum w:abstractNumId="10">
    <w:nsid w:val="7C83E458"/>
    <w:multiLevelType w:val="hybridMultilevel"/>
    <w:lvl w:ilvl="0">
      <w:lvlJc w:val="left"/>
      <w:lvlText w:val="%1."/>
      <w:numFmt w:val="upperLetter"/>
      <w:start w:val="2"/>
    </w:lvl>
  </w:abstractNum>
  <w:abstractNum w:abstractNumId="11">
    <w:nsid w:val="257130A3"/>
    <w:multiLevelType w:val="hybridMultilevel"/>
    <w:lvl w:ilvl="0">
      <w:lvlJc w:val="left"/>
      <w:lvlText w:val="%1."/>
      <w:numFmt w:val="upperLetter"/>
      <w:start w:val="3"/>
    </w:lvl>
  </w:abstractNum>
  <w:abstractNum w:abstractNumId="12">
    <w:nsid w:val="62BBD95A"/>
    <w:multiLevelType w:val="hybridMultilevel"/>
    <w:lvl w:ilvl="0">
      <w:lvlJc w:val="left"/>
      <w:lvlText w:val="%1."/>
      <w:numFmt w:val="upperLetter"/>
      <w:start w:val="1"/>
    </w:lvl>
  </w:abstractNum>
  <w:abstractNum w:abstractNumId="13">
    <w:nsid w:val="436C6125"/>
    <w:multiLevelType w:val="hybridMultilevel"/>
    <w:lvl w:ilvl="0">
      <w:lvlJc w:val="left"/>
      <w:lvlText w:val="(%1)"/>
      <w:numFmt w:val="lowerLetter"/>
      <w:start w:val="1"/>
    </w:lvl>
    <w:lvl w:ilvl="1">
      <w:lvlJc w:val="left"/>
      <w:lvlText w:val="(%2)"/>
      <w:numFmt w:val="lowerRoman"/>
      <w:start w:val="1"/>
    </w:lvl>
  </w:abstractNum>
  <w:abstractNum w:abstractNumId="14">
    <w:nsid w:val="628C895D"/>
    <w:multiLevelType w:val="hybridMultilevel"/>
    <w:lvl w:ilvl="0">
      <w:lvlJc w:val="left"/>
      <w:lvlText w:val="(%1)"/>
      <w:numFmt w:val="lowerRoman"/>
      <w:start w:val="3"/>
    </w:lvl>
  </w:abstractNum>
  <w:abstractNum w:abstractNumId="15">
    <w:nsid w:val="333AB105"/>
    <w:multiLevelType w:val="hybridMultilevel"/>
    <w:lvl w:ilvl="0">
      <w:lvlJc w:val="left"/>
      <w:lvlText w:val="%1."/>
      <w:numFmt w:val="upperLetter"/>
      <w:start w:val="1"/>
    </w:lvl>
  </w:abstractNum>
  <w:abstractNum w:abstractNumId="16">
    <w:nsid w:val="721DA317"/>
    <w:multiLevelType w:val="hybridMultilevel"/>
    <w:lvl w:ilvl="0">
      <w:lvlJc w:val="left"/>
      <w:lvlText w:val="%1."/>
      <w:numFmt w:val="upperLetter"/>
      <w:start w:val="1"/>
    </w:lvl>
  </w:abstractNum>
  <w:abstractNum w:abstractNumId="17">
    <w:nsid w:val="2443A858"/>
    <w:multiLevelType w:val="hybridMultilevel"/>
    <w:lvl w:ilvl="0">
      <w:lvlJc w:val="left"/>
      <w:lvlText w:val="%1."/>
      <w:numFmt w:val="upperLetter"/>
      <w:start w:val="3"/>
    </w:lvl>
  </w:abstractNum>
  <w:abstractNum w:abstractNumId="18">
    <w:nsid w:val="2D1D5AE9"/>
    <w:multiLevelType w:val="hybridMultilevel"/>
    <w:lvl w:ilvl="0">
      <w:lvlJc w:val="left"/>
      <w:lvlText w:val="%1."/>
      <w:numFmt w:val="upperLetter"/>
      <w:start w:val="4"/>
    </w:lvl>
  </w:abstractNum>
  <w:abstractNum w:abstractNumId="19">
    <w:nsid w:val="6763845E"/>
    <w:multiLevelType w:val="hybridMultilevel"/>
    <w:lvl w:ilvl="0">
      <w:lvlJc w:val="left"/>
      <w:lvlText w:val="%1."/>
      <w:numFmt w:val="upperLetter"/>
      <w:start w:val="1"/>
    </w:lvl>
  </w:abstractNum>
  <w:abstractNum w:abstractNumId="20">
    <w:nsid w:val="75A2A8D4"/>
    <w:multiLevelType w:val="hybridMultilevel"/>
    <w:lvl w:ilvl="0">
      <w:lvlJc w:val="left"/>
      <w:lvlText w:val="%1."/>
      <w:numFmt w:val="upperLetter"/>
      <w:start w:val="1"/>
    </w:lvl>
  </w:abstractNum>
  <w:abstractNum w:abstractNumId="21">
    <w:nsid w:val="8EDBDAB"/>
    <w:multiLevelType w:val="hybridMultilevel"/>
    <w:lvl w:ilvl="0">
      <w:lvlJc w:val="left"/>
      <w:lvlText w:val="(%1)"/>
      <w:numFmt w:val="lowerRoman"/>
      <w:start w:val="1"/>
    </w:lvl>
  </w:abstractNum>
  <w:abstractNum w:abstractNumId="22">
    <w:nsid w:val="79838CB2"/>
    <w:multiLevelType w:val="hybridMultilevel"/>
    <w:lvl w:ilvl="0">
      <w:lvlJc w:val="left"/>
      <w:lvlText w:val="%1."/>
      <w:numFmt w:val="upperLetter"/>
      <w:start w:val="2"/>
    </w:lvl>
  </w:abstractNum>
  <w:abstractNum w:abstractNumId="23">
    <w:nsid w:val="4353D0CD"/>
    <w:multiLevelType w:val="hybridMultilevel"/>
    <w:lvl w:ilvl="0">
      <w:lvlJc w:val="left"/>
      <w:lvlText w:val="%1"/>
      <w:numFmt w:val="lowerLetter"/>
      <w:start w:val="1"/>
    </w:lvl>
    <w:lvl w:ilvl="1">
      <w:lvlJc w:val="left"/>
      <w:lvlText w:val="%2."/>
      <w:numFmt w:val="upperLetter"/>
      <w:start w:val="4"/>
    </w:lvl>
  </w:abstractNum>
  <w:abstractNum w:abstractNumId="24">
    <w:nsid w:val="B03E0C6"/>
    <w:multiLevelType w:val="hybridMultilevel"/>
    <w:lvl w:ilvl="0">
      <w:lvlJc w:val="left"/>
      <w:lvlText w:val="(%1)"/>
      <w:numFmt w:val="lowerLetter"/>
      <w:start w:val="4"/>
    </w:lvl>
    <w:lvl w:ilvl="1">
      <w:lvlJc w:val="left"/>
      <w:lvlText w:val="%2"/>
      <w:numFmt w:val="upperLetter"/>
      <w:start w:val="1"/>
    </w:lvl>
  </w:abstractNum>
  <w:abstractNum w:abstractNumId="25">
    <w:nsid w:val="189A769B"/>
    <w:multiLevelType w:val="hybridMultilevel"/>
    <w:lvl w:ilvl="0">
      <w:lvlJc w:val="left"/>
      <w:lvlText w:val="%1."/>
      <w:numFmt w:val="upperLetter"/>
      <w:start w:val="6"/>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2019-12-29T01:49:28Z</dcterms:created>
  <dcterms:modified xsi:type="dcterms:W3CDTF">2019-12-29T01:49:28Z</dcterms:modified>
</cp:coreProperties>
</file>